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791A3">
      <w:pPr>
        <w:widowControl/>
        <w:autoSpaceDE w:val="0"/>
        <w:autoSpaceDN w:val="0"/>
        <w:spacing w:before="366" w:after="0" w:line="220" w:lineRule="exact"/>
        <w:ind w:left="0" w:right="0"/>
      </w:pPr>
    </w:p>
    <w:p w14:paraId="740B61A0">
      <w:pPr>
        <w:widowControl/>
        <w:autoSpaceDE w:val="0"/>
        <w:autoSpaceDN w:val="0"/>
        <w:spacing w:before="0" w:after="400" w:line="516" w:lineRule="exact"/>
        <w:ind w:left="0" w:right="0" w:firstLine="0"/>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color w:val="000000"/>
          <w:sz w:val="40"/>
          <w:lang w:eastAsia="zh-CN"/>
        </w:rPr>
        <w:t>井陉县</w:t>
      </w:r>
      <w:r>
        <w:rPr>
          <w:rFonts w:hint="eastAsia" w:ascii="方正小标宋简体" w:hAnsi="方正小标宋简体" w:eastAsia="方正小标宋简体" w:cs="方正小标宋简体"/>
          <w:color w:val="000000"/>
          <w:sz w:val="40"/>
        </w:rPr>
        <w:t>文化广电</w:t>
      </w:r>
      <w:r>
        <w:rPr>
          <w:rFonts w:hint="eastAsia" w:ascii="方正小标宋简体" w:hAnsi="方正小标宋简体" w:eastAsia="方正小标宋简体" w:cs="方正小标宋简体"/>
          <w:color w:val="000000"/>
          <w:sz w:val="40"/>
          <w:lang w:eastAsia="zh-CN"/>
        </w:rPr>
        <w:t>体育</w:t>
      </w:r>
      <w:r>
        <w:rPr>
          <w:rFonts w:hint="eastAsia" w:ascii="方正小标宋简体" w:hAnsi="方正小标宋简体" w:eastAsia="方正小标宋简体" w:cs="方正小标宋简体"/>
          <w:color w:val="000000"/>
          <w:sz w:val="40"/>
        </w:rPr>
        <w:t>和旅游领域涉企行政检查计划（2026年度）</w:t>
      </w:r>
    </w:p>
    <w:tbl>
      <w:tblPr>
        <w:tblStyle w:val="2"/>
        <w:tblW w:w="0" w:type="auto"/>
        <w:tblInd w:w="11" w:type="dxa"/>
        <w:tblLayout w:type="fixed"/>
        <w:tblCellMar>
          <w:top w:w="0" w:type="dxa"/>
          <w:left w:w="108" w:type="dxa"/>
          <w:bottom w:w="0" w:type="dxa"/>
          <w:right w:w="108" w:type="dxa"/>
        </w:tblCellMar>
      </w:tblPr>
      <w:tblGrid>
        <w:gridCol w:w="622"/>
        <w:gridCol w:w="1436"/>
        <w:gridCol w:w="4151"/>
        <w:gridCol w:w="1380"/>
        <w:gridCol w:w="1140"/>
        <w:gridCol w:w="690"/>
        <w:gridCol w:w="4455"/>
        <w:gridCol w:w="705"/>
        <w:gridCol w:w="570"/>
        <w:gridCol w:w="907"/>
      </w:tblGrid>
      <w:tr w14:paraId="4D6A2DEB">
        <w:tblPrEx>
          <w:tblCellMar>
            <w:top w:w="0" w:type="dxa"/>
            <w:left w:w="108" w:type="dxa"/>
            <w:bottom w:w="0" w:type="dxa"/>
            <w:right w:w="108" w:type="dxa"/>
          </w:tblCellMar>
        </w:tblPrEx>
        <w:trPr>
          <w:trHeight w:val="2054"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5785D75">
            <w:pPr>
              <w:widowControl/>
              <w:autoSpaceDE w:val="0"/>
              <w:autoSpaceDN w:val="0"/>
              <w:spacing w:before="630" w:after="0" w:line="280" w:lineRule="exact"/>
              <w:ind w:left="0" w:right="0" w:firstLine="0"/>
              <w:jc w:val="center"/>
            </w:pPr>
            <w:r>
              <w:rPr>
                <w:rFonts w:ascii="H3OvnjOL+SimHei" w:hAnsi="H3OvnjOL+SimHei" w:eastAsia="H3OvnjOL+SimHei"/>
                <w:color w:val="000000"/>
                <w:sz w:val="28"/>
              </w:rPr>
              <w:t>序号</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C26C71F">
            <w:pPr>
              <w:widowControl/>
              <w:autoSpaceDE w:val="0"/>
              <w:autoSpaceDN w:val="0"/>
              <w:spacing w:before="630" w:after="0" w:line="280" w:lineRule="exact"/>
              <w:ind w:left="0" w:right="0" w:firstLine="0"/>
              <w:jc w:val="center"/>
            </w:pPr>
            <w:r>
              <w:rPr>
                <w:rFonts w:ascii="H3OvnjOL+SimHei" w:hAnsi="H3OvnjOL+SimHei" w:eastAsia="H3OvnjOL+SimHei"/>
                <w:color w:val="000000"/>
                <w:sz w:val="28"/>
              </w:rPr>
              <w:t>检查事项</w:t>
            </w:r>
          </w:p>
        </w:tc>
        <w:tc>
          <w:tcPr>
            <w:tcW w:w="4151"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D042F16">
            <w:pPr>
              <w:widowControl/>
              <w:autoSpaceDE w:val="0"/>
              <w:autoSpaceDN w:val="0"/>
              <w:spacing w:before="630" w:after="0" w:line="280" w:lineRule="exact"/>
              <w:ind w:left="0" w:right="0" w:firstLine="0"/>
              <w:jc w:val="center"/>
            </w:pPr>
            <w:r>
              <w:rPr>
                <w:rFonts w:ascii="H3OvnjOL+SimHei" w:hAnsi="H3OvnjOL+SimHei" w:eastAsia="H3OvnjOL+SimHei"/>
                <w:color w:val="000000"/>
                <w:sz w:val="28"/>
              </w:rPr>
              <w:t>检查依据</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5AB7D70">
            <w:pPr>
              <w:widowControl/>
              <w:autoSpaceDE w:val="0"/>
              <w:autoSpaceDN w:val="0"/>
              <w:spacing w:before="630" w:after="0" w:line="280" w:lineRule="exact"/>
              <w:ind w:left="0" w:right="0" w:firstLine="0"/>
              <w:jc w:val="center"/>
              <w:rPr>
                <w:highlight w:val="none"/>
              </w:rPr>
            </w:pPr>
            <w:r>
              <w:rPr>
                <w:rFonts w:ascii="H3OvnjOL+SimHei" w:hAnsi="H3OvnjOL+SimHei" w:eastAsia="H3OvnjOL+SimHei"/>
                <w:color w:val="000000"/>
                <w:sz w:val="28"/>
                <w:highlight w:val="none"/>
              </w:rPr>
              <w:t>检查对象</w:t>
            </w:r>
          </w:p>
        </w:tc>
        <w:tc>
          <w:tcPr>
            <w:tcW w:w="114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4E336F4">
            <w:pPr>
              <w:widowControl/>
              <w:autoSpaceDE w:val="0"/>
              <w:autoSpaceDN w:val="0"/>
              <w:spacing w:before="630" w:after="0" w:line="280" w:lineRule="exact"/>
              <w:ind w:left="0" w:right="0" w:firstLine="0"/>
              <w:jc w:val="center"/>
              <w:rPr>
                <w:highlight w:val="none"/>
              </w:rPr>
            </w:pPr>
            <w:r>
              <w:rPr>
                <w:rFonts w:ascii="H3OvnjOL+SimHei" w:hAnsi="H3OvnjOL+SimHei" w:eastAsia="H3OvnjOL+SimHei"/>
                <w:color w:val="000000"/>
                <w:sz w:val="28"/>
                <w:highlight w:val="none"/>
              </w:rPr>
              <w:t>检查频次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2CAA9C6">
            <w:pPr>
              <w:widowControl/>
              <w:autoSpaceDE w:val="0"/>
              <w:autoSpaceDN w:val="0"/>
              <w:spacing w:before="462" w:after="0" w:line="280" w:lineRule="exact"/>
              <w:ind w:left="0" w:right="0" w:firstLine="0"/>
              <w:jc w:val="center"/>
            </w:pPr>
            <w:r>
              <w:rPr>
                <w:rFonts w:ascii="H3OvnjOL+SimHei" w:hAnsi="H3OvnjOL+SimHei" w:eastAsia="H3OvnjOL+SimHei"/>
                <w:color w:val="000000"/>
                <w:sz w:val="28"/>
              </w:rPr>
              <w:t>检查</w:t>
            </w:r>
          </w:p>
          <w:p w14:paraId="370CE4C9">
            <w:pPr>
              <w:widowControl/>
              <w:autoSpaceDE w:val="0"/>
              <w:autoSpaceDN w:val="0"/>
              <w:spacing w:before="58" w:after="0" w:line="280" w:lineRule="exact"/>
              <w:ind w:left="0" w:right="0" w:firstLine="0"/>
              <w:jc w:val="center"/>
            </w:pPr>
            <w:r>
              <w:rPr>
                <w:rFonts w:ascii="H3OvnjOL+SimHei" w:hAnsi="H3OvnjOL+SimHei" w:eastAsia="H3OvnjOL+SimHei"/>
                <w:color w:val="000000"/>
                <w:sz w:val="28"/>
              </w:rPr>
              <w:t>方式</w:t>
            </w:r>
          </w:p>
        </w:tc>
        <w:tc>
          <w:tcPr>
            <w:tcW w:w="445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0BDBB2C">
            <w:pPr>
              <w:widowControl/>
              <w:autoSpaceDE w:val="0"/>
              <w:autoSpaceDN w:val="0"/>
              <w:spacing w:before="630" w:after="0" w:line="280" w:lineRule="exact"/>
              <w:ind w:left="0" w:right="0" w:firstLine="0"/>
              <w:jc w:val="center"/>
            </w:pPr>
            <w:r>
              <w:rPr>
                <w:rFonts w:ascii="H3OvnjOL+SimHei" w:hAnsi="H3OvnjOL+SimHei" w:eastAsia="H3OvnjOL+SimHei"/>
                <w:color w:val="000000"/>
                <w:sz w:val="28"/>
              </w:rPr>
              <w:t>检查标准</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5E39D77">
            <w:pPr>
              <w:widowControl/>
              <w:autoSpaceDE w:val="0"/>
              <w:autoSpaceDN w:val="0"/>
              <w:spacing w:before="630" w:after="0" w:line="280" w:lineRule="exact"/>
              <w:ind w:left="0" w:right="0" w:firstLine="0"/>
              <w:jc w:val="center"/>
            </w:pPr>
            <w:r>
              <w:rPr>
                <w:rFonts w:ascii="H3OvnjOL+SimHei" w:hAnsi="H3OvnjOL+SimHei" w:eastAsia="H3OvnjOL+SimHei"/>
                <w:color w:val="000000"/>
                <w:sz w:val="28"/>
              </w:rPr>
              <w:t>检查主体</w:t>
            </w:r>
          </w:p>
        </w:tc>
        <w:tc>
          <w:tcPr>
            <w:tcW w:w="57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03B13A0">
            <w:pPr>
              <w:widowControl/>
              <w:autoSpaceDE w:val="0"/>
              <w:autoSpaceDN w:val="0"/>
              <w:spacing w:before="462" w:after="0" w:line="280" w:lineRule="exact"/>
              <w:ind w:left="0" w:right="0" w:firstLine="0"/>
              <w:jc w:val="center"/>
            </w:pPr>
            <w:r>
              <w:rPr>
                <w:rFonts w:ascii="H3OvnjOL+SimHei" w:hAnsi="H3OvnjOL+SimHei" w:eastAsia="H3OvnjOL+SimHei"/>
                <w:color w:val="000000"/>
                <w:sz w:val="28"/>
              </w:rPr>
              <w:t>行使</w:t>
            </w:r>
          </w:p>
          <w:p w14:paraId="7F6FE5FB">
            <w:pPr>
              <w:widowControl/>
              <w:autoSpaceDE w:val="0"/>
              <w:autoSpaceDN w:val="0"/>
              <w:spacing w:before="58" w:after="0" w:line="280" w:lineRule="exact"/>
              <w:ind w:left="0" w:right="0" w:firstLine="0"/>
              <w:jc w:val="center"/>
            </w:pPr>
            <w:r>
              <w:rPr>
                <w:rFonts w:ascii="H3OvnjOL+SimHei" w:hAnsi="H3OvnjOL+SimHei" w:eastAsia="H3OvnjOL+SimHei"/>
                <w:color w:val="000000"/>
                <w:sz w:val="28"/>
              </w:rPr>
              <w:t>层级</w:t>
            </w:r>
          </w:p>
        </w:tc>
        <w:tc>
          <w:tcPr>
            <w:tcW w:w="907"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0AE8FCA">
            <w:pPr>
              <w:widowControl/>
              <w:autoSpaceDE w:val="0"/>
              <w:autoSpaceDN w:val="0"/>
              <w:spacing w:before="238" w:after="0" w:line="338" w:lineRule="exact"/>
              <w:ind w:left="104" w:right="90" w:firstLine="0"/>
              <w:jc w:val="both"/>
            </w:pPr>
            <w:r>
              <w:rPr>
                <w:rFonts w:ascii="H3OvnjOL+SimHei" w:hAnsi="H3OvnjOL+SimHei" w:eastAsia="H3OvnjOL+SimHei"/>
                <w:color w:val="000000"/>
                <w:sz w:val="28"/>
              </w:rPr>
              <w:t>是否跨部门联合检查</w:t>
            </w:r>
          </w:p>
        </w:tc>
      </w:tr>
      <w:tr w14:paraId="2A2472A2">
        <w:tblPrEx>
          <w:tblCellMar>
            <w:top w:w="0" w:type="dxa"/>
            <w:left w:w="108" w:type="dxa"/>
            <w:bottom w:w="0" w:type="dxa"/>
            <w:right w:w="108" w:type="dxa"/>
          </w:tblCellMar>
        </w:tblPrEx>
        <w:trPr>
          <w:trHeight w:val="572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033FA4C">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1</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E661441">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对歌舞娱乐场所的行政检查</w:t>
            </w:r>
          </w:p>
        </w:tc>
        <w:tc>
          <w:tcPr>
            <w:tcW w:w="4151"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4B82C77">
            <w:pPr>
              <w:keepNext w:val="0"/>
              <w:keepLines w:val="0"/>
              <w:pageBreakBefore w:val="0"/>
              <w:widowControl/>
              <w:suppressLineNumbers w:val="0"/>
              <w:kinsoku/>
              <w:wordWrap/>
              <w:overflowPunct/>
              <w:topLinePunct w:val="0"/>
              <w:bidi w:val="0"/>
              <w:adjustRightInd/>
              <w:snapToGrid/>
              <w:jc w:val="left"/>
              <w:textAlignment w:val="center"/>
            </w:pPr>
            <w:r>
              <w:rPr>
                <w:rFonts w:hint="default"/>
                <w:lang w:val="en-US" w:eastAsia="zh-CN"/>
              </w:rPr>
              <w:t>《中华人民共和国未成年人保护法》第九条  各级人民政府应当重视和加强未成年人保护工作。县级以上人民政府负责妇女儿童工作的机 构，负责未成年人保护工作的组织、协调、指导、督促，有关部门在各自职责范围内做好相关工作。 《娱乐场所管理条例》第三条  县级以上人民政府文化主管部门负责对娱乐场所日常经营活动的监督管理；县级以上公安部 门负责对娱乐场所消防、治安状况的监督管理。《娱乐场所管理办法》第四条  县级以上人民政府文化和旅游主管部门负责所在地娱乐场所经营活动的监管，负责娱乐场所 提供的文化产品的内容监管，负责指导所在地娱乐场所行业协会工作。</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14D9AE9">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hint="eastAsia" w:ascii="QCIx0zfn+NSimSun" w:hAnsi="QCIx0zfn+NSimSun" w:eastAsia="QCIx0zfn+NSimSun"/>
                <w:color w:val="000000"/>
                <w:sz w:val="20"/>
              </w:rPr>
            </w:pPr>
          </w:p>
          <w:p w14:paraId="369F6B2B">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both"/>
              <w:rPr>
                <w:rFonts w:hint="eastAsia" w:eastAsia="宋体"/>
                <w:lang w:eastAsia="zh-CN"/>
              </w:rPr>
            </w:pPr>
            <w:r>
              <w:rPr>
                <w:rFonts w:hint="eastAsia" w:ascii="QCIx0zfn+NSimSun" w:hAnsi="QCIx0zfn+NSimSun" w:eastAsia="QCIx0zfn+NSimSun"/>
                <w:color w:val="000000"/>
                <w:sz w:val="20"/>
              </w:rPr>
              <w:t>从事娱乐场所经营活动的</w:t>
            </w:r>
            <w:r>
              <w:rPr>
                <w:rFonts w:hint="eastAsia" w:ascii="QCIx0zfn+NSimSun" w:hAnsi="QCIx0zfn+NSimSun" w:eastAsia="QCIx0zfn+NSimSun"/>
                <w:color w:val="000000"/>
                <w:sz w:val="20"/>
                <w:lang w:eastAsia="zh-CN"/>
              </w:rPr>
              <w:t>市场主体</w:t>
            </w:r>
          </w:p>
        </w:tc>
        <w:tc>
          <w:tcPr>
            <w:tcW w:w="114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4118959">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A2A0EAE">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38E3D519">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查</w:t>
            </w:r>
          </w:p>
        </w:tc>
        <w:tc>
          <w:tcPr>
            <w:tcW w:w="445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274009D">
            <w:pPr>
              <w:keepNext w:val="0"/>
              <w:keepLines w:val="0"/>
              <w:pageBreakBefore w:val="0"/>
              <w:widowControl w:val="0"/>
              <w:kinsoku/>
              <w:wordWrap/>
              <w:overflowPunct/>
              <w:topLinePunct w:val="0"/>
              <w:autoSpaceDE/>
              <w:autoSpaceDN/>
              <w:bidi w:val="0"/>
              <w:adjustRightInd/>
              <w:snapToGrid/>
              <w:spacing w:line="240" w:lineRule="exact"/>
              <w:textAlignment w:val="auto"/>
            </w:pPr>
            <w:r>
              <w:rPr>
                <w:rFonts w:hint="eastAsia" w:ascii="QCIx0zfn+NSimSun" w:hAnsi="QCIx0zfn+NSimSun" w:eastAsia="QCIx0zfn+NSimSun"/>
                <w:color w:val="000000"/>
                <w:sz w:val="20"/>
              </w:rPr>
              <w:t>（</w:t>
            </w:r>
            <w:r>
              <w:rPr>
                <w:rFonts w:hint="eastAsia"/>
              </w:rPr>
              <w:t>一）是否具备申请从事歌舞娱乐场所经营活动所需条件；（二）是否持有娱乐经营许可证，许可证是否在有效期内，许可证载明事项是否与现场检查情况一致；（三）现场容纳的消费者数量是否超过核定人数；（四）是否在显著位置悬挂娱乐经营许可证、未成年人禁入标志，禁入标志上是否注明举报电话；（五）是否接纳未成年人；（六）歌曲点播系统是否与境外的曲库联接；（七）播放的曲目、屏幕画面以及播放、表演的节目是否含有《娱乐场所管理条例》第十三条规定的禁止内容；（八）是否按规定建立从业人员名簿、营业日志；（九）从业人员在营业期间是否统一着装并佩带工作标志；（十）是否在上午8时至凌晨2时以外的时间营业；</w:t>
            </w:r>
            <w:r>
              <w:rPr>
                <w:rFonts w:hint="eastAsia" w:ascii="QCIx0zfn+NSimSun" w:hAnsi="QCIx0zfn+NSimSun" w:eastAsia="QCIx0zfn+NSimSun"/>
                <w:color w:val="000000"/>
                <w:sz w:val="20"/>
              </w:rPr>
              <w:t>（十一）是否为未经文化和旅游主管部门批准的营业性演出活动提供场地；（十二）是否对违法犯罪行为及时采取措施制止并依法报告；（十三）是否配合文化和旅游主管部门的技术监管措施。</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47F1E38">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hint="eastAsia" w:eastAsiaTheme="minorEastAsia"/>
                <w:lang w:eastAsia="zh-CN"/>
              </w:rPr>
            </w:pPr>
            <w:r>
              <w:rPr>
                <w:rFonts w:hint="eastAsia" w:ascii="QCIx0zfn+NSimSun" w:hAnsi="QCIx0zfn+NSimSun" w:eastAsia="宋体"/>
                <w:color w:val="000000"/>
                <w:sz w:val="20"/>
                <w:lang w:eastAsia="zh-CN"/>
              </w:rPr>
              <w:t>井陉县文化广电体育和旅游局</w:t>
            </w:r>
          </w:p>
        </w:tc>
        <w:tc>
          <w:tcPr>
            <w:tcW w:w="57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28CA170">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907"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A28E0F1">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否</w:t>
            </w:r>
          </w:p>
        </w:tc>
      </w:tr>
      <w:tr w14:paraId="58F36083">
        <w:tblPrEx>
          <w:tblCellMar>
            <w:top w:w="0" w:type="dxa"/>
            <w:left w:w="108" w:type="dxa"/>
            <w:bottom w:w="0" w:type="dxa"/>
            <w:right w:w="108" w:type="dxa"/>
          </w:tblCellMar>
        </w:tblPrEx>
        <w:trPr>
          <w:trHeight w:val="5992"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EAF0921">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2</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0604CD2">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对游艺娱乐场所的行政检查</w:t>
            </w:r>
          </w:p>
        </w:tc>
        <w:tc>
          <w:tcPr>
            <w:tcW w:w="4151"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8ABD157">
            <w:pPr>
              <w:keepNext w:val="0"/>
              <w:keepLines w:val="0"/>
              <w:pageBreakBefore w:val="0"/>
              <w:widowControl/>
              <w:suppressLineNumbers w:val="0"/>
              <w:kinsoku/>
              <w:wordWrap/>
              <w:overflowPunct/>
              <w:topLinePunct w:val="0"/>
              <w:bidi w:val="0"/>
              <w:adjustRightInd/>
              <w:snapToGrid/>
              <w:jc w:val="left"/>
              <w:textAlignment w:val="center"/>
            </w:pPr>
            <w:r>
              <w:rPr>
                <w:rFonts w:hint="default"/>
                <w:lang w:val="en-US" w:eastAsia="zh-CN"/>
              </w:rPr>
              <w:t>《中华人民共和国未成年人保护法》第九条  各级人民政府应当重视和加强未成年人保护工作。县级以上人民政府负责妇女儿童工作的机 构，负责未成年人保护工作的组织、协调、指导、督促，有关部门在各自职责范围内做好相关工作。 《娱乐场所管理条例》第三条  县级以上人民政府文化主管部门负责对娱乐场所日常经营活动的监督管理；县级以上公安部 门负责对娱乐场所消防、治安状况的监督管理。《娱乐场所管理办法》第四条  县级以上人民政府文化和旅游主管部门负责所在地娱乐场所经营活动的监管，负责娱乐场所 提供的文化产品的内容监管，负责指导所在地娱乐场所行业协会工作。</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A3131F6">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center"/>
              <w:rPr>
                <w:rFonts w:hint="eastAsia" w:eastAsia="宋体"/>
                <w:lang w:eastAsia="zh-CN"/>
              </w:rPr>
            </w:pPr>
            <w:r>
              <w:rPr>
                <w:rFonts w:hint="eastAsia" w:ascii="QCIx0zfn+NSimSun" w:hAnsi="QCIx0zfn+NSimSun" w:eastAsia="QCIx0zfn+NSimSun"/>
                <w:color w:val="000000"/>
                <w:sz w:val="20"/>
              </w:rPr>
              <w:t>从</w:t>
            </w:r>
            <w:r>
              <w:rPr>
                <w:rFonts w:hint="eastAsia" w:ascii="QCIx0zfn+NSimSun" w:hAnsi="QCIx0zfn+NSimSun" w:eastAsia="QCIx0zfn+NSimSun"/>
                <w:color w:val="000000"/>
                <w:sz w:val="21"/>
                <w:szCs w:val="21"/>
              </w:rPr>
              <w:t>事</w:t>
            </w:r>
            <w:r>
              <w:rPr>
                <w:rFonts w:hint="eastAsia" w:ascii="QCIx0zfn+NSimSun" w:hAnsi="QCIx0zfn+NSimSun" w:eastAsia="QCIx0zfn+NSimSun"/>
                <w:color w:val="000000"/>
                <w:sz w:val="21"/>
                <w:szCs w:val="21"/>
                <w:lang w:eastAsia="zh-CN"/>
              </w:rPr>
              <w:t>游艺娱乐</w:t>
            </w:r>
            <w:r>
              <w:rPr>
                <w:rFonts w:hint="eastAsia" w:ascii="QCIx0zfn+NSimSun" w:hAnsi="QCIx0zfn+NSimSun" w:eastAsia="QCIx0zfn+NSimSun"/>
                <w:color w:val="000000"/>
                <w:sz w:val="21"/>
                <w:szCs w:val="21"/>
              </w:rPr>
              <w:t>场所经营活动的</w:t>
            </w:r>
            <w:r>
              <w:rPr>
                <w:rFonts w:hint="eastAsia" w:ascii="QCIx0zfn+NSimSun" w:hAnsi="QCIx0zfn+NSimSun" w:eastAsia="QCIx0zfn+NSimSun"/>
                <w:color w:val="000000"/>
                <w:sz w:val="21"/>
                <w:szCs w:val="21"/>
                <w:lang w:eastAsia="zh-CN"/>
              </w:rPr>
              <w:t>市</w:t>
            </w:r>
            <w:r>
              <w:rPr>
                <w:rFonts w:hint="eastAsia" w:ascii="QCIx0zfn+NSimSun" w:hAnsi="QCIx0zfn+NSimSun" w:eastAsia="QCIx0zfn+NSimSun"/>
                <w:color w:val="000000"/>
                <w:sz w:val="20"/>
                <w:lang w:eastAsia="zh-CN"/>
              </w:rPr>
              <w:t>场主体</w:t>
            </w:r>
          </w:p>
        </w:tc>
        <w:tc>
          <w:tcPr>
            <w:tcW w:w="114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7ACEB7D">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E3D428C">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2840F4E0">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查</w:t>
            </w:r>
          </w:p>
        </w:tc>
        <w:tc>
          <w:tcPr>
            <w:tcW w:w="445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5167556">
            <w:pPr>
              <w:keepNext w:val="0"/>
              <w:keepLines w:val="0"/>
              <w:pageBreakBefore w:val="0"/>
              <w:widowControl w:val="0"/>
              <w:kinsoku/>
              <w:wordWrap/>
              <w:overflowPunct/>
              <w:topLinePunct w:val="0"/>
              <w:autoSpaceDE/>
              <w:autoSpaceDN/>
              <w:bidi w:val="0"/>
              <w:adjustRightInd/>
              <w:snapToGrid/>
              <w:spacing w:line="240" w:lineRule="exact"/>
              <w:textAlignment w:val="auto"/>
            </w:pPr>
            <w:r>
              <w:rPr>
                <w:rFonts w:hint="eastAsia"/>
              </w:rPr>
              <w:t>（一）是否具备申请从事游艺娱乐场所经营活动所需条件；（二）是否持有娱乐经营许可证，许可证是否在有效期内，许可证载明事项是否与现场检查情况一致；（三）现场容纳的消费者数量是否超过核定人数；（四）是否在显著位置悬挂娱乐经营许可证、未成年人限入标志，限入标志上是否注明举报电话；</w:t>
            </w:r>
            <w:r>
              <w:rPr>
                <w:rFonts w:hint="eastAsia" w:ascii="QCIx0zfn+NSimSun" w:hAnsi="QCIx0zfn+NSimSun" w:eastAsia="QCIx0zfn+NSimSun"/>
                <w:color w:val="000000"/>
                <w:sz w:val="20"/>
              </w:rPr>
              <w:t>（五）设置的电子游戏机是否在国家法定节假日外向未成年人提供；（六）设置的电子游戏机内的游戏项目是否含有《娱乐场所管理条例》第十三条规定的禁止内容；（七）是否按规定建立从业人员名簿、营业日志；（八）从业人员在营业期间是否统一着装并佩带工作标志；（九）是否在上午8时至凌晨2时以外的时间营业；（十）是否为未经文化和旅游主管部门批准的营业性演出活动提供场地；（十一）是否对违法犯罪行为及时采取措施制止并依法报告；（十二）是否配合文化和旅游主管部门的技术监管措施。</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A7913F7">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57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03CEC5C">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907"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F3900DC">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bl>
    <w:p w14:paraId="536113E6">
      <w:pPr>
        <w:keepNext w:val="0"/>
        <w:keepLines w:val="0"/>
        <w:pageBreakBefore w:val="0"/>
        <w:widowControl/>
        <w:kinsoku/>
        <w:wordWrap/>
        <w:overflowPunct/>
        <w:topLinePunct w:val="0"/>
        <w:autoSpaceDE w:val="0"/>
        <w:autoSpaceDN w:val="0"/>
        <w:bidi w:val="0"/>
        <w:adjustRightInd/>
        <w:snapToGrid/>
        <w:spacing w:after="0" w:line="14" w:lineRule="exact"/>
        <w:ind w:left="0" w:right="0"/>
      </w:pPr>
    </w:p>
    <w:p w14:paraId="3CEB929B">
      <w:pPr>
        <w:keepNext w:val="0"/>
        <w:keepLines w:val="0"/>
        <w:pageBreakBefore w:val="0"/>
        <w:kinsoku/>
        <w:wordWrap/>
        <w:overflowPunct/>
        <w:topLinePunct w:val="0"/>
        <w:bidi w:val="0"/>
        <w:adjustRightInd/>
        <w:snapToGrid/>
        <w:sectPr>
          <w:pgSz w:w="16838" w:h="11906"/>
          <w:pgMar w:top="586" w:right="394" w:bottom="1440" w:left="348" w:header="720" w:footer="720" w:gutter="0"/>
          <w:cols w:equalWidth="0" w:num="1">
            <w:col w:w="16096"/>
          </w:cols>
          <w:docGrid w:linePitch="360" w:charSpace="0"/>
        </w:sectPr>
      </w:pPr>
    </w:p>
    <w:p w14:paraId="69309E81">
      <w:pPr>
        <w:keepNext w:val="0"/>
        <w:keepLines w:val="0"/>
        <w:pageBreakBefore w:val="0"/>
        <w:widowControl/>
        <w:kinsoku/>
        <w:wordWrap/>
        <w:overflowPunct/>
        <w:topLinePunct w:val="0"/>
        <w:autoSpaceDE w:val="0"/>
        <w:autoSpaceDN w:val="0"/>
        <w:bidi w:val="0"/>
        <w:adjustRightInd/>
        <w:snapToGrid/>
        <w:spacing w:after="0" w:line="220" w:lineRule="exact"/>
        <w:ind w:left="0" w:right="0"/>
      </w:pPr>
    </w:p>
    <w:tbl>
      <w:tblPr>
        <w:tblStyle w:val="2"/>
        <w:tblW w:w="0" w:type="auto"/>
        <w:tblInd w:w="11" w:type="dxa"/>
        <w:tblLayout w:type="fixed"/>
        <w:tblCellMar>
          <w:top w:w="0" w:type="dxa"/>
          <w:left w:w="108" w:type="dxa"/>
          <w:bottom w:w="0" w:type="dxa"/>
          <w:right w:w="108" w:type="dxa"/>
        </w:tblCellMar>
      </w:tblPr>
      <w:tblGrid>
        <w:gridCol w:w="622"/>
        <w:gridCol w:w="1436"/>
        <w:gridCol w:w="4136"/>
        <w:gridCol w:w="1380"/>
        <w:gridCol w:w="1155"/>
        <w:gridCol w:w="705"/>
        <w:gridCol w:w="4410"/>
        <w:gridCol w:w="750"/>
        <w:gridCol w:w="570"/>
        <w:gridCol w:w="892"/>
      </w:tblGrid>
      <w:tr w14:paraId="1D1A1A02">
        <w:tblPrEx>
          <w:tblCellMar>
            <w:top w:w="0" w:type="dxa"/>
            <w:left w:w="108" w:type="dxa"/>
            <w:bottom w:w="0" w:type="dxa"/>
            <w:right w:w="108" w:type="dxa"/>
          </w:tblCellMar>
        </w:tblPrEx>
        <w:trPr>
          <w:trHeight w:val="6772"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E0B1A3D">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3</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1F377E4">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对互联网上网服务营业场所的行政检查</w:t>
            </w:r>
          </w:p>
        </w:tc>
        <w:tc>
          <w:tcPr>
            <w:tcW w:w="41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10F99BC">
            <w:pPr>
              <w:keepNext w:val="0"/>
              <w:keepLines w:val="0"/>
              <w:pageBreakBefore w:val="0"/>
              <w:widowControl/>
              <w:suppressLineNumbers w:val="0"/>
              <w:kinsoku/>
              <w:wordWrap/>
              <w:overflowPunct/>
              <w:topLinePunct w:val="0"/>
              <w:bidi w:val="0"/>
              <w:adjustRightInd/>
              <w:snapToGrid/>
              <w:jc w:val="left"/>
              <w:textAlignment w:val="center"/>
            </w:pPr>
            <w:r>
              <w:rPr>
                <w:rFonts w:hint="default"/>
                <w:lang w:val="en-US" w:eastAsia="zh-CN"/>
              </w:rPr>
              <w:t>《中华人民共和国未成年人保护法》第九条  各级人民政府应当重视和加强未成年人保护工作。县级以上人民政府负责妇女儿童工作的机构，负责未成年人保护工作的组织、协调、指导、督促，有关部门在各自职责范围内做好相关工作。《互联网上网服务营业场所管理条例》第四条  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56356AB">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hint="eastAsia" w:eastAsia="宋体"/>
                <w:lang w:eastAsia="zh-CN"/>
              </w:rPr>
            </w:pPr>
            <w:r>
              <w:rPr>
                <w:rFonts w:hint="eastAsia" w:ascii="QCIx0zfn+NSimSun" w:hAnsi="QCIx0zfn+NSimSun" w:eastAsia="QCIx0zfn+NSimSun"/>
                <w:color w:val="000000"/>
                <w:sz w:val="20"/>
              </w:rPr>
              <w:t>从事互联网上网服务营业场所经营活动的</w:t>
            </w:r>
            <w:r>
              <w:rPr>
                <w:rFonts w:hint="eastAsia" w:ascii="QCIx0zfn+NSimSun" w:hAnsi="QCIx0zfn+NSimSun" w:eastAsia="QCIx0zfn+NSimSun"/>
                <w:color w:val="000000"/>
                <w:sz w:val="20"/>
                <w:lang w:eastAsia="zh-CN"/>
              </w:rPr>
              <w:t>市场主体</w:t>
            </w:r>
          </w:p>
        </w:tc>
        <w:tc>
          <w:tcPr>
            <w:tcW w:w="115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B16A8B9">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1年内不超过</w:t>
            </w:r>
          </w:p>
          <w:p w14:paraId="15C1882B">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10次</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12B8496">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56D4BA1E">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E82A978">
            <w:pPr>
              <w:keepNext w:val="0"/>
              <w:keepLines w:val="0"/>
              <w:pageBreakBefore w:val="0"/>
              <w:widowControl w:val="0"/>
              <w:kinsoku/>
              <w:wordWrap/>
              <w:overflowPunct/>
              <w:topLinePunct w:val="0"/>
              <w:autoSpaceDE/>
              <w:autoSpaceDN/>
              <w:bidi w:val="0"/>
              <w:adjustRightInd/>
              <w:snapToGrid/>
              <w:spacing w:line="240" w:lineRule="exact"/>
              <w:textAlignment w:val="auto"/>
            </w:pPr>
            <w:r>
              <w:rPr>
                <w:rFonts w:hint="eastAsia" w:ascii="QCIx0zfn+NSimSun" w:hAnsi="QCIx0zfn+NSimSun" w:eastAsia="QCIx0zfn+NSimSun"/>
                <w:color w:val="000000"/>
                <w:sz w:val="20"/>
              </w:rPr>
              <w:t>（一）是否具备互联网上网服务营业场所经营活动所需条件；（二）是否持有网络文化经营许可证，许可证载明事项是否与现场检查情况一致；（三）是否涂改、 出租、 出借或者以其他方式转让网络文化经营许可证；（四）是否在营业场所的显著位置悬挂网络文化经营许可证，是否在入口处的显著位置悬挂未成年人禁入标志；（五）是否按规定核对、登记上网消费者的有效身份证件或者记录有关上网信息，其登记内容和记录备份保存时间是否不少于60 日且无删改记录；（六）是否接纳未成年人；（七）是否擅自停止实施经营管理技术措施；（八）是否在8时至24时以外的时间营业（互联网上网服务营业场所管理长效试点地区除外）；（九）是否经营非网络游戏（互联网上网服务营业场所管理长效试点地区除外）；（十）是否建立场内巡查制度，发现上网消费者的违法行为是否制止并向文化和旅游行政部门、公安机关举报。</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67AB179">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57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EEA53CB">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89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E5FC417">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11247521">
        <w:tblPrEx>
          <w:tblCellMar>
            <w:top w:w="0" w:type="dxa"/>
            <w:left w:w="108" w:type="dxa"/>
            <w:bottom w:w="0" w:type="dxa"/>
            <w:right w:w="108" w:type="dxa"/>
          </w:tblCellMar>
        </w:tblPrEx>
        <w:trPr>
          <w:trHeight w:val="10434"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E9917AE">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4</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DC8C95B">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对营业性演出活动的演出举办单位的行政检查</w:t>
            </w:r>
          </w:p>
        </w:tc>
        <w:tc>
          <w:tcPr>
            <w:tcW w:w="41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B2D72A8">
            <w:pPr>
              <w:keepNext w:val="0"/>
              <w:keepLines w:val="0"/>
              <w:pageBreakBefore w:val="0"/>
              <w:widowControl/>
              <w:suppressLineNumbers w:val="0"/>
              <w:kinsoku/>
              <w:wordWrap/>
              <w:overflowPunct/>
              <w:topLinePunct w:val="0"/>
              <w:bidi w:val="0"/>
              <w:adjustRightInd/>
              <w:snapToGrid/>
              <w:jc w:val="left"/>
              <w:textAlignment w:val="center"/>
            </w:pPr>
            <w:r>
              <w:rPr>
                <w:rFonts w:hint="default"/>
                <w:lang w:val="en-US" w:eastAsia="zh-CN"/>
              </w:rPr>
              <w:t>《中华人民共和国未成年人保护法》第九条  各级人民政府应当重视和加强未成年人保护工作。县级以上人民政府负责妇女儿童工作的机构，负责未成年人保护工作的组织、协调、指导、督促，有关部门在各自职责范围内做好相关工作。《营业性演出管理条例》第五条  国务院文化主管部门主管全国营业性演出的监督管理工作。 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428A21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QCIx0zfn+NSimSun" w:hAnsi="QCIx0zfn+NSimSun" w:eastAsia="QCIx0zfn+NSimSun"/>
                <w:color w:val="000000"/>
                <w:sz w:val="20"/>
              </w:rPr>
            </w:pPr>
            <w:r>
              <w:rPr>
                <w:rFonts w:hint="eastAsia" w:ascii="QCIx0zfn+NSimSun" w:hAnsi="QCIx0zfn+NSimSun" w:eastAsia="QCIx0zfn+NSimSun"/>
                <w:color w:val="000000"/>
                <w:sz w:val="20"/>
              </w:rPr>
              <w:t>从事营业性演</w:t>
            </w:r>
          </w:p>
          <w:p w14:paraId="7ADA01B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eastAsia="宋体"/>
                <w:lang w:eastAsia="zh-CN"/>
              </w:rPr>
            </w:pPr>
            <w:r>
              <w:rPr>
                <w:rFonts w:hint="eastAsia" w:ascii="QCIx0zfn+NSimSun" w:hAnsi="QCIx0zfn+NSimSun" w:eastAsia="QCIx0zfn+NSimSun"/>
                <w:color w:val="000000"/>
                <w:sz w:val="20"/>
              </w:rPr>
              <w:t>出活动的</w:t>
            </w:r>
            <w:r>
              <w:rPr>
                <w:rFonts w:hint="eastAsia" w:ascii="QCIx0zfn+NSimSun" w:hAnsi="QCIx0zfn+NSimSun" w:eastAsia="QCIx0zfn+NSimSun"/>
                <w:color w:val="000000"/>
                <w:sz w:val="20"/>
                <w:lang w:eastAsia="zh-CN"/>
              </w:rPr>
              <w:t>市场主体</w:t>
            </w:r>
          </w:p>
        </w:tc>
        <w:tc>
          <w:tcPr>
            <w:tcW w:w="115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074D3F3">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1年内不超过</w:t>
            </w:r>
          </w:p>
          <w:p w14:paraId="26CA7656">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10次</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C06B105">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6F24D11C">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7199FB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eastAsia="宋体"/>
                <w:lang w:eastAsia="zh-CN"/>
              </w:rPr>
            </w:pPr>
            <w:r>
              <w:rPr>
                <w:rFonts w:hint="eastAsia" w:ascii="QCIx0zfn+NSimSun" w:hAnsi="QCIx0zfn+NSimSun" w:eastAsia="QCIx0zfn+NSimSun"/>
                <w:color w:val="000000"/>
                <w:sz w:val="20"/>
              </w:rPr>
              <w:t>（一）文艺表演团体、演出经纪机构是否持有营业性演出许可证，许可证是否在有效期内，或者演出场所经营单位是否持有演出 场所经营单位备案证明；（二）是否依法取得文化和旅游主管部门的批准文件，批准文件载明事项是否与现场检查情况一致；（三）是否超范围从事营业性演出经营活动；（四）变更演出举办单位、参加演出的文艺表演团体、演员或者节目，或者变更演出的名称、 时间、地点、场次，是否重新报 批；（五）是否伪造、变造、 出租、  出借、买卖营业性演出许可证、批准文件，或者以非法手段取得营业性演出许可证、批准文件；（六）举办的营业性演出是否含有《营业性演出管理条例》第二十五条规定的禁止情形，发现营业性演出有禁止情形的，演出举办单位是否采取措施予以制止并同时向演出所在地县级文化和旅游主管部门、公安部门报告；（七）是否非因不可抗力中止、停止或者退出演出；（八）举办的营业性演出的文艺表演团体、主要演员或者主要节目内容等发生变更后，是否及时告知观众；（九）是否以假唱、假演奏欺骗观众，或者为假唱、假演奏提供条件；（十）举办的营业性演出是否以政府或者政府部门的名义举办，或者冠以“中国 ”“ 中华 ”“全国 ”“ 国际 ”等字样；（十一）临时搭建舞台、看台的营业性演出的演出举办单位是否在演出前向演出所在地县级文化和旅游主管部门提交演出场所合格证明；（十二）演出举办单位或者其法定代表人、主要负责人及其他直接责任人员是否在募捐义演中获取经济利益；（十三）举办的募捐义演或者符合《营业性演出管理条例实施细则》第二条所述方式的公益性演出是否办理审批手续；（十四）是否在演出经营活动中不履行应尽义务，倒卖、转让演出活动经营权；（十五）是否未经批准擅自出售演出门票；（十六）是否有演唱、演奏记录</w:t>
            </w:r>
            <w:r>
              <w:rPr>
                <w:rFonts w:hint="eastAsia" w:ascii="QCIx0zfn+NSimSun" w:hAnsi="QCIx0zfn+NSimSun" w:eastAsia="宋体"/>
                <w:color w:val="000000"/>
                <w:sz w:val="20"/>
                <w:lang w:eastAsia="zh-CN"/>
              </w:rPr>
              <w:t>。</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17D5DE4">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57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2711190">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89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00B5F7B">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0FE3F7AF">
        <w:tblPrEx>
          <w:tblCellMar>
            <w:top w:w="0" w:type="dxa"/>
            <w:left w:w="108" w:type="dxa"/>
            <w:bottom w:w="0" w:type="dxa"/>
            <w:right w:w="108" w:type="dxa"/>
          </w:tblCellMar>
        </w:tblPrEx>
        <w:trPr>
          <w:trHeight w:val="7561"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8F5EA85">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5</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F9FD58B">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对营业性演出活动涉及的文艺表演团体的行政检查</w:t>
            </w:r>
          </w:p>
        </w:tc>
        <w:tc>
          <w:tcPr>
            <w:tcW w:w="41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134C30F">
            <w:pPr>
              <w:keepNext w:val="0"/>
              <w:keepLines w:val="0"/>
              <w:pageBreakBefore w:val="0"/>
              <w:widowControl/>
              <w:suppressLineNumbers w:val="0"/>
              <w:kinsoku/>
              <w:wordWrap/>
              <w:overflowPunct/>
              <w:topLinePunct w:val="0"/>
              <w:bidi w:val="0"/>
              <w:adjustRightInd/>
              <w:snapToGrid/>
              <w:jc w:val="left"/>
              <w:textAlignment w:val="center"/>
            </w:pPr>
            <w:r>
              <w:rPr>
                <w:rFonts w:hint="default" w:ascii="QCIx0zfn+NSimSun" w:hAnsi="QCIx0zfn+NSimSun" w:eastAsia="QCIx0zfn+NSimSun"/>
                <w:color w:val="000000"/>
                <w:sz w:val="20"/>
                <w:lang w:val="en-US" w:eastAsia="zh-CN"/>
              </w:rPr>
              <w:t>《中华人民共和国未成年人保护法》第九条  各级人民政府应当重视和加强未成年人保护工作。县级以上人民政府负责妇女儿童工作的机构，负责未成年人保护工作的组织、协调、指导、督促，有关部门在各自职责范围内做好相关工作。《营业性演出管理条例》第五条  国务院文化主管部门主管全国营业性演出的监督管理工作。 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111B443">
            <w:pPr>
              <w:keepNext w:val="0"/>
              <w:keepLines w:val="0"/>
              <w:pageBreakBefore w:val="0"/>
              <w:widowControl w:val="0"/>
              <w:kinsoku/>
              <w:wordWrap/>
              <w:overflowPunct/>
              <w:topLinePunct w:val="0"/>
              <w:autoSpaceDE/>
              <w:autoSpaceDN/>
              <w:bidi w:val="0"/>
              <w:adjustRightInd/>
              <w:snapToGrid/>
              <w:spacing w:line="240" w:lineRule="exact"/>
              <w:textAlignment w:val="auto"/>
            </w:pPr>
            <w:r>
              <w:rPr>
                <w:rFonts w:hint="eastAsia" w:ascii="QCIx0zfn+NSimSun" w:hAnsi="QCIx0zfn+NSimSun" w:eastAsia="QCIx0zfn+NSimSun"/>
                <w:color w:val="000000"/>
                <w:sz w:val="20"/>
              </w:rPr>
              <w:t>从事营业性演出活动的</w:t>
            </w:r>
            <w:r>
              <w:rPr>
                <w:rFonts w:hint="eastAsia" w:ascii="QCIx0zfn+NSimSun" w:hAnsi="QCIx0zfn+NSimSun" w:eastAsia="QCIx0zfn+NSimSun"/>
                <w:color w:val="000000"/>
                <w:sz w:val="20"/>
                <w:lang w:eastAsia="zh-CN"/>
              </w:rPr>
              <w:t>市场主体</w:t>
            </w:r>
          </w:p>
        </w:tc>
        <w:tc>
          <w:tcPr>
            <w:tcW w:w="115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B47273C">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1年内不超过</w:t>
            </w:r>
          </w:p>
          <w:p w14:paraId="07AEB97A">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10次</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0F966D8">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7997B0EA">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24179B0">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left"/>
            </w:pPr>
            <w:r>
              <w:rPr>
                <w:rFonts w:hint="eastAsia" w:ascii="QCIx0zfn+NSimSun" w:hAnsi="QCIx0zfn+NSimSun" w:eastAsia="QCIx0zfn+NSimSun"/>
                <w:color w:val="000000"/>
                <w:sz w:val="20"/>
              </w:rPr>
              <w:t>（一）是否持有营业性演出许可证，许可证是否在有效期内；（二）变更名称、住所、法定代表人或者主要负责人、营业性演出经营项目的，是否向原发证机关申请换发营业性演出许可证；（三）文艺表演团体或者演员、职员是否在募捐义演中获取经济利益；（四）文艺表演团体、演员是否非因不可抗力中止、停止或者退出演出；（五）文艺表演团体、演员是否以假唱、假演奏欺骗观众，文艺表演团体是否为假唱、假演奏提供条件。</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0B5E52C">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57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EE0BC1D">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89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A13BCAE">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16F62B29">
        <w:tblPrEx>
          <w:tblCellMar>
            <w:top w:w="0" w:type="dxa"/>
            <w:left w:w="108" w:type="dxa"/>
            <w:bottom w:w="0" w:type="dxa"/>
            <w:right w:w="108" w:type="dxa"/>
          </w:tblCellMar>
        </w:tblPrEx>
        <w:trPr>
          <w:trHeight w:val="819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80DE457">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6</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CCE4C54">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对营业性演出涉及的演出经纪机构的行政检查</w:t>
            </w:r>
          </w:p>
        </w:tc>
        <w:tc>
          <w:tcPr>
            <w:tcW w:w="41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6E0612E">
            <w:pPr>
              <w:keepNext w:val="0"/>
              <w:keepLines w:val="0"/>
              <w:pageBreakBefore w:val="0"/>
              <w:widowControl/>
              <w:suppressLineNumbers w:val="0"/>
              <w:kinsoku/>
              <w:wordWrap/>
              <w:overflowPunct/>
              <w:topLinePunct w:val="0"/>
              <w:bidi w:val="0"/>
              <w:adjustRightInd/>
              <w:snapToGrid/>
              <w:jc w:val="left"/>
              <w:textAlignment w:val="center"/>
            </w:pPr>
            <w:r>
              <w:rPr>
                <w:rFonts w:hint="default" w:ascii="QCIx0zfn+NSimSun" w:hAnsi="QCIx0zfn+NSimSun" w:eastAsia="QCIx0zfn+NSimSun"/>
                <w:color w:val="000000"/>
                <w:sz w:val="20"/>
                <w:lang w:val="en-US" w:eastAsia="zh-CN"/>
              </w:rPr>
              <w:t>《中华人民共和国未成年人保护法》第九条  各级人民政府应当重视和加强未成年人保护工作。县级以上人民政府负责妇女儿童工作的机构，负责未成年人保护工作的组织、协调、指导、督促，有关部门在各自职责范围内做好相关工作。《营业性演出管理条例》第五条  国务院文化主管部门主管全国营业性演出的监督管理工作。 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930B91C">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center"/>
            </w:pPr>
            <w:r>
              <w:rPr>
                <w:rFonts w:hint="eastAsia" w:ascii="QCIx0zfn+NSimSun" w:hAnsi="QCIx0zfn+NSimSun" w:eastAsia="QCIx0zfn+NSimSun"/>
                <w:color w:val="000000"/>
                <w:sz w:val="20"/>
              </w:rPr>
              <w:t>从事营业性演出活动的</w:t>
            </w:r>
            <w:r>
              <w:rPr>
                <w:rFonts w:hint="eastAsia" w:ascii="QCIx0zfn+NSimSun" w:hAnsi="QCIx0zfn+NSimSun" w:eastAsia="QCIx0zfn+NSimSun"/>
                <w:color w:val="000000"/>
                <w:sz w:val="20"/>
                <w:lang w:eastAsia="zh-CN"/>
              </w:rPr>
              <w:t>市场主体</w:t>
            </w:r>
          </w:p>
        </w:tc>
        <w:tc>
          <w:tcPr>
            <w:tcW w:w="115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3B9C2A3">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1年内不超过</w:t>
            </w:r>
          </w:p>
          <w:p w14:paraId="496A0C43">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10次</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7E9A4A7">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实地检</w:t>
            </w:r>
          </w:p>
          <w:p w14:paraId="4EB7CF89">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64D5B0B">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pPr>
            <w:r>
              <w:rPr>
                <w:rFonts w:hint="eastAsia" w:ascii="QCIx0zfn+NSimSun" w:hAnsi="QCIx0zfn+NSimSun" w:eastAsia="QCIx0zfn+NSimSun"/>
                <w:color w:val="000000"/>
                <w:sz w:val="20"/>
              </w:rPr>
              <w:t>检查其是否持有营业性演出许可证，许可证是否在有效期内。</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9D910C5">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57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38FEC39">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89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7CB4A48">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22213035">
        <w:tblPrEx>
          <w:tblCellMar>
            <w:top w:w="0" w:type="dxa"/>
            <w:left w:w="108" w:type="dxa"/>
            <w:bottom w:w="0" w:type="dxa"/>
            <w:right w:w="108" w:type="dxa"/>
          </w:tblCellMar>
        </w:tblPrEx>
        <w:trPr>
          <w:trHeight w:val="819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65728E7">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7</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D074A0C">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对营业性演出涉及的演出场所经营单位的行政检查</w:t>
            </w:r>
          </w:p>
        </w:tc>
        <w:tc>
          <w:tcPr>
            <w:tcW w:w="41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8B0C782">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《中华人民共和国未成年人保护法》第九条  各级人民政府应当重视和加强未成年人保护工作。县级以上人民政府负责妇女儿童工作的机构，负责未成年人保护工作的组织、协调、指导、督促，有关部门在各自职责范围内做好相关工作。《营业性演出管理条例》第五条  国务院文化主管部门主管全国营业性演出的监督管理工作。 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4C535D6">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QCIx0zfn+NSimSun"/>
                <w:color w:val="000000"/>
                <w:sz w:val="20"/>
              </w:rPr>
              <w:t>从事营业性演出活动的</w:t>
            </w:r>
            <w:r>
              <w:rPr>
                <w:rFonts w:hint="eastAsia" w:ascii="QCIx0zfn+NSimSun" w:hAnsi="QCIx0zfn+NSimSun" w:eastAsia="QCIx0zfn+NSimSun"/>
                <w:color w:val="000000"/>
                <w:sz w:val="20"/>
                <w:lang w:eastAsia="zh-CN"/>
              </w:rPr>
              <w:t>市场主体</w:t>
            </w:r>
          </w:p>
        </w:tc>
        <w:tc>
          <w:tcPr>
            <w:tcW w:w="115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C20E4A1">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both"/>
            </w:pPr>
            <w:r>
              <w:rPr>
                <w:rFonts w:ascii="QCIx0zfn+NSimSun" w:hAnsi="QCIx0zfn+NSimSun" w:eastAsia="QCIx0zfn+NSimSun"/>
                <w:color w:val="000000"/>
                <w:sz w:val="20"/>
              </w:rPr>
              <w:t>1年内不超过</w:t>
            </w:r>
          </w:p>
          <w:p w14:paraId="23F81700">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10次</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E6717ED">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实地检</w:t>
            </w:r>
          </w:p>
          <w:p w14:paraId="0957BD57">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DD8C58D">
            <w:pPr>
              <w:keepNext w:val="0"/>
              <w:keepLines w:val="0"/>
              <w:pageBreakBefore w:val="0"/>
              <w:widowControl/>
              <w:kinsoku/>
              <w:wordWrap/>
              <w:overflowPunct/>
              <w:topLinePunct w:val="0"/>
              <w:autoSpaceDE w:val="0"/>
              <w:autoSpaceDN w:val="0"/>
              <w:bidi w:val="0"/>
              <w:adjustRightInd/>
              <w:snapToGrid/>
              <w:spacing w:after="0" w:line="246" w:lineRule="exact"/>
              <w:ind w:left="0" w:leftChars="0" w:right="0" w:rightChars="0" w:firstLine="0" w:firstLineChars="0"/>
              <w:jc w:val="both"/>
              <w:rPr>
                <w:rFonts w:hint="eastAsia" w:ascii="QCIx0zfn+NSimSun" w:hAnsi="QCIx0zfn+NSimSun" w:eastAsia="QCIx0zfn+NSimSun"/>
                <w:color w:val="000000"/>
                <w:sz w:val="20"/>
              </w:rPr>
            </w:pPr>
            <w:r>
              <w:rPr>
                <w:rFonts w:hint="eastAsia" w:ascii="QCIx0zfn+NSimSun" w:hAnsi="QCIx0zfn+NSimSun" w:eastAsia="QCIx0zfn+NSimSun"/>
                <w:color w:val="000000"/>
                <w:sz w:val="20"/>
              </w:rPr>
              <w:t>（一）是否具备为演出活动提供专业演出场地及服务等条件；（二）是否持有演出场所经营单位备案证明；（三）变更名称、住所、法定代表人或者主要负责人的，是否向原备案机关重新备案；（四）是否为未经批准的营业性演出提供场地；（五）发现营业性演出有《营业性演出管理条例》第二十五条规定的禁止情形的，是否采取措施予以制止并同时向演出所在地县 级文化和旅游主管部门、公安部门报告。</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3F47AFE">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57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6509DD4">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89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A2DE888">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bl>
    <w:p w14:paraId="7730BC29">
      <w:pPr>
        <w:keepNext w:val="0"/>
        <w:keepLines w:val="0"/>
        <w:pageBreakBefore w:val="0"/>
        <w:kinsoku/>
        <w:wordWrap/>
        <w:overflowPunct/>
        <w:topLinePunct w:val="0"/>
        <w:bidi w:val="0"/>
        <w:adjustRightInd/>
        <w:snapToGrid/>
        <w:sectPr>
          <w:pgSz w:w="16838" w:h="12306"/>
          <w:pgMar w:top="392" w:right="394" w:bottom="658" w:left="348" w:header="720" w:footer="720" w:gutter="0"/>
          <w:cols w:equalWidth="0" w:num="1">
            <w:col w:w="16096"/>
          </w:cols>
          <w:docGrid w:linePitch="360" w:charSpace="0"/>
        </w:sectPr>
      </w:pPr>
    </w:p>
    <w:p w14:paraId="0F8BC77B">
      <w:pPr>
        <w:keepNext w:val="0"/>
        <w:keepLines w:val="0"/>
        <w:pageBreakBefore w:val="0"/>
        <w:widowControl/>
        <w:kinsoku/>
        <w:wordWrap/>
        <w:overflowPunct/>
        <w:topLinePunct w:val="0"/>
        <w:autoSpaceDE w:val="0"/>
        <w:autoSpaceDN w:val="0"/>
        <w:bidi w:val="0"/>
        <w:adjustRightInd/>
        <w:snapToGrid/>
        <w:spacing w:after="0" w:line="220" w:lineRule="exact"/>
        <w:ind w:left="0" w:right="0"/>
      </w:pPr>
    </w:p>
    <w:tbl>
      <w:tblPr>
        <w:tblStyle w:val="2"/>
        <w:tblW w:w="0" w:type="auto"/>
        <w:tblInd w:w="11" w:type="dxa"/>
        <w:tblLayout w:type="fixed"/>
        <w:tblCellMar>
          <w:top w:w="0" w:type="dxa"/>
          <w:left w:w="108" w:type="dxa"/>
          <w:bottom w:w="0" w:type="dxa"/>
          <w:right w:w="108" w:type="dxa"/>
        </w:tblCellMar>
      </w:tblPr>
      <w:tblGrid>
        <w:gridCol w:w="622"/>
        <w:gridCol w:w="1436"/>
        <w:gridCol w:w="4166"/>
        <w:gridCol w:w="1365"/>
        <w:gridCol w:w="1125"/>
        <w:gridCol w:w="705"/>
        <w:gridCol w:w="4410"/>
        <w:gridCol w:w="750"/>
        <w:gridCol w:w="413"/>
        <w:gridCol w:w="1064"/>
      </w:tblGrid>
      <w:tr w14:paraId="21A68203">
        <w:tblPrEx>
          <w:tblCellMar>
            <w:top w:w="0" w:type="dxa"/>
            <w:left w:w="108" w:type="dxa"/>
            <w:bottom w:w="0" w:type="dxa"/>
            <w:right w:w="108" w:type="dxa"/>
          </w:tblCellMar>
        </w:tblPrEx>
        <w:trPr>
          <w:trHeight w:val="8008"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6A4B5B5">
            <w:pPr>
              <w:keepNext w:val="0"/>
              <w:keepLines w:val="0"/>
              <w:pageBreakBefore w:val="0"/>
              <w:widowControl/>
              <w:suppressLineNumbers w:val="0"/>
              <w:kinsoku/>
              <w:wordWrap/>
              <w:overflowPunct/>
              <w:topLinePunct w:val="0"/>
              <w:bidi w:val="0"/>
              <w:adjustRightInd/>
              <w:snapToGrid/>
              <w:jc w:val="center"/>
              <w:textAlignment w:val="center"/>
              <w:rPr>
                <w:rFonts w:hint="eastAsia" w:eastAsiaTheme="minorEastAsia"/>
                <w:lang w:eastAsia="zh-CN"/>
              </w:rPr>
            </w:pPr>
            <w:r>
              <w:rPr>
                <w:rFonts w:hint="default" w:ascii="仿宋" w:hAnsi="仿宋" w:eastAsia="仿宋" w:cs="仿宋"/>
                <w:i w:val="0"/>
                <w:iCs w:val="0"/>
                <w:color w:val="000000"/>
                <w:kern w:val="0"/>
                <w:sz w:val="24"/>
                <w:szCs w:val="24"/>
                <w:u w:val="none"/>
                <w:lang w:val="en-US" w:eastAsia="zh-CN" w:bidi="ar"/>
              </w:rPr>
              <w:t>8</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C53704B">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对营业性演出涉及的个体演员、个体演出经纪人的行政检查</w:t>
            </w:r>
          </w:p>
        </w:tc>
        <w:tc>
          <w:tcPr>
            <w:tcW w:w="416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6542FFF">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《中华人民共和国未成年人保护法》第九条  各级人民政府应当重视和加强未成年人保护工作。县级以上人民政府负责妇女儿童工作的机构，负责未成年人保护工作的组织、协调、指导、督促，有关部门在各自职责范围内做好相关工作。《营业性演出管理条例》第五条  国务院文化主管部门主管全国营业性演出的监督管理工作。 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tc>
        <w:tc>
          <w:tcPr>
            <w:tcW w:w="13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592D70B">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center"/>
            </w:pPr>
            <w:r>
              <w:rPr>
                <w:rFonts w:hint="eastAsia" w:ascii="QCIx0zfn+NSimSun" w:hAnsi="QCIx0zfn+NSimSun" w:eastAsia="QCIx0zfn+NSimSun"/>
                <w:color w:val="000000"/>
                <w:sz w:val="20"/>
              </w:rPr>
              <w:t>从事营业性演出活动的</w:t>
            </w:r>
            <w:r>
              <w:rPr>
                <w:rFonts w:hint="eastAsia" w:ascii="QCIx0zfn+NSimSun" w:hAnsi="QCIx0zfn+NSimSun" w:eastAsia="QCIx0zfn+NSimSun"/>
                <w:color w:val="000000"/>
                <w:sz w:val="20"/>
                <w:lang w:eastAsia="zh-CN"/>
              </w:rPr>
              <w:t>市场主体</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10E611C">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1年内不超过10次</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C57C8D3">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5951CA9A">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17BADE0">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both"/>
            </w:pPr>
            <w:r>
              <w:rPr>
                <w:rFonts w:hint="eastAsia" w:ascii="QCIx0zfn+NSimSun" w:hAnsi="QCIx0zfn+NSimSun" w:eastAsia="QCIx0zfn+NSimSun"/>
                <w:color w:val="000000"/>
                <w:sz w:val="20"/>
              </w:rPr>
              <w:t>（一）是否自领取营业执照之日起20日内向所在地县级文化和旅游主管部门备案；（二）个体演出经纪人是否超范围从事营业性演出经营活动；（三）个体演员是否在募捐义演中获取经济利益；（四）个体演员是否非因不可抗力中止、停止或者退出演出；（五）个体演员是否以假唱、假演奏欺骗观众；（六）经批准到艺术院校从事教学、研究工作的外国或者港澳台艺术人员从事营业性演出是否委托演出经纪机构承办。</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227A443">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413"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000D335">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563C675">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51F4A9FA">
        <w:tblPrEx>
          <w:tblCellMar>
            <w:top w:w="0" w:type="dxa"/>
            <w:left w:w="108" w:type="dxa"/>
            <w:bottom w:w="0" w:type="dxa"/>
            <w:right w:w="108" w:type="dxa"/>
          </w:tblCellMar>
        </w:tblPrEx>
        <w:trPr>
          <w:trHeight w:val="9729"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20BB82C">
            <w:pPr>
              <w:keepNext w:val="0"/>
              <w:keepLines w:val="0"/>
              <w:pageBreakBefore w:val="0"/>
              <w:widowControl/>
              <w:suppressLineNumbers w:val="0"/>
              <w:kinsoku/>
              <w:wordWrap/>
              <w:overflowPunct/>
              <w:topLinePunct w:val="0"/>
              <w:bidi w:val="0"/>
              <w:adjustRightInd/>
              <w:snapToGrid/>
              <w:jc w:val="center"/>
              <w:textAlignment w:val="center"/>
              <w:rPr>
                <w:rFonts w:hint="eastAsia" w:eastAsiaTheme="minorEastAsia"/>
                <w:lang w:eastAsia="zh-CN"/>
              </w:rPr>
            </w:pPr>
            <w:r>
              <w:rPr>
                <w:rFonts w:hint="default" w:ascii="仿宋" w:hAnsi="仿宋" w:eastAsia="仿宋" w:cs="仿宋"/>
                <w:i w:val="0"/>
                <w:iCs w:val="0"/>
                <w:color w:val="000000"/>
                <w:kern w:val="0"/>
                <w:sz w:val="24"/>
                <w:szCs w:val="24"/>
                <w:u w:val="none"/>
                <w:lang w:val="en-US" w:eastAsia="zh-CN" w:bidi="ar"/>
              </w:rPr>
              <w:t>9</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FD4E149">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对经营性互联网文化单位的行政检查</w:t>
            </w:r>
          </w:p>
        </w:tc>
        <w:tc>
          <w:tcPr>
            <w:tcW w:w="416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6A65DEC">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《互联网文化管理暂行规定》第六条  文化部负责制定互联网文化发展与管理的方针、政策和规划，监督管理全国互联网文化活动。省、 自治区、直辖市人民政府文化行政部门对申请从事经营性互联网文化活动的单位进行审批，对从事非经营性互联网文化活动的单位进行备案。县级以上人民政府文化行政部门负责本行政区域内互联网文化活动的监督管理工作。县级以上人民政府文化行政部门或者文化市场综合执法机构对从事互联网文化活动违反国家有关法规的行为实施处罚。《未成年人网络保护条例》第三条  国家网信部门负责统筹协调未成年人网络保护工作，并依据职责做好未成年人网络保护工作。</w:t>
            </w:r>
          </w:p>
        </w:tc>
        <w:tc>
          <w:tcPr>
            <w:tcW w:w="13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E05E633">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center"/>
            </w:pPr>
            <w:r>
              <w:rPr>
                <w:rFonts w:hint="eastAsia" w:ascii="仿宋" w:hAnsi="仿宋" w:eastAsia="仿宋" w:cs="仿宋"/>
                <w:i w:val="0"/>
                <w:iCs w:val="0"/>
                <w:color w:val="000000"/>
                <w:kern w:val="0"/>
                <w:sz w:val="24"/>
                <w:szCs w:val="24"/>
                <w:u w:val="none"/>
                <w:lang w:val="en-US" w:eastAsia="zh-CN" w:bidi="ar"/>
              </w:rPr>
              <w:t>从事</w:t>
            </w:r>
            <w:r>
              <w:rPr>
                <w:rFonts w:hint="default" w:ascii="仿宋" w:hAnsi="仿宋" w:eastAsia="仿宋" w:cs="仿宋"/>
                <w:i w:val="0"/>
                <w:iCs w:val="0"/>
                <w:color w:val="000000"/>
                <w:kern w:val="0"/>
                <w:sz w:val="24"/>
                <w:szCs w:val="24"/>
                <w:u w:val="none"/>
                <w:lang w:val="en-US" w:eastAsia="zh-CN" w:bidi="ar"/>
              </w:rPr>
              <w:t>经营性互联网文化单位</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BBC0E05">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rPr>
                <w:rFonts w:hint="default" w:eastAsia="宋体"/>
                <w:lang w:val="en-US" w:eastAsia="zh-CN"/>
              </w:rPr>
            </w:pPr>
            <w:r>
              <w:rPr>
                <w:rFonts w:ascii="QCIx0zfn+NSimSun" w:hAnsi="QCIx0zfn+NSimSun" w:eastAsia="QCIx0zfn+NSimSun"/>
                <w:color w:val="000000"/>
                <w:sz w:val="20"/>
              </w:rPr>
              <w:t>1年内不超过</w:t>
            </w:r>
            <w:r>
              <w:rPr>
                <w:rFonts w:hint="eastAsia" w:ascii="QCIx0zfn+NSimSun" w:hAnsi="QCIx0zfn+NSimSun" w:eastAsia="宋体"/>
                <w:color w:val="000000"/>
                <w:sz w:val="20"/>
                <w:lang w:val="en-US" w:eastAsia="zh-CN"/>
              </w:rPr>
              <w:t>10</w:t>
            </w:r>
            <w:bookmarkStart w:id="0" w:name="_GoBack"/>
            <w:bookmarkEnd w:id="0"/>
          </w:p>
          <w:p w14:paraId="24C7C426">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次</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1AC8331">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5E0CC825">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651BEE1">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both"/>
            </w:pPr>
            <w:r>
              <w:rPr>
                <w:rFonts w:hint="eastAsia" w:ascii="QCIx0zfn+NSimSun" w:hAnsi="QCIx0zfn+NSimSun" w:eastAsia="QCIx0zfn+NSimSun"/>
                <w:color w:val="000000"/>
                <w:sz w:val="20"/>
              </w:rPr>
              <w:t>（一）是否具备申请从事经营性互联网文化活动所需条件；（二）是否持有网络文化经营许可证，许可证是否在有效期内，其载明事项是否与现场检查情况一致；（三）单位名称、域名、法定代表人或者主要负责人、注册地址、经营地址、股权结构以及许可经营范围是否变更，是否自变更 之日起20日内到所在地省级文化行政部门办理变更手续；（四）经营的进口互联网文化产品是否报文化和旅游部进行内容审查并在显著位置标明文化和旅游部批准文号，其经营的国产互 联网文化产品是否自正式经营起30日内报省级以上文化和旅游行政部门备案并在显著位置标明备案编号；（五）是否建立自审制度；（六）发现所提供的互联网文化产品含有《互联网文化管理暂行规定》第十六条禁止内容之一的，是否立即停止提供，保存有关 记录， 向所在地省级文化和旅游行政部门报告并抄报文化和旅游部；（七）是否擅自变更进口互联网文化产品的名称或者增删内容；（八）是否采取有效措施防止制作、复制、发布、传播违反《未成年人网络保护条例》第二十二条、第二十四条、第二十五条、  第二十六条第一款、第二十七条规定的网络文化产品。发现违反上述条款规定的信息的，是否立即停止传输相关信息，采取删除 、屏蔽、断开链接等处置措施， 防止信息扩散，保存有关记录， 向网信、公安等部门报告，并对制作、复制、发布、传播上述信 息的用户采取警示、限制功能、暂停服务、关闭账号等处置措施。</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6F5191A">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413"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919A051">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D7A7273">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76D11B67">
        <w:tblPrEx>
          <w:tblCellMar>
            <w:top w:w="0" w:type="dxa"/>
            <w:left w:w="108" w:type="dxa"/>
            <w:bottom w:w="0" w:type="dxa"/>
            <w:right w:w="108" w:type="dxa"/>
          </w:tblCellMar>
        </w:tblPrEx>
        <w:trPr>
          <w:trHeight w:val="9102"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C959E71">
            <w:pPr>
              <w:keepNext w:val="0"/>
              <w:keepLines w:val="0"/>
              <w:pageBreakBefore w:val="0"/>
              <w:widowControl/>
              <w:suppressLineNumbers w:val="0"/>
              <w:kinsoku/>
              <w:wordWrap/>
              <w:overflowPunct/>
              <w:topLinePunct w:val="0"/>
              <w:bidi w:val="0"/>
              <w:adjustRightInd/>
              <w:snapToGrid/>
              <w:jc w:val="center"/>
              <w:textAlignment w:val="center"/>
            </w:pPr>
            <w:r>
              <w:rPr>
                <w:rFonts w:hint="default" w:ascii="仿宋" w:hAnsi="仿宋" w:eastAsia="仿宋" w:cs="仿宋"/>
                <w:i w:val="0"/>
                <w:iCs w:val="0"/>
                <w:color w:val="000000"/>
                <w:kern w:val="0"/>
                <w:sz w:val="24"/>
                <w:szCs w:val="24"/>
                <w:u w:val="none"/>
                <w:lang w:val="en-US" w:eastAsia="zh-CN" w:bidi="ar"/>
              </w:rPr>
              <w:t>10</w:t>
            </w:r>
          </w:p>
        </w:tc>
        <w:tc>
          <w:tcPr>
            <w:tcW w:w="143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633E941">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对非经营性互联网文化单位的行政检查</w:t>
            </w:r>
          </w:p>
        </w:tc>
        <w:tc>
          <w:tcPr>
            <w:tcW w:w="4166"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1C7FB2C">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《互联网文化管理暂行规定》第六条  文化部负责制定互联网文化发展与管理的方针、政策和规划，监督管理全国互联网文化活动。省、 自治区、直辖市人民政府文化行政部门对申请从事经营性互联网文化活动的单位进行审批，对从事非经营性互联网文化活动的单位进行备案。县级以上人民政府文化行政部门负责本行政区域内互联网文化活动的监督管理工作。县级以上人民政府文化行政部门或者文化市场综合执法机构对从事互联网文化活动违反国家有关法规的行为实施处罚。《未成年人网络保护条例》第三条  国家网信部门负责统筹协调未成年人网络保护工作，并依据职责做好未成年人网络保护工作。</w:t>
            </w:r>
          </w:p>
        </w:tc>
        <w:tc>
          <w:tcPr>
            <w:tcW w:w="13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A8D5BFA">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center"/>
            </w:pPr>
            <w:r>
              <w:rPr>
                <w:rFonts w:hint="default" w:ascii="仿宋" w:hAnsi="仿宋" w:eastAsia="仿宋" w:cs="仿宋"/>
                <w:i w:val="0"/>
                <w:iCs w:val="0"/>
                <w:color w:val="000000"/>
                <w:kern w:val="0"/>
                <w:sz w:val="24"/>
                <w:szCs w:val="24"/>
                <w:u w:val="none"/>
                <w:lang w:val="en-US" w:eastAsia="zh-CN" w:bidi="ar"/>
              </w:rPr>
              <w:t>非经营性互联网文化单位</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10CA0BB">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1年内不超过10次</w:t>
            </w:r>
          </w:p>
        </w:tc>
        <w:tc>
          <w:tcPr>
            <w:tcW w:w="70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C40C048">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6003E98A">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EDFCCDC">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both"/>
            </w:pPr>
            <w:r>
              <w:rPr>
                <w:rFonts w:hint="eastAsia" w:ascii="QCIx0zfn+NSimSun" w:hAnsi="QCIx0zfn+NSimSun" w:eastAsia="QCIx0zfn+NSimSun"/>
                <w:color w:val="000000"/>
                <w:sz w:val="20"/>
              </w:rPr>
              <w:t>（一）是否自设立之日起60日 内向所在地省级文化和旅游行政部门备案，备案信息是否与现场检查情况一致；（二）名称、地址、域名、法定代表人或者主要负责人、业务范围是否变更，是否自变更之日起60日内到所在地省级文化和旅游 行政部门办理备案手续；（三）是否建立自审制度；（四）发现所提供的互联网文化产品含有《互联网文化管理暂行规定》第十六条禁止内容之一的，是否立即停止提供，保存有关 记录，向所在地省级文化和旅游行政部门报告并抄报文化和旅游部；（五）是否采取有效措施防止制作、复制、发布、传播违反《未成年人网络保护条例》第二十二条、第二十四条、第二十五条、第二十六条第一款、第二十七条规定的网络文化产品。发现违反上述条款规定的信息的，是否立即停止传输相关信息，采取删除 、屏蔽、断开链接等处置措施， 防止信息扩散，保存有关记录， 向网信、公安等部门报告，并对制作、复制、发布、传播上述信 息的用户采取警示、限制功能、暂停服务、关闭账号等处置措施。</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3BD064D">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413"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8F44775">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FADEFFD">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bl>
    <w:p w14:paraId="1685801A">
      <w:pPr>
        <w:keepNext w:val="0"/>
        <w:keepLines w:val="0"/>
        <w:pageBreakBefore w:val="0"/>
        <w:widowControl/>
        <w:kinsoku/>
        <w:wordWrap/>
        <w:overflowPunct/>
        <w:topLinePunct w:val="0"/>
        <w:autoSpaceDE w:val="0"/>
        <w:autoSpaceDN w:val="0"/>
        <w:bidi w:val="0"/>
        <w:adjustRightInd/>
        <w:snapToGrid/>
        <w:spacing w:after="0" w:line="14" w:lineRule="exact"/>
        <w:ind w:left="0" w:right="0"/>
      </w:pPr>
    </w:p>
    <w:p w14:paraId="0A8A8A83">
      <w:pPr>
        <w:keepNext w:val="0"/>
        <w:keepLines w:val="0"/>
        <w:pageBreakBefore w:val="0"/>
        <w:kinsoku/>
        <w:wordWrap/>
        <w:overflowPunct/>
        <w:topLinePunct w:val="0"/>
        <w:bidi w:val="0"/>
        <w:adjustRightInd/>
        <w:snapToGrid/>
        <w:sectPr>
          <w:pgSz w:w="16838" w:h="12306"/>
          <w:pgMar w:top="392" w:right="394" w:bottom="548" w:left="348" w:header="720" w:footer="720" w:gutter="0"/>
          <w:cols w:equalWidth="0" w:num="1">
            <w:col w:w="16096"/>
          </w:cols>
          <w:docGrid w:linePitch="360" w:charSpace="0"/>
        </w:sectPr>
      </w:pPr>
    </w:p>
    <w:p w14:paraId="491865D7">
      <w:pPr>
        <w:keepNext w:val="0"/>
        <w:keepLines w:val="0"/>
        <w:pageBreakBefore w:val="0"/>
        <w:widowControl/>
        <w:kinsoku/>
        <w:wordWrap/>
        <w:overflowPunct/>
        <w:topLinePunct w:val="0"/>
        <w:autoSpaceDE w:val="0"/>
        <w:autoSpaceDN w:val="0"/>
        <w:bidi w:val="0"/>
        <w:adjustRightInd/>
        <w:snapToGrid/>
        <w:spacing w:after="0" w:line="220" w:lineRule="exact"/>
        <w:ind w:left="0" w:right="0"/>
      </w:pPr>
    </w:p>
    <w:tbl>
      <w:tblPr>
        <w:tblStyle w:val="2"/>
        <w:tblW w:w="0" w:type="auto"/>
        <w:tblInd w:w="11" w:type="dxa"/>
        <w:tblLayout w:type="fixed"/>
        <w:tblCellMar>
          <w:top w:w="0" w:type="dxa"/>
          <w:left w:w="108" w:type="dxa"/>
          <w:bottom w:w="0" w:type="dxa"/>
          <w:right w:w="108" w:type="dxa"/>
        </w:tblCellMar>
      </w:tblPr>
      <w:tblGrid>
        <w:gridCol w:w="622"/>
        <w:gridCol w:w="1552"/>
        <w:gridCol w:w="4065"/>
        <w:gridCol w:w="1380"/>
        <w:gridCol w:w="1125"/>
        <w:gridCol w:w="690"/>
        <w:gridCol w:w="4410"/>
        <w:gridCol w:w="750"/>
        <w:gridCol w:w="398"/>
        <w:gridCol w:w="1064"/>
      </w:tblGrid>
      <w:tr w14:paraId="070DD31C">
        <w:tblPrEx>
          <w:tblCellMar>
            <w:top w:w="0" w:type="dxa"/>
            <w:left w:w="108" w:type="dxa"/>
            <w:bottom w:w="0" w:type="dxa"/>
            <w:right w:w="108" w:type="dxa"/>
          </w:tblCellMar>
        </w:tblPrEx>
        <w:trPr>
          <w:trHeight w:val="1000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B77AFBF">
            <w:pPr>
              <w:keepNext w:val="0"/>
              <w:keepLines w:val="0"/>
              <w:pageBreakBefore w:val="0"/>
              <w:widowControl/>
              <w:suppressLineNumbers w:val="0"/>
              <w:kinsoku/>
              <w:wordWrap/>
              <w:overflowPunct/>
              <w:topLinePunct w:val="0"/>
              <w:bidi w:val="0"/>
              <w:adjustRightInd/>
              <w:snapToGrid/>
              <w:jc w:val="center"/>
              <w:textAlignment w:val="center"/>
            </w:pPr>
            <w:r>
              <w:rPr>
                <w:rFonts w:hint="default" w:ascii="仿宋" w:hAnsi="仿宋" w:eastAsia="仿宋" w:cs="仿宋"/>
                <w:i w:val="0"/>
                <w:iCs w:val="0"/>
                <w:color w:val="000000"/>
                <w:kern w:val="0"/>
                <w:sz w:val="24"/>
                <w:szCs w:val="24"/>
                <w:u w:val="none"/>
                <w:lang w:val="en-US" w:eastAsia="zh-CN" w:bidi="ar"/>
              </w:rPr>
              <w:t>11</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B792302">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对社会艺术水平考级机构的行政检查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94DD060">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《社会艺术水平考级管理办法》第五条  县级以上地方人民政府文化行政部门负责在本行政区域内贯彻执行国家关于艺术考级的政策、法规，监督检查艺术考级活动。</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04747DB">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center"/>
            </w:pPr>
            <w:r>
              <w:rPr>
                <w:rFonts w:hint="default" w:ascii="仿宋" w:hAnsi="仿宋" w:eastAsia="仿宋" w:cs="仿宋"/>
                <w:i w:val="0"/>
                <w:iCs w:val="0"/>
                <w:color w:val="000000"/>
                <w:kern w:val="0"/>
                <w:sz w:val="24"/>
                <w:szCs w:val="24"/>
                <w:u w:val="none"/>
                <w:lang w:val="en-US" w:eastAsia="zh-CN" w:bidi="ar"/>
              </w:rPr>
              <w:t>社会艺术水平考级机构</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FDF1CC4">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BE346D7">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771DA408">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A41CC49">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pPr>
            <w:r>
              <w:rPr>
                <w:rFonts w:hint="eastAsia" w:ascii="QCIx0zfn+NSimSun" w:hAnsi="QCIx0zfn+NSimSun" w:eastAsia="QCIx0zfn+NSimSun"/>
                <w:color w:val="000000"/>
                <w:sz w:val="20"/>
              </w:rPr>
              <w:t>（一）是否具有《社会艺术水平考级资格证书》 ，资格证书载明事项是否与现场检查情况一致；（二）组织艺术考级活动前是否向社会发布考级简章，发布的考级简章内容是否包括开考专业、设点范围、考级时间和地点、收费项目和标准等；（三）是否在承办单位合作协议生效之日起20日内将承办单位的基本情况和合作协议备案；（四）是否在开展社会艺术水平考级活动5日前将考级简章、考级时间、考级地点、考生数量、考场安排、考官名单等情况备案；（五）是否在社会艺术水平考级活动结束后60日内将考级结果备案；（六）主要负责人、办公地点有变动的，是否在变动之日起20日内向审批机关备案；（七）委托的承办单位是否符合《社会艺术水平考级管理办法》第十六条规定；（八）是否组建专门负责社会艺术水平考级业务的常设工作机构，并配备专职从事社会艺术水平考级业务的工作人员；（九）是否按照本社会艺术水平考级机构教材确定艺术考级内容；（十）与考生有亲属、师生等关系可能影响考试公正的考官是否按要求实行回避。</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FF957B6">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AF365ED">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49523DE">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1136F319">
        <w:tblPrEx>
          <w:tblCellMar>
            <w:top w:w="0" w:type="dxa"/>
            <w:left w:w="108" w:type="dxa"/>
            <w:bottom w:w="0" w:type="dxa"/>
            <w:right w:w="108" w:type="dxa"/>
          </w:tblCellMar>
        </w:tblPrEx>
        <w:trPr>
          <w:trHeight w:val="5657"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776B0D4">
            <w:pPr>
              <w:keepNext w:val="0"/>
              <w:keepLines w:val="0"/>
              <w:pageBreakBefore w:val="0"/>
              <w:widowControl/>
              <w:suppressLineNumbers w:val="0"/>
              <w:kinsoku/>
              <w:wordWrap/>
              <w:overflowPunct/>
              <w:topLinePunct w:val="0"/>
              <w:bidi w:val="0"/>
              <w:adjustRightInd/>
              <w:snapToGrid/>
              <w:jc w:val="center"/>
              <w:textAlignment w:val="center"/>
            </w:pPr>
            <w:r>
              <w:rPr>
                <w:rFonts w:hint="default" w:ascii="仿宋" w:hAnsi="仿宋" w:eastAsia="仿宋" w:cs="仿宋"/>
                <w:i w:val="0"/>
                <w:iCs w:val="0"/>
                <w:color w:val="000000"/>
                <w:kern w:val="0"/>
                <w:sz w:val="24"/>
                <w:szCs w:val="24"/>
                <w:u w:val="none"/>
                <w:lang w:val="en-US" w:eastAsia="zh-CN" w:bidi="ar"/>
              </w:rPr>
              <w:t>12</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AE54802">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对艺术品经营单位的行政检查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2C854CC">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《艺术品经营管理办法》第三条  文化部负责制定艺术品经营管理政策，监督管理全国艺术品经营活动，建立艺术品市场信用监管体系。省、 自治区、直辖市人民政府文化行政部门负责艺术品进出口经营活动审批，建立专家委员会，为文化行政部门开展的内容审查、市场监管相关工作提供专业意见。县级以上人民政府文化行政部门负责本行政区域内艺术品经营活动的日常监督管理工作，县级以上人民政府文化行政部门或者依法授权的文化市场综合执法机构对从事艺品经营活动违反国家有关规定的行为实施处罚。</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581BB85">
            <w:pPr>
              <w:keepNext w:val="0"/>
              <w:keepLines w:val="0"/>
              <w:pageBreakBefore w:val="0"/>
              <w:widowControl/>
              <w:kinsoku/>
              <w:wordWrap/>
              <w:overflowPunct/>
              <w:topLinePunct w:val="0"/>
              <w:autoSpaceDE w:val="0"/>
              <w:autoSpaceDN w:val="0"/>
              <w:bidi w:val="0"/>
              <w:adjustRightInd/>
              <w:snapToGrid/>
              <w:spacing w:after="0" w:line="246" w:lineRule="exact"/>
              <w:ind w:left="144" w:right="144" w:firstLine="0"/>
              <w:jc w:val="center"/>
            </w:pPr>
            <w:r>
              <w:rPr>
                <w:rFonts w:hint="default" w:ascii="仿宋" w:hAnsi="仿宋" w:eastAsia="仿宋" w:cs="仿宋"/>
                <w:i w:val="0"/>
                <w:iCs w:val="0"/>
                <w:color w:val="000000"/>
                <w:kern w:val="0"/>
                <w:sz w:val="24"/>
                <w:szCs w:val="24"/>
                <w:u w:val="none"/>
                <w:lang w:val="en-US" w:eastAsia="zh-CN" w:bidi="ar"/>
              </w:rPr>
              <w:t>艺术品经营单位</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07236EF">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32E3BED">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68396B02">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7022D3F">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left"/>
            </w:pPr>
            <w:r>
              <w:rPr>
                <w:rFonts w:hint="eastAsia" w:ascii="QCIx0zfn+NSimSun" w:hAnsi="QCIx0zfn+NSimSun" w:eastAsia="QCIx0zfn+NSimSun"/>
                <w:color w:val="000000"/>
                <w:sz w:val="20"/>
              </w:rPr>
              <w:t>（一）是否在领取营业执照之日起15日 内，到住所地县级以上人民政府文化和旅游行政部门备案（“ 多证合一 ”地区除外）；（二）经营的艺术品是否含有《艺术品经营管理办法》第六条规定的禁止内容；（三）经营的艺术品是否属于《艺术品经营管理办法》第七条规定的禁止经营的艺术品；（四）是否存在《艺术品经营管理办法》第八条规定的禁止经营行为；（五）是否存在违反《艺术品经营管理办法》第九条规定的行为；（六）从事艺术品鉴定、评估等服务，是否存在违反《艺术品经营管理办法》第十一条规定的行为；（七）是否销售或者利用其他商业形式传播未经文化和旅游行政部门批准进口的艺术品；（八）从事艺术品进出口经营活动的艺术品经营单位是否在开展艺术品进出口经营活动之前，取得艺术品进出 口 口岸所在地省级 文化和旅游行政部门发放的批准文件；（九）从事艺术品进出口经营活动的艺术品经营单位是否以销售、商业宣传为目的在境内公共展览场所举办有境外艺术品创作者 或者境外艺术品参加的展示活动前，取得展览所在地省级文化和旅游行政部门发放的批准文件。</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A1CE332">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63CFCA5">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90C9E8B">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17D2821E">
        <w:tblPrEx>
          <w:tblCellMar>
            <w:top w:w="0" w:type="dxa"/>
            <w:left w:w="108" w:type="dxa"/>
            <w:bottom w:w="0" w:type="dxa"/>
            <w:right w:w="108" w:type="dxa"/>
          </w:tblCellMar>
        </w:tblPrEx>
        <w:trPr>
          <w:trHeight w:val="5496"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4BF281C">
            <w:pPr>
              <w:keepNext w:val="0"/>
              <w:keepLines w:val="0"/>
              <w:pageBreakBefore w:val="0"/>
              <w:widowControl/>
              <w:suppressLineNumbers w:val="0"/>
              <w:kinsoku/>
              <w:wordWrap/>
              <w:overflowPunct/>
              <w:topLinePunct w:val="0"/>
              <w:bidi w:val="0"/>
              <w:adjustRightInd/>
              <w:snapToGrid/>
              <w:jc w:val="center"/>
              <w:textAlignment w:val="center"/>
            </w:pPr>
            <w:r>
              <w:rPr>
                <w:rFonts w:hint="default" w:ascii="仿宋" w:hAnsi="仿宋" w:eastAsia="仿宋" w:cs="仿宋"/>
                <w:i w:val="0"/>
                <w:iCs w:val="0"/>
                <w:color w:val="000000"/>
                <w:kern w:val="0"/>
                <w:sz w:val="24"/>
                <w:szCs w:val="24"/>
                <w:u w:val="none"/>
                <w:lang w:val="en-US" w:eastAsia="zh-CN" w:bidi="ar"/>
              </w:rPr>
              <w:t>13</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71310AF">
            <w:pPr>
              <w:keepNext w:val="0"/>
              <w:keepLines w:val="0"/>
              <w:pageBreakBefore w:val="0"/>
              <w:widowControl/>
              <w:suppressLineNumbers w:val="0"/>
              <w:kinsoku/>
              <w:wordWrap/>
              <w:overflowPunct/>
              <w:topLinePunct w:val="0"/>
              <w:bidi w:val="0"/>
              <w:adjustRightInd/>
              <w:snapToGrid/>
              <w:jc w:val="left"/>
              <w:textAlignment w:val="center"/>
            </w:pPr>
            <w:r>
              <w:rPr>
                <w:rFonts w:hint="default" w:ascii="仿宋" w:hAnsi="仿宋" w:eastAsia="仿宋" w:cs="仿宋"/>
                <w:i w:val="0"/>
                <w:iCs w:val="0"/>
                <w:color w:val="000000"/>
                <w:kern w:val="0"/>
                <w:sz w:val="24"/>
                <w:szCs w:val="24"/>
                <w:u w:val="none"/>
                <w:lang w:val="en-US" w:eastAsia="zh-CN" w:bidi="ar"/>
              </w:rPr>
              <w:t>对进行非物质文化遗产调查境外组织或者个人的行政检查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7F68201">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《中华人民共和国非物质文化遗产法》第七条  国务院文化主管部门负责全国非物质文化遗产的保护、保存工作；县级以上地方人民政府文化主管部门负责本行政区域内非物质文化遗产的保护、保存工作。县级以上人民政府其他有关部门在各自职责范围内，负有关非物质文化遗产的保护、保存工作。</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8845138">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pPr>
            <w:r>
              <w:rPr>
                <w:rFonts w:hint="default" w:ascii="仿宋" w:hAnsi="仿宋" w:eastAsia="仿宋" w:cs="仿宋"/>
                <w:i w:val="0"/>
                <w:iCs w:val="0"/>
                <w:color w:val="000000"/>
                <w:kern w:val="0"/>
                <w:sz w:val="24"/>
                <w:szCs w:val="24"/>
                <w:u w:val="none"/>
                <w:lang w:val="en-US" w:eastAsia="zh-CN" w:bidi="ar"/>
              </w:rPr>
              <w:t>非物质文化遗产调查境外组织或者个人</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642B1F3">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left"/>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A1218FC">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1BF89C6E">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FB90EC3">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（一）境外组织或者个人在中华人民共和国境内进行非物质文化遗产调查，是否报经省、 自治区、直辖市人民政府文化和旅游主管部门批准，调查在两个以上省、 自治区、直辖市行政区域进行的，是否报经国务院文化和旅游主</w:t>
            </w:r>
          </w:p>
          <w:p w14:paraId="6CDF8FD6">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管部门批准；</w:t>
            </w:r>
          </w:p>
          <w:p w14:paraId="0D7E8ACD">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（二）境外组织在境内进行非物质文化遗产调查，是否与境内非物质文化遗产学术研究机构合作进行；</w:t>
            </w:r>
          </w:p>
          <w:p w14:paraId="5429021D">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pPr>
            <w:r>
              <w:rPr>
                <w:rFonts w:hint="eastAsia" w:ascii="QCIx0zfn+NSimSun" w:hAnsi="QCIx0zfn+NSimSun" w:eastAsia="QCIx0zfn+NSimSun"/>
                <w:color w:val="000000"/>
                <w:sz w:val="20"/>
              </w:rPr>
              <w:t>（三）境外组织或者个人是否在调查结束后向批准调查的文化和旅游主管部门提交调查报告和调查中取得的实物图片、资料复制件。</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C5E4A39">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C5EC143">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4433B24">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pPr>
            <w:r>
              <w:rPr>
                <w:rFonts w:ascii="QCIx0zfn+NSimSun" w:hAnsi="QCIx0zfn+NSimSun" w:eastAsia="QCIx0zfn+NSimSun"/>
                <w:color w:val="000000"/>
                <w:sz w:val="20"/>
              </w:rPr>
              <w:t>否</w:t>
            </w:r>
          </w:p>
        </w:tc>
      </w:tr>
      <w:tr w14:paraId="3934D645">
        <w:tblPrEx>
          <w:tblCellMar>
            <w:top w:w="0" w:type="dxa"/>
            <w:left w:w="108" w:type="dxa"/>
            <w:bottom w:w="0" w:type="dxa"/>
            <w:right w:w="108" w:type="dxa"/>
          </w:tblCellMar>
        </w:tblPrEx>
        <w:trPr>
          <w:trHeight w:val="1069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EC6EA3A">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14</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C31B070">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对旅行社、旅行社分社、旅行社服务网点的行政检查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0F9CC4F">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《中华人民共和国旅游法》第八十三条  县级以上人民政府旅游主管部门和有关部门依照本法和有关法律、法规的规定，在各自职责范围内对旅游市场实施监督管理。县级以上人民政府应当组织旅游主管部门、有关主管部门和市场监督管理、交通等执法部门对相关旅游经营行为实施监督检查。第八十五条  县级以上人民政府旅游主管部门有权对下列事项实施监督检查：（一）经营旅行社业务以及从事导游、领队服务是否取得经营、执业许可；（二）旅行社的经营行为；（三）导游和领队等旅游从业人员的服务行为；（ 四）法律、法规规定的其他事项。旅游主管部门依照前款规定实施监督检查，可以对涉嫌违法的合同、票据、账簿以及其他资料进行查阅、复制。</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673B8DA">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旅行社、旅行社分社、旅行社服务网点</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A27F4BA">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D67D8AC">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5376D442">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D7A6115">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（一）是否具备申请从事旅行社业务经营许可、 出境旅游业务经营许可、边境旅游业务经营许可的条件；（二）是否持有旅行社业务经营许可证，是否取得相应的业务经营许可，许可证是否在有效期内，是否擅自引进外商投资；</w:t>
            </w:r>
          </w:p>
          <w:p w14:paraId="024D9B4B">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（三）旅行社、旅行社分社是否将旅行社业务经营许可证、旅行社分社备案登记证明与营业执照一起悬挂在经营场所的显要位置，营业执照的载明事项是否与许可证一致；（四）是否出租、 出借旅行社业务经营许可证，或者以其他形式非法转让旅行社业务经营许可；</w:t>
            </w:r>
          </w:p>
          <w:p w14:paraId="565CC401">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五）变更名称、经营场所、法定代表人等登记事项或者终止经营后，是否在规定期限内向原许可的文化和旅游行政部门备案，换领或者交回旅行社业务经营许可证；（六）是否按照规定投保旅行社责任保险，是否在规定期限内向其质量保证金账户存入、增存、补足质量保证金或者提交相应的银行担保；</w:t>
            </w:r>
          </w:p>
          <w:p w14:paraId="57AF4932">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七）是否按照国家有关规定向文化和旅游行政部门报送经营和财务信息等统计资料；（八）旅行社设立分社是否在规定期限内向分社所在地的文化和旅游行政管理部门备案；（九）是否进行虚假宣传，误导旅游者；（十）是否与旅游者签订旅游合同，合同是否载明应载明的事项，是否拒绝履行合同，或者以拒绝继续履行合同、提供服务相威胁，是否在旅游行程中擅自变更旅游行程安排，是否欺骗、胁迫旅游者购物或者参加需要另行付费的游览项目；（十一）是否向合格的供应商订购产品和服务，发现履行辅助人提供的服务不符合法律、法规规定或者存在安全隐患时，是否予以制止或者更换；（十二）是否以不合理的低价组织旅游活动，诱骗旅游者，并通过安排购物或者另行付费旅游项目获取回扣等不正当利益；（十三）是否未经双方协商一致、旅游者主动要求，或者在影响其他旅游者行程安排前提下，向旅游者指定具体购物场所或者安排另行付费旅游项目，是否违规收取购物、自费项目回扣等不正当利益，是否存在擅自增加、变更、终止旅游服务项目等违法违规经营行为，是否落实旅游安全管理、文明服务、纠纷处置等法定责任，是否存在法律法规、规章规定的其他违法违规经营情形。</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0A5B918">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615BE50">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53D053D">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760BE17A">
        <w:tblPrEx>
          <w:tblCellMar>
            <w:top w:w="0" w:type="dxa"/>
            <w:left w:w="108" w:type="dxa"/>
            <w:bottom w:w="0" w:type="dxa"/>
            <w:right w:w="108" w:type="dxa"/>
          </w:tblCellMar>
        </w:tblPrEx>
        <w:trPr>
          <w:trHeight w:val="8367"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7C04A3C">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15</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E540B0B">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对在线旅游经营者的行政检查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8F26186">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《在线旅游经营服务管理暂行规定》第五条 文化和旅游部按照职责依法负责全国在线旅游经营服务的指导、协调、监管工作。县级以上地方文化和旅游主管部门按照职责分工负责本辖区内在线旅游经营服务的监督管理工作。</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CFF4E52">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在线旅游经营者</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13882F7">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1DBB92C">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42A7D850">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63CAC73">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（一）发现法律、行政法规禁止发布或者传输的信息，是否立即停止传输该信息、采取消除等处置措施防止信息扩散、保存有关 记录并向主管部门报告；</w:t>
            </w:r>
          </w:p>
          <w:p w14:paraId="2462D951">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（二）在线旅游平台经营者是否依法履行核验、登记义务；</w:t>
            </w:r>
          </w:p>
          <w:p w14:paraId="47D5E07C">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（三）在线旅游平台经营者是否依法对违法情形采取必要处置措施或者报告；</w:t>
            </w:r>
          </w:p>
          <w:p w14:paraId="25AE0DF4">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（四）在线旅游平台经营者是否依法履行商品和服务信息、交易信息保存义务；</w:t>
            </w:r>
          </w:p>
          <w:p w14:paraId="204ACFBE">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（五）是否未取得质量标准、信用等级而使用相关称谓和标识；</w:t>
            </w:r>
          </w:p>
          <w:p w14:paraId="44AAC626">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（六）为旅游者提供包价旅游服务的，是否在全国旅游监管服务平台填报包价旅游合同有关信息；</w:t>
            </w:r>
          </w:p>
          <w:p w14:paraId="0CC56A0F">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（七）是否为以不合理低价组织的旅游活动提供交易机会。</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E369444">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C3FE48F">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66000E6">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2FB53A81">
        <w:tblPrEx>
          <w:tblCellMar>
            <w:top w:w="0" w:type="dxa"/>
            <w:left w:w="108" w:type="dxa"/>
            <w:bottom w:w="0" w:type="dxa"/>
            <w:right w:w="108" w:type="dxa"/>
          </w:tblCellMar>
        </w:tblPrEx>
        <w:trPr>
          <w:trHeight w:val="10862"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2A51582">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16</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CDB30F6">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对导游的行政检查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EA5C7B4">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《中华人民共和国旅游法》第八十五条 县级以上人民政府旅游主管部门有权对下列事项实施监督检查：（一）经营旅行社业务以及从事导游、领队服务是否取得经营、执业许可；（二）旅行社的经营行为；（三）导游和领队等旅游从业人员的服务行为；（ 四）法律、法规规定的其他事项。旅游主管部门依照前款规定实施监督检查，可以对涉嫌违法的合同、票据、账簿以及其他资料进行查阅、复制。《旅行社条例》第三条 国务院旅游行政主管部门负责全国旅行社的监督管理工作。县级以上地方人民政府管理旅游工作的部门按照职责负责本行政区域内旅行社的监督管理工作。县级以上各级人民政府工商、价格、商务、外汇等有关部门，应当按照职责分工，依法对旅行社进行监督管理。</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B0E9C64">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导游</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486D186">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7D49E13">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64FCC17D">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A3D0316">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（一）是否取得导游证而从事导游活动，导游证是否在有效期内；（二）在导游等级考核中，是否存在提供虚假申请材料、剽窃他人研究成果、替考作弊、不遵守考场纪律等违纪违规行为；</w:t>
            </w:r>
          </w:p>
          <w:p w14:paraId="2FB37463">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（三）是否以欺骗、贿赂等不正当手段取得导游人员资格证、导游证；（四）是否涂改、倒卖、 出租、  出借导游人员资格证、导游证，  以其他形式非法转让导游执业许可，或者擅自委托他人代为提供 导游服务；（五）在执业过程中，是否携带电子导游证、佩戴导游身份标识、开启导游执业相关应用软件；（六）是否按期报告与旅行社的劳动合同变更情况，是否依法申请变更导游证信息，是否依法更换导游身份标识；（七）是否私自承揽业务；（八）是否擅自变更旅游行程或者中止服务活动，是否向旅游者索取小费，是否诱导、欺骗、强迫或者变相强迫旅游者购物或者 参加另行付费旅游项目；（九）进行导游活动时，是否有损害国家利益和民族尊严的言行，是否安排旅游者参观或者参与涉及色情、赌博、毒品等违反我 国法律法规和社会公德的项目或者活动；（十）进行导游活动时，是否向旅游者兜售物品或者购买旅游者的物品；（十一）在执业过程中，是否获取购物场所、另行付费旅游项目等相关经营者以回扣、佣金、人头费或者奖励费等名义给予的不 正当利益；（十二）在发生危及旅游者人身安全的情形时或者旅游突发事件发生后，是否立即依法采取必要的处置措施并及时报告；</w:t>
            </w:r>
          </w:p>
          <w:p w14:paraId="19065CDC">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（十三）是否向负责监督检查的文化和旅游主管部门隐瞒有关情况、提供虚假材料或者拒绝提供反映其活动情况的真实材料。</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DA3C6C7">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36DAAD8">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E5BD63C">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7C4AFB9C">
        <w:tblPrEx>
          <w:tblCellMar>
            <w:top w:w="0" w:type="dxa"/>
            <w:left w:w="108" w:type="dxa"/>
            <w:bottom w:w="0" w:type="dxa"/>
            <w:right w:w="108" w:type="dxa"/>
          </w:tblCellMar>
        </w:tblPrEx>
        <w:trPr>
          <w:trHeight w:val="6751"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5483E80">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17</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C16E485">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对领队的行政检查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7A08D1C">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《中华人民共和国旅游法》第八十五条 县级以上人民政府旅游主管部门有权对下列事项实施监督检查：（一）经营旅行社业务以及从事导游、领队服务是否取得经营、执业许可；（二）旅行社的经营行为；（三）导游和领队等旅游从业人员的服务行为；（ 四）法律、法规规定的其他事项。旅游主管部门依照前款规定实施监督检查，可以对涉嫌违法的合同、票据、账簿以及其他资料进行查阅、复制。《中国公民出国旅游管理办法》第二条 出国旅游的目的地国家，由国务院旅游行政部门会同国务院有关部门提出，报国务院批准后，由国务院旅游行政部门公布。任何单位和个人不得组织中国公民到国务院旅游行政部门公布的出国旅游的目的地国家以外的国家旅游；组织中国公民到国务院旅游行政部门公布的出国旅游的目的地国家以外的国家进行涉及体育活动、文化活动等临时性专项旅游的，须经国务院旅游行政部门批准。</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16EEEF3">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领队</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A9DEDCF">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1年内不超过10次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6D60E76">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6F96978C">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8C8EFDF">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（一）是否不具备领队条件而从事领队活动；</w:t>
            </w:r>
          </w:p>
          <w:p w14:paraId="4CAF8954">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（二）是否私自承揽业务；</w:t>
            </w:r>
          </w:p>
          <w:p w14:paraId="65501977">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（三）是否擅自变更旅游行程或者中止服务活动，是否向旅游者索取小费，是否诱导、欺骗、强迫或者变相强迫旅游者购物或者 参加另行付费旅游项目；</w:t>
            </w:r>
          </w:p>
          <w:p w14:paraId="5760014F">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（四）是否委托他人代为提供领队服务；</w:t>
            </w:r>
          </w:p>
          <w:p w14:paraId="2898B823">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（五）对可能危及人身安全的情况，是否向旅游者作出真实说明和明确警示，并采取有效措施， 防止危害的发生；</w:t>
            </w:r>
          </w:p>
          <w:p w14:paraId="6367401C">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（六）是否要求境外接待社不得组织旅游者参与涉及色情、赌博、毒品内容的活动或者危险性活动，是否要求境外接待社不得擅 自改变行程、减少旅游项目、强迫或者变相强迫旅游者参加额外付费项目，是否在境外接待社违</w:t>
            </w:r>
          </w:p>
          <w:p w14:paraId="08D437DE">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反前述要求时予以制止；</w:t>
            </w:r>
          </w:p>
          <w:p w14:paraId="0360BEDD">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（七）是否与境外接待社、导游及为旅游者提供商品或者服务的其他经营者串通欺骗、胁迫旅游者消费，是否向境外接待社、导 游及其他为旅游者提供商品或者服务的经营者索要回扣、提成或者收受其财物；</w:t>
            </w:r>
          </w:p>
          <w:p w14:paraId="518F210B">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（八）旅游者在境外滞留不归的，是否及时向组团社和中国驻所在国家使领馆报告。</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C6FAE81">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8F3A740">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0513E25">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1ABAA905">
        <w:tblPrEx>
          <w:tblCellMar>
            <w:top w:w="0" w:type="dxa"/>
            <w:left w:w="108" w:type="dxa"/>
            <w:bottom w:w="0" w:type="dxa"/>
            <w:right w:w="108" w:type="dxa"/>
          </w:tblCellMar>
        </w:tblPrEx>
        <w:trPr>
          <w:trHeight w:val="3943"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947F216">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18</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835604F">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对有线广播电视运营服务、有线电视付费频道业务和移动数字电视业务的行政检查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F86C07A">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《有线广播电视运营服务管理暂行规定》（国家广播电影电视总局令第67号，根据2021年3月23日《国家广播电视总局关于第二批修改的部门规章的决定》修订）第五条： 国家广播电视总局负责全国有线广播电视运营服务监督管理工作。县级以上地方人民政府广播电视行政部门负责本行政区域内的有线广播电视运营服务监督管理工作。</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9458F80">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left"/>
              <w:textAlignment w:val="auto"/>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有线广播电视运营服务、有线电视付费频道业务和移动数字电视业务</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6FD541F">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hint="default" w:ascii="QCIx0zfn+NSimSun" w:hAnsi="QCIx0zfn+NSimSun" w:eastAsia="宋体"/>
                <w:color w:val="000000"/>
                <w:sz w:val="20"/>
                <w:lang w:val="en-US" w:eastAsia="zh-CN"/>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2次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4BFEDF4">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28A3ADF0">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CC961E3">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《有线广播电视运营服务管理暂行规定》（国家广播电影电视总局令第67号，根据2021年3月23日《国家广播电视总局关于第二批修改的部门规章的决定》修订）第五条： 国家广播电视总局负责全国有线广播电视运营服务监督管理工作。县级以上地方人民政府广播电视行政部门负责本行政区域内的有线广播电视运营服务监督管理工作。</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5C2A27D">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32D0C77">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13BF8FE">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566B181D">
        <w:tblPrEx>
          <w:tblCellMar>
            <w:top w:w="0" w:type="dxa"/>
            <w:left w:w="108" w:type="dxa"/>
            <w:bottom w:w="0" w:type="dxa"/>
            <w:right w:w="108" w:type="dxa"/>
          </w:tblCellMar>
        </w:tblPrEx>
        <w:trPr>
          <w:trHeight w:val="9299"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E66DC3E">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19</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B0870B1">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对广播电视节目制作经营机构的行政检查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0787B66">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《广播电视管理条例》（1997年8月11 日国务院令第228号，根据2020年11月29日《国务院关于修改和废止部分行政法规的决定》第三次修订）第三十一条：广播电视节目由广播电台、 电视台和省级以上人民政府广播电视行政部门批准设立的广播电视节目制作经营单位制作。广播电台、 电视台不得播放未取得广播电视节目制作经营许可的单位制作的广播电视节目。《广播电视节目制作经营管理规定》（国家广播电影电视总局令第34号，根据2020年10月29日《国家广播电视总局关于第一批废止和修改的部门规章的决定》修改）第三条： 国务院广播电视行政部门负责制定全国广播电视节目制作产业的发展规划、布局和结构，管理、指导、监督全国广播电视节目制作经营活动。县级以上地方广播电视行政部门负责本行政区域内广播电视节目制作经营活动的管理工作。</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1EA97C3">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广播电视节目制作经营机构</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0F24F28">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2次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E8E16F9">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3761FB50">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C249D41">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《广播电视管理条例》（1997年8月11 日国务院令第228号，根据2020年11月29日《国务院关于修改和废止部分行政法规的决定》第三次修订）第三十一条：广播电视节目由广播电台、 电视台和省级以上人民政府广播电视行政部门批准设立的广播电视节目制作经营单位制作。广播电台、 电视台不得播放未取得广播电视节目制作经营许可的单位制作的广播电视节目。《广播电视节目制作经营管理规定》（国家广播电影电视总局令第34号，根据2020年10月29日《国家广播电视总局关于第一批废止和修改的部门规章的决定》修改）第三条： 国务院广播电视行政部门负责制定全国广播电视节目制作产业的发展规划、布局和结构，管理、指导、监督全国广播电视节目制作经营活动。县级以上地方广播电视行政部门负责本行政区域内广播电视节目制作经营活动的管理工作。</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89606AD">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16D0EF2">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24C7A34">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1EF98B0A">
        <w:tblPrEx>
          <w:tblCellMar>
            <w:top w:w="0" w:type="dxa"/>
            <w:left w:w="108" w:type="dxa"/>
            <w:bottom w:w="0" w:type="dxa"/>
            <w:right w:w="108" w:type="dxa"/>
          </w:tblCellMar>
        </w:tblPrEx>
        <w:trPr>
          <w:trHeight w:val="9479"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4FA050E">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20</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3D1EA0D">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对网络视听节目服务机构的行政检查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EBB6BB3">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互联网视听节目服务管理规定》（国家广播电影电视总局令第56号，根据2015年8月28日《关于修订部分规章和规范性文件的决定》修订）第二十二条：广播电影电视主管部门依法对互联网视听节目服务单位进行实地检查，有关单位和个人应当予以配合。广播电影电视主管部门工作人员依法进行实地检查时应当主动出示有关证件。《专网及定向传播视听节目服务管理规定》（国家新闻出版广电总局令第6号，根据2021年3月23日《国家广播电视总局关于第二批修改的部门规章的决定》修订）第二十条： 内容提供服务单位负责审查其内容提供平台上的节目是否符合本规定第十七条的规定和版权管理要求，并进行播前审查。内容提供服务单位应当建立健全节目审查、安全播出等节目内容管理制度，配备专业节目审查人员。所播出节目的名称、 内容概要、播出时间、 时长、来源等信息，应当至少保留六十日，并配合广播电视行政部门依法查询。 内容提供服务单位发现含有违反本规定的节目，应当立即删除并保存有关记录，并向广播电视行政部门报告，落实广播电视行政部门的管理要求。</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B77E3B5">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网络视听节目服务机构</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AD9D839">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2次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DEC4F8B">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7C453ED3">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0A8249A">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互联网视听节目服务管理规定》（国家广播电影电视总局令第56号，根据2015年8月28日《关于修订部分规章和规范性文件的决定》修订）第二十二条：广播电影电视主管部门依法对互联网视听节目服务单位进行实地检查，有关单位和个人应当予以配合。广播电影电视主管部门工作人员依法进行实地检查时应当主动出示有关证件。</w:t>
            </w:r>
          </w:p>
          <w:p w14:paraId="718FEC7D">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《专网及定向传播视听节目服务管理规定》（国家新闻出版广电总局令第6号，根据2021年3月23日《国家广播电视总局关于第二批修改的部门规章的决定》修订）第二十条： 内容提供服务单位负责审查其内容提供平台上的节目是否符合本规定第十七条的规定和版权管理要求，并进行播前审查。内容提供服务单位应当建立健全节目审查、安全播出等节目内容管理制度，配备专业节目审查人员。所播出节目的名称、 内容概要、播出时间、 时长、来源等信息，应当至少保留六十日，并配合广播电视行政部门依法查询。 内容提供服务单位发现含有违反本规定的节目，应当立即删除并保存有关记录，并向广播电视行政部门报告，落实广播电视行政部门的管理要求。</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19E460E">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A2C1633">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16B6C29">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5E502666">
        <w:tblPrEx>
          <w:tblCellMar>
            <w:top w:w="0" w:type="dxa"/>
            <w:left w:w="108" w:type="dxa"/>
            <w:bottom w:w="0" w:type="dxa"/>
            <w:right w:w="108" w:type="dxa"/>
          </w:tblCellMar>
        </w:tblPrEx>
        <w:trPr>
          <w:trHeight w:val="8348"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396B397">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21</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E8C1A64">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对信息网络和公共载体传播视听节目的行政检查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3BF6438">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互联网视听节目服务管理规定》（国家广播电影电视总局令第56号，根据2015年8月28日《关于修订部分规章和规范性文件的决定》修订）第三条：国务院广播电影电视主管部门作为互联网视听节目服务的行业主管部门，负责对互联网视听节目服务实施监督管理，统筹互联网视听节目服务的产业发展、行业管理、 内容建设和安全监管。 国务院信息产业主管部门作为互联网行业主管部门，依据电信行业管理职责对互联网视听节目服务实施相应的监督管理。地方人民政府广播电影电视主管部门和地方电信管理机构依据各自职责对本行政区域内的互联网视听节目服务单位及接入服务实施相应的监督管理。《专网及定向传播视听节目服务管理规定》（国家新闻出版广电总局令第6号，根据2021年3月23日《国家广播电视总局关于第二批修改的部门规章的决定》修订）第三条： 国家广播电视总局负责全国专网及定向传播视听节目服务的监督管理工作。县级以上地方人民政府广播电视行政部门负责本行政区域内专网及定向传播视听节目服务的监督管理工作。</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BE9A445">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信息网络和公共载体传播视听节目</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F2EF6CE">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2次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A8C6C30">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20241D26">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3B06911">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hint="eastAsia" w:ascii="QCIx0zfn+NSimSun" w:hAnsi="QCIx0zfn+NSimSun" w:eastAsia="QCIx0zfn+NSimSun"/>
                <w:color w:val="000000"/>
                <w:sz w:val="20"/>
              </w:rPr>
            </w:pPr>
            <w:r>
              <w:rPr>
                <w:rFonts w:hint="eastAsia" w:ascii="QCIx0zfn+NSimSun" w:hAnsi="QCIx0zfn+NSimSun" w:eastAsia="QCIx0zfn+NSimSun"/>
                <w:color w:val="000000"/>
                <w:sz w:val="20"/>
              </w:rPr>
              <w:t>《互联网视听节目服务管理规定》（国家广播电影电视总局令第56号，根据2015年8月28日《关于修订部分规章和规范性文件的决定》修订）第三条：国务院广播电影电视主管部门作为互联网视听节目服务的行业主管部门，负责对互联网视听节目服务实施监督管理，统筹互联网视听节目服务的产业发展、行业管理、 内容建设和安全监管。 国务院信息产业主管部门作为互联网行业主管部门，依据电信行业管理职责对互联网视听节目服务实施相应的监督管理。</w:t>
            </w:r>
          </w:p>
          <w:p w14:paraId="4226F122">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地方人民政府广播电影电视主管部门和地方电信管理机构依据各自职责对本行政区域内的互联网视听节目服务单位及接入服务实施相应的监督管理。《专网及定向传播视听节目服务管理规定》（国家新闻出版广电总局令第6号，根据2021年3月23日《国家广播电视总局关于第二批修改的部门规章的决定》修订）第三条： 国家广播电视总局负责全国专网及定向传播视听节目服务的监督管理工作。县级以上地方人民政府广播电视行政部门负责本行政区域内专网及定向传播视听节目服务的监督管理工作。</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28AE236">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A186797">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0280F83">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3B0A5DD1">
        <w:tblPrEx>
          <w:tblCellMar>
            <w:top w:w="0" w:type="dxa"/>
            <w:left w:w="108" w:type="dxa"/>
            <w:bottom w:w="0" w:type="dxa"/>
            <w:right w:w="108" w:type="dxa"/>
          </w:tblCellMar>
        </w:tblPrEx>
        <w:trPr>
          <w:trHeight w:val="355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A160BE9">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22</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A900BAD">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对广播电视视频点播节目的行政检查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0A7CC64">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《广播电视视频点播业务管理办法》（国家广播电影电视总局令第35号，根据2021年10月8 日《国家广播电视总局关于第三批修改的部门规章的决定》修订）第三条： 国家广播电影电视总局（以下简称广电总局）负责全国视频点播业的管理，制定全国视频点播业务总体规划，确定视频点播开办机构的总量、布局。县级以上地方广播电视行政部门负责本辖区内视频点播业务的管理。</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7E42A0F">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广播电视视频点播节目</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BC03623">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2次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57CD725">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7D43E65B">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769515A">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《广播电视视频点播业务管理办法》（国家广播电影电视总局令第35号，根据2021年10月8 日《国家广播电视总局关于第三批修改的部门规章的决定》修订）第三条： 国家广播电影电视总局（以下简称广电总局）负责全国视频点播业务的管理，制定全国视频点播业务总体规划，确定视频点播开办机构的总量、布局。县级以上地方广播电视行政部门负责本辖区内视频点播业务的管理。</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B18E028">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4CD80E4">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C808DAC">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46AF889C">
        <w:tblPrEx>
          <w:tblCellMar>
            <w:top w:w="0" w:type="dxa"/>
            <w:left w:w="108" w:type="dxa"/>
            <w:bottom w:w="0" w:type="dxa"/>
            <w:right w:w="108" w:type="dxa"/>
          </w:tblCellMar>
        </w:tblPrEx>
        <w:trPr>
          <w:trHeight w:val="641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B4F6F00">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23</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1FDCCEB">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对非法卫星电视广播地面接收设施的行政检查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7BCB363">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《卫星电视广播地面接收设施管理规定》实施细则（广播电影电视部令第11 号公布，根据2021年10月9 日《国家广播电视总局关于第四批修改的部门规章的决定》修订）第二条：地方各级人民政府广播电视行政部门是当地的卫星地面收设施的归口管理部门，广播电视行政部门的职责是对卫星地面接收设施实行归口管理， 审批卫星地面接收设施的设置，组织对卫星地面接收设施的生产、销售、使用情况进行检查。《卫星电视广播地面接收设施安装服务暂行办法》（国家广播电视总局令第60号公布，根据2021年10月9 日《国家广播电视总局关于第四批修改的部门规章的决定》修订）第三条：县级以上人民政府广播电视行政部门会同其他有关部门，依据各自职责，负责对本行政区域内的卫星地面接收施安装服务活动实施监督管理。</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20E834E">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非法卫星电视广播地面接收设施</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1A53895">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2次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E7BDD4D">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47D141A5">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ABC2AA1">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r>
              <w:rPr>
                <w:rFonts w:hint="eastAsia" w:ascii="QCIx0zfn+NSimSun" w:hAnsi="QCIx0zfn+NSimSun" w:eastAsia="QCIx0zfn+NSimSun"/>
                <w:color w:val="000000"/>
                <w:sz w:val="20"/>
              </w:rPr>
              <w:t>《卫星电视广播地面接收设施管理规定》实施细则（广播电影电视部令第11 号公布，根据2021年10月9 日《国家广播电视总局关于第四批修改的部门规章的决定》修订）第二条：地方各级人民政府广播电视行政部门是当地的卫星地面接收设施的归口管理部门，广播电视行政部门的职责是对卫星地面接收设施实行归口管理， 审批卫星地面接收设施的设置，组织对卫星地面接收设施的生产、销售、使用情况进行检查。《卫星电视广播地面接收设施安装服务暂行办法》（国家广播电视总局令第60号公布，根据2021年10月9 日《国家广播电视总局关于第四批修改的部门规章的决定》修订）第三条：县级以上人民政府广播电视行政部门会同其他有关部门，依据各自职责，负责对本行政区域内的卫星地面接收设施安装服务活动实施监督管理。</w:t>
            </w: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7CC3F5E">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06C0B80">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9445A38">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6769E549">
        <w:tblPrEx>
          <w:tblCellMar>
            <w:top w:w="0" w:type="dxa"/>
            <w:left w:w="108" w:type="dxa"/>
            <w:bottom w:w="0" w:type="dxa"/>
            <w:right w:w="108" w:type="dxa"/>
          </w:tblCellMar>
        </w:tblPrEx>
        <w:trPr>
          <w:trHeight w:val="723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216EAD2">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24</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CEE3DAA">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对经营高危险性体育项目单位的行政检查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2E84C75">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一、《全民健身条例》第三十六条  未经批准，擅自经营高危险性体育项目的， 由县级以上方人民政府体育主管部门按照管理权限责令改正；有违法所得的，没收违法所得；违法所得不足3万元或者没有违法所得的，并处3万元以上10万元以下的罚款；违法所得3万元以上的，并处违法所得2倍以上5倍以下的罚款。第三十七条  高危险性体育项目经营者取得许可证后，不再符合本条例规定条件仍经营该体育项目的， 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拒不改正的， 由原发证机关吊销许可证。二、《经营高危险性体育项目许可管理办法（2018修订）》第五条第二款县级以上地方人民政府体育主管部门负责本行政区域的经营高危险性体育项目行政许可工作。第十七条第二款 县级以上地方人民政府体育主管部门应当对经营者从事行政许可事项的活动实施有效监督。</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393B148">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经营高危险性体育项目单位</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DDB5034">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25E385B">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44048726">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6C07D43">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依据《全民健身条例》《经营高危险性体育项目许可管理办法（2018修订）》相关规定，县级以上地方人民政府体育主管部门为本行政区域内经营高危险性体育项目的主管监管部门，依法负责本辖区高危险性体育项目经营行政许可管理工作，对经营者从事高危险性体育项目行政许可事项的经营活动实施常态化、全过程监督检查。重点核查经营者是否依法取得高危险性体育项目经营许可，是否持证合规经营；是否存在未经批准擅自开展高危险性体育项目经营活动；取得经营许可后是否持续符合法定经营条件，有无资质失效、条件不符仍违规经营的情形；全面监督经营者落实高危险性体育项目经营各项法定规范，对违法违规经营行为依法予以核查、处置。</w:t>
            </w:r>
          </w:p>
          <w:p w14:paraId="05CF153A">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575D64C">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5C8C02C">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70416E1">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3B0F1FE7">
        <w:tblPrEx>
          <w:tblCellMar>
            <w:top w:w="0" w:type="dxa"/>
            <w:left w:w="108" w:type="dxa"/>
            <w:bottom w:w="0" w:type="dxa"/>
            <w:right w:w="108" w:type="dxa"/>
          </w:tblCellMar>
        </w:tblPrEx>
        <w:trPr>
          <w:trHeight w:val="409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7957A2A">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25</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615E22F">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对体育类民办非企业单位的行政检查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6B0FD5D">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《民办非企业单位登记管理暂行条例》</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第二十条　业务主管单位履行下列监督管理职责：</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（一）负责民办非企业单位成立、变更、注销登记前的审查；</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（二）监督、指导民办非企业单位遵守宪法、法律、法规和国家政策，按照章程开展活动；</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（三）负责民办非企业单位年度检查的初审；</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（四）协助登记管理机关和其他有关部门查处民办非企业单位的违法行为；</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（五）会同有关机关指导民办非企业单位的清算事宜。业务主管单位履行前款规定的职责，不得向民办非企业单位收取费用。</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FDCA64C">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体育类民办非企业单位</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1ABF712">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E293645">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261EF13F">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0CA5C51">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依据《民办非企业单位登记管理暂行条例》相关规定，县级以上地方人民政府体育主管部门作为体育类民办非企业单位的业务主管单位，依法履行监督管理职责，对本辖区体育类民办非企业单位设立、变更、注销登记相关事项开展核查，监督指导机构严格遵守宪法、法律法规及国家政策，依照自身章程规范开展体育业务活动。重点核查机构是否依规完成年度检查初审相关流程、日常运营活动是否合规、有无违法违规行为，同步指导机构清算等相关工作，全面落实行业常态化监督管理职责。</w:t>
            </w:r>
          </w:p>
          <w:p w14:paraId="5894D1CE">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F748CB5">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hint="default" w:ascii="QCIx0zfn+NSimSun" w:hAnsi="QCIx0zfn+NSimSun" w:eastAsia="QCIx0zfn+NSimSun"/>
                <w:color w:val="000000"/>
                <w:sz w:val="20"/>
                <w:lang w:val="en-US" w:eastAsia="zh-CN"/>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9D18E91">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A6B6B76">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3AEFDA84">
        <w:tblPrEx>
          <w:tblCellMar>
            <w:top w:w="0" w:type="dxa"/>
            <w:left w:w="108" w:type="dxa"/>
            <w:bottom w:w="0" w:type="dxa"/>
            <w:right w:w="108" w:type="dxa"/>
          </w:tblCellMar>
        </w:tblPrEx>
        <w:trPr>
          <w:trHeight w:val="4615"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F030C96">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26</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06CBB7E">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对举办健身气功活动的行政检查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76B190B">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《健身气功管理办法》</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第十一条　省（区、市）内举办的健身气功活动，经具有相应管辖权限的体育行政部门批准；跨地区的健身气功活动，经所跨地区共同的上一级体育行政部门批准。</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参加人数在二百人以上的健身气功活动，除报体育行政部门审核批准外，还应当按照《群众性文化体育活动治安管理办法》的规定经公安机关许可。</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第二十七条　违反本办法规定，擅自举办健身气功活动，或擅自设立健身气功站点的，由体育行政部门配合公安机关等有关部门予以取缔，并由公安机关根据《群众性文化体育活动治安管理办法》的规定进行处罚。</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C27CD82">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举办健身气功活动</w:t>
            </w:r>
            <w:r>
              <w:rPr>
                <w:rFonts w:hint="eastAsia" w:ascii="仿宋" w:hAnsi="仿宋" w:eastAsia="仿宋" w:cs="仿宋"/>
                <w:i w:val="0"/>
                <w:iCs w:val="0"/>
                <w:color w:val="000000"/>
                <w:kern w:val="0"/>
                <w:sz w:val="24"/>
                <w:szCs w:val="24"/>
                <w:u w:val="none"/>
                <w:lang w:val="en-US" w:eastAsia="zh-CN" w:bidi="ar"/>
              </w:rPr>
              <w:t>的主体</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223A3653">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1CFA687">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3F4DE9A0">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7FA142A">
            <w:pPr>
              <w:keepNext w:val="0"/>
              <w:keepLines w:val="0"/>
              <w:pageBreakBefore w:val="0"/>
              <w:widowControl/>
              <w:suppressLineNumbers w:val="0"/>
              <w:kinsoku/>
              <w:wordWrap/>
              <w:overflowPunct/>
              <w:topLinePunct w:val="0"/>
              <w:bidi w:val="0"/>
              <w:adjustRightInd/>
              <w:snapToGrid/>
              <w:jc w:val="left"/>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依</w:t>
            </w:r>
            <w:r>
              <w:rPr>
                <w:rFonts w:hint="default" w:ascii="QCIx0zfn+NSimSun" w:hAnsi="QCIx0zfn+NSimSun" w:eastAsia="QCIx0zfn+NSimSun"/>
                <w:color w:val="000000"/>
                <w:sz w:val="20"/>
                <w:lang w:val="en-US" w:eastAsia="zh-CN"/>
              </w:rPr>
              <w:t>据《健身气功管理办法》相关规定，县级以上地方人民政府体育行政部门为本行政区域内健身气功活动的业务主管部门，依法对辖区内各类健身气功举办活动实施监督管理。重点核查健身气功活动举办是否依法依规取得对应层级体育行政部门审批，跨区域、大规模人数活动是否按规定完成上级体育部门审批及公安机关治安许可；核查活动举办流程、场地规模、参与人数、活动内容是否符合管理规范；排查是否存在擅自举办健身气功活动、擅自设立健身气功站点等违法违规情形，对违规活动依法配合公安等相关部门予以查处取缔，落实常态化监督检查职责。</w:t>
            </w:r>
          </w:p>
          <w:p w14:paraId="6100C581">
            <w:pPr>
              <w:keepNext w:val="0"/>
              <w:keepLines w:val="0"/>
              <w:pageBreakBefore w:val="0"/>
              <w:widowControl/>
              <w:kinsoku/>
              <w:wordWrap/>
              <w:overflowPunct/>
              <w:topLinePunct w:val="0"/>
              <w:autoSpaceDE w:val="0"/>
              <w:autoSpaceDN w:val="0"/>
              <w:bidi w:val="0"/>
              <w:adjustRightInd/>
              <w:snapToGrid/>
              <w:spacing w:after="0" w:line="246" w:lineRule="exact"/>
              <w:ind w:left="0" w:right="0" w:firstLine="0"/>
              <w:jc w:val="left"/>
              <w:rPr>
                <w:rFonts w:ascii="QCIx0zfn+NSimSun" w:hAnsi="QCIx0zfn+NSimSun" w:eastAsia="QCIx0zfn+NSimSun"/>
                <w:color w:val="000000"/>
                <w:sz w:val="20"/>
              </w:rPr>
            </w:pP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92EC776">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56106E7">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0EA9363D">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57C48C81">
        <w:tblPrEx>
          <w:tblCellMar>
            <w:top w:w="0" w:type="dxa"/>
            <w:left w:w="108" w:type="dxa"/>
            <w:bottom w:w="0" w:type="dxa"/>
            <w:right w:w="108" w:type="dxa"/>
          </w:tblCellMar>
        </w:tblPrEx>
        <w:trPr>
          <w:trHeight w:val="4400"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84DF68D">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27</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EDDC004">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对公共体育设施的行政检查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3E4F3F4">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《公共文化体育设施条例》</w:t>
            </w:r>
            <w:r>
              <w:rPr>
                <w:rFonts w:hint="default" w:ascii="QCIx0zfn+NSimSun" w:hAnsi="QCIx0zfn+NSimSun" w:eastAsia="QCIx0zfn+NSimSun"/>
                <w:color w:val="000000"/>
                <w:sz w:val="20"/>
                <w:lang w:val="en-US" w:eastAsia="zh-CN"/>
              </w:rPr>
              <w:br w:type="textWrapping"/>
            </w:r>
            <w:r>
              <w:rPr>
                <w:rFonts w:hint="default" w:ascii="QCIx0zfn+NSimSun" w:hAnsi="QCIx0zfn+NSimSun" w:eastAsia="QCIx0zfn+NSimSun"/>
                <w:color w:val="000000"/>
                <w:sz w:val="20"/>
                <w:lang w:val="en-US" w:eastAsia="zh-CN"/>
              </w:rPr>
              <w:t>第三十一条 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一）开展与公共文化体育设施功能、用途不相适应的服务活动的；（二）违反本条例规定出租公共文化体育设施的。</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7C3CFC5">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公共体育设施</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B3F4C1F">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C2AA96A">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3C6812FA">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2E7C492">
            <w:pPr>
              <w:keepNext w:val="0"/>
              <w:keepLines w:val="0"/>
              <w:pageBreakBefore w:val="0"/>
              <w:widowControl/>
              <w:suppressLineNumbers w:val="0"/>
              <w:kinsoku/>
              <w:wordWrap/>
              <w:overflowPunct/>
              <w:topLinePunct w:val="0"/>
              <w:bidi w:val="0"/>
              <w:adjustRightInd/>
              <w:snapToGrid/>
              <w:jc w:val="left"/>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依据《公共文化体育设施条例》相关规定，县级以上地方人民政府体育行政部门按照职责分工，负责对本行政区域内公共体育设施运营管理活动实施监督管理。重点核查公共体育设施管理单位是否依规开展符合设施功能、用途的公益性服务活动；是否存在擅自开展与公共体育设施功能定位不相符的经营性、营利性服务行为；是否存在违反条例规定擅自出租、转借公共体育设施等违规情形；核查设施日常管护、对外开放、公示告知等履职情况，对存在违法违规行为的，依法依规督促整改、实施处罚，规范公共体育设施管理使用秩序。</w:t>
            </w:r>
          </w:p>
          <w:p w14:paraId="1B48DDC1">
            <w:pPr>
              <w:keepNext w:val="0"/>
              <w:keepLines w:val="0"/>
              <w:pageBreakBefore w:val="0"/>
              <w:widowControl/>
              <w:suppressLineNumbers w:val="0"/>
              <w:kinsoku/>
              <w:wordWrap/>
              <w:overflowPunct/>
              <w:topLinePunct w:val="0"/>
              <w:bidi w:val="0"/>
              <w:adjustRightInd/>
              <w:snapToGrid/>
              <w:jc w:val="left"/>
              <w:rPr>
                <w:rFonts w:hint="default" w:ascii="QCIx0zfn+NSimSun" w:hAnsi="QCIx0zfn+NSimSun" w:eastAsia="QCIx0zfn+NSimSun"/>
                <w:color w:val="000000"/>
                <w:sz w:val="20"/>
                <w:lang w:val="en-US" w:eastAsia="zh-CN"/>
              </w:rPr>
            </w:pP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ED08158">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hint="default" w:ascii="QCIx0zfn+NSimSun" w:hAnsi="QCIx0zfn+NSimSun" w:eastAsia="QCIx0zfn+NSimSun"/>
                <w:color w:val="000000"/>
                <w:sz w:val="20"/>
                <w:lang w:val="en-US" w:eastAsia="zh-CN"/>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9694600">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1A24515">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329B040A">
        <w:tblPrEx>
          <w:tblCellMar>
            <w:top w:w="0" w:type="dxa"/>
            <w:left w:w="108" w:type="dxa"/>
            <w:bottom w:w="0" w:type="dxa"/>
            <w:right w:w="108" w:type="dxa"/>
          </w:tblCellMar>
        </w:tblPrEx>
        <w:trPr>
          <w:trHeight w:val="3900"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DF76217">
            <w:pPr>
              <w:keepNext w:val="0"/>
              <w:keepLines w:val="0"/>
              <w:pageBreakBefore w:val="0"/>
              <w:widowControl/>
              <w:suppressLineNumbers w:val="0"/>
              <w:kinsoku/>
              <w:wordWrap/>
              <w:overflowPunct/>
              <w:topLinePunct w:val="0"/>
              <w:bidi w:val="0"/>
              <w:adjustRightInd/>
              <w:snapToGrid/>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28</w:t>
            </w:r>
          </w:p>
        </w:tc>
        <w:tc>
          <w:tcPr>
            <w:tcW w:w="1552"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D46CEDF">
            <w:pPr>
              <w:keepNext w:val="0"/>
              <w:keepLines w:val="0"/>
              <w:pageBreakBefore w:val="0"/>
              <w:widowControl/>
              <w:suppressLineNumbers w:val="0"/>
              <w:kinsoku/>
              <w:wordWrap/>
              <w:overflowPunct/>
              <w:topLinePunct w:val="0"/>
              <w:bidi w:val="0"/>
              <w:adjustRightInd/>
              <w:snapToGrid/>
              <w:jc w:val="left"/>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不可移动文物保护的监督检查</w:t>
            </w:r>
          </w:p>
        </w:tc>
        <w:tc>
          <w:tcPr>
            <w:tcW w:w="406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70122F37">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中华人民共和国文物保护法》第三十二条第六款：县级以上人民政府文物行政部门应当加强对不可移动文物保护的监督检查，及时发现问题隐患，防范安全风险，并督促指导不可移动文物所有人或者使用人履行保护职责。</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FF7E93D">
            <w:pPr>
              <w:keepNext w:val="0"/>
              <w:keepLines w:val="0"/>
              <w:pageBreakBefore w:val="0"/>
              <w:widowControl/>
              <w:kinsoku/>
              <w:wordWrap/>
              <w:overflowPunct/>
              <w:topLinePunct w:val="0"/>
              <w:autoSpaceDE w:val="0"/>
              <w:autoSpaceDN w:val="0"/>
              <w:bidi w:val="0"/>
              <w:adjustRightInd/>
              <w:snapToGrid/>
              <w:spacing w:after="0" w:line="248" w:lineRule="exact"/>
              <w:ind w:left="0" w:right="0" w:firstLine="0"/>
              <w:jc w:val="center"/>
              <w:rPr>
                <w:rFonts w:ascii="QCIx0zfn+NSimSun" w:hAnsi="QCIx0zfn+NSimSun" w:eastAsia="QCIx0zfn+NSimSun"/>
                <w:color w:val="000000"/>
                <w:sz w:val="20"/>
              </w:rPr>
            </w:pPr>
            <w:r>
              <w:rPr>
                <w:rFonts w:hint="default" w:ascii="仿宋" w:hAnsi="仿宋" w:eastAsia="仿宋" w:cs="仿宋"/>
                <w:i w:val="0"/>
                <w:iCs w:val="0"/>
                <w:color w:val="000000"/>
                <w:kern w:val="0"/>
                <w:sz w:val="24"/>
                <w:szCs w:val="24"/>
                <w:u w:val="none"/>
                <w:lang w:val="en-US" w:eastAsia="zh-CN" w:bidi="ar"/>
              </w:rPr>
              <w:t>不可移动文物</w:t>
            </w:r>
          </w:p>
        </w:tc>
        <w:tc>
          <w:tcPr>
            <w:tcW w:w="1125"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11230D17">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hint="eastAsia" w:ascii="QCIx0zfn+NSimSun" w:hAnsi="QCIx0zfn+NSimSun" w:eastAsia="宋体"/>
                <w:color w:val="000000"/>
                <w:sz w:val="20"/>
                <w:lang w:eastAsia="zh-CN"/>
              </w:rPr>
              <w:t>一年内不超过</w:t>
            </w:r>
            <w:r>
              <w:rPr>
                <w:rFonts w:hint="eastAsia" w:ascii="QCIx0zfn+NSimSun" w:hAnsi="QCIx0zfn+NSimSun" w:eastAsia="宋体"/>
                <w:color w:val="000000"/>
                <w:sz w:val="20"/>
                <w:lang w:val="en-US" w:eastAsia="zh-CN"/>
              </w:rPr>
              <w:t>10次</w:t>
            </w:r>
          </w:p>
        </w:tc>
        <w:tc>
          <w:tcPr>
            <w:tcW w:w="69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5B5DCDB4">
            <w:pPr>
              <w:keepNext w:val="0"/>
              <w:keepLines w:val="0"/>
              <w:pageBreakBefore w:val="0"/>
              <w:widowControl/>
              <w:kinsoku/>
              <w:wordWrap/>
              <w:overflowPunct/>
              <w:topLinePunct w:val="0"/>
              <w:autoSpaceDE w:val="0"/>
              <w:autoSpaceDN w:val="0"/>
              <w:bidi w:val="0"/>
              <w:adjustRightInd/>
              <w:snapToGrid/>
              <w:spacing w:after="0" w:line="200" w:lineRule="exact"/>
              <w:ind w:left="0" w:right="0" w:firstLine="0"/>
              <w:jc w:val="center"/>
            </w:pPr>
            <w:r>
              <w:rPr>
                <w:rFonts w:ascii="QCIx0zfn+NSimSun" w:hAnsi="QCIx0zfn+NSimSun" w:eastAsia="QCIx0zfn+NSimSun"/>
                <w:color w:val="000000"/>
                <w:sz w:val="20"/>
              </w:rPr>
              <w:t>实地检</w:t>
            </w:r>
          </w:p>
          <w:p w14:paraId="7754729C">
            <w:pPr>
              <w:keepNext w:val="0"/>
              <w:keepLines w:val="0"/>
              <w:pageBreakBefore w:val="0"/>
              <w:widowControl/>
              <w:kinsoku/>
              <w:wordWrap/>
              <w:overflowPunct/>
              <w:topLinePunct w:val="0"/>
              <w:autoSpaceDE w:val="0"/>
              <w:autoSpaceDN w:val="0"/>
              <w:bidi w:val="0"/>
              <w:adjustRightInd/>
              <w:snapToGrid/>
              <w:spacing w:after="0" w:line="198" w:lineRule="exact"/>
              <w:ind w:left="0" w:right="0" w:firstLine="0"/>
              <w:jc w:val="center"/>
              <w:rPr>
                <w:rFonts w:ascii="QCIx0zfn+NSimSun" w:hAnsi="QCIx0zfn+NSimSun" w:eastAsia="QCIx0zfn+NSimSun"/>
                <w:color w:val="000000"/>
                <w:sz w:val="20"/>
              </w:rPr>
            </w:pPr>
            <w:r>
              <w:rPr>
                <w:rFonts w:ascii="QCIx0zfn+NSimSun" w:hAnsi="QCIx0zfn+NSimSun" w:eastAsia="QCIx0zfn+NSimSun"/>
                <w:color w:val="000000"/>
                <w:sz w:val="20"/>
              </w:rPr>
              <w:t>查</w:t>
            </w:r>
          </w:p>
        </w:tc>
        <w:tc>
          <w:tcPr>
            <w:tcW w:w="441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3ABB1A2">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r>
              <w:rPr>
                <w:rFonts w:hint="default" w:ascii="QCIx0zfn+NSimSun" w:hAnsi="QCIx0zfn+NSimSun" w:eastAsia="QCIx0zfn+NSimSun"/>
                <w:color w:val="000000"/>
                <w:sz w:val="20"/>
                <w:lang w:val="en-US" w:eastAsia="zh-CN"/>
              </w:rPr>
              <w:t>依据《中华人民共和国文物保护法》相关规定，县级以上人民政府文物行政部门为本行政区域内不可移动文物保护工作的监督管理主体，依法开展不可移动文物常态化监督检查工作。重点核查辖区内各类不可移动文物的保存维护状况、保护措施落实情况，全面排查文物本体损坏、周边环境破坏、安全防护缺失等问题隐患，防范文物损毁、流失等各类安全风险。督促、指导不可移动文物所有人、使用人及管理责任单位严格落实文物保护主体责任，规范开展日常管护、巡查值守、隐患整改等工作，及时发现并纠正文物保护违法违规行为，全面压实不可移动文物保护管理职责。</w:t>
            </w:r>
          </w:p>
          <w:p w14:paraId="1B8B4568">
            <w:pPr>
              <w:keepNext w:val="0"/>
              <w:keepLines w:val="0"/>
              <w:pageBreakBefore w:val="0"/>
              <w:widowControl/>
              <w:suppressLineNumbers w:val="0"/>
              <w:kinsoku/>
              <w:wordWrap/>
              <w:overflowPunct/>
              <w:topLinePunct w:val="0"/>
              <w:bidi w:val="0"/>
              <w:adjustRightInd/>
              <w:snapToGrid/>
              <w:jc w:val="left"/>
              <w:textAlignment w:val="center"/>
              <w:rPr>
                <w:rFonts w:hint="default" w:ascii="QCIx0zfn+NSimSun" w:hAnsi="QCIx0zfn+NSimSun" w:eastAsia="QCIx0zfn+NSimSun"/>
                <w:color w:val="000000"/>
                <w:sz w:val="20"/>
                <w:lang w:val="en-US" w:eastAsia="zh-CN"/>
              </w:rPr>
            </w:pPr>
          </w:p>
        </w:tc>
        <w:tc>
          <w:tcPr>
            <w:tcW w:w="750"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486F730B">
            <w:pPr>
              <w:keepNext w:val="0"/>
              <w:keepLines w:val="0"/>
              <w:pageBreakBefore w:val="0"/>
              <w:widowControl/>
              <w:kinsoku/>
              <w:wordWrap/>
              <w:overflowPunct/>
              <w:topLinePunct w:val="0"/>
              <w:autoSpaceDE w:val="0"/>
              <w:autoSpaceDN w:val="0"/>
              <w:bidi w:val="0"/>
              <w:adjustRightInd/>
              <w:snapToGrid/>
              <w:spacing w:after="0" w:line="198" w:lineRule="exact"/>
              <w:ind w:left="0" w:leftChars="0" w:right="0" w:rightChars="0" w:firstLine="0" w:firstLineChars="0"/>
              <w:jc w:val="center"/>
              <w:rPr>
                <w:rFonts w:hint="default" w:ascii="QCIx0zfn+NSimSun" w:hAnsi="QCIx0zfn+NSimSun" w:eastAsia="QCIx0zfn+NSimSun"/>
                <w:color w:val="000000"/>
                <w:sz w:val="20"/>
                <w:lang w:val="en-US" w:eastAsia="zh-CN"/>
              </w:rPr>
            </w:pPr>
            <w:r>
              <w:rPr>
                <w:rFonts w:hint="eastAsia" w:ascii="QCIx0zfn+NSimSun" w:hAnsi="QCIx0zfn+NSimSun" w:eastAsia="宋体"/>
                <w:color w:val="000000"/>
                <w:sz w:val="20"/>
                <w:lang w:eastAsia="zh-CN"/>
              </w:rPr>
              <w:t>井陉县文化广电体育和旅游局</w:t>
            </w:r>
          </w:p>
        </w:tc>
        <w:tc>
          <w:tcPr>
            <w:tcW w:w="398"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6AC28630">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hint="eastAsia" w:ascii="QCIx0zfn+NSimSun" w:hAnsi="QCIx0zfn+NSimSun" w:eastAsia="宋体"/>
                <w:color w:val="000000"/>
                <w:sz w:val="20"/>
                <w:lang w:eastAsia="zh-CN"/>
              </w:rPr>
            </w:pPr>
            <w:r>
              <w:rPr>
                <w:rFonts w:hint="eastAsia" w:ascii="QCIx0zfn+NSimSun" w:hAnsi="QCIx0zfn+NSimSun" w:eastAsia="宋体"/>
                <w:color w:val="000000"/>
                <w:sz w:val="20"/>
                <w:lang w:eastAsia="zh-CN"/>
              </w:rPr>
              <w:t>县</w:t>
            </w:r>
            <w:r>
              <w:rPr>
                <w:rFonts w:ascii="QCIx0zfn+NSimSun" w:hAnsi="QCIx0zfn+NSimSun" w:eastAsia="QCIx0zfn+NSimSun"/>
                <w:color w:val="000000"/>
                <w:sz w:val="20"/>
              </w:rPr>
              <w:t>本级</w:t>
            </w:r>
          </w:p>
        </w:tc>
        <w:tc>
          <w:tcPr>
            <w:tcW w:w="1064" w:type="dxa"/>
            <w:tcBorders>
              <w:top w:val="single" w:color="000000" w:sz="8" w:space="0"/>
              <w:left w:val="single" w:color="000000" w:sz="8" w:space="0"/>
              <w:bottom w:val="single" w:color="000000" w:sz="8" w:space="0"/>
              <w:right w:val="single" w:color="000000" w:sz="8" w:space="0"/>
            </w:tcBorders>
            <w:tcMar>
              <w:left w:w="0" w:type="dxa"/>
              <w:right w:w="0" w:type="dxa"/>
            </w:tcMar>
            <w:vAlign w:val="center"/>
          </w:tcPr>
          <w:p w14:paraId="3DD6FEEF">
            <w:pPr>
              <w:keepNext w:val="0"/>
              <w:keepLines w:val="0"/>
              <w:pageBreakBefore w:val="0"/>
              <w:widowControl/>
              <w:kinsoku/>
              <w:wordWrap/>
              <w:overflowPunct/>
              <w:topLinePunct w:val="0"/>
              <w:autoSpaceDE w:val="0"/>
              <w:autoSpaceDN w:val="0"/>
              <w:bidi w:val="0"/>
              <w:adjustRightInd/>
              <w:snapToGrid/>
              <w:spacing w:after="0" w:line="200" w:lineRule="exact"/>
              <w:ind w:left="0" w:leftChars="0" w:right="0" w:rightChars="0" w:firstLine="0" w:firstLineChars="0"/>
              <w:jc w:val="center"/>
              <w:rPr>
                <w:rFonts w:ascii="QCIx0zfn+NSimSun" w:hAnsi="QCIx0zfn+NSimSun" w:eastAsia="QCIx0zfn+NSimSun"/>
                <w:color w:val="000000"/>
                <w:sz w:val="20"/>
              </w:rPr>
            </w:pPr>
            <w:r>
              <w:rPr>
                <w:rFonts w:ascii="QCIx0zfn+NSimSun" w:hAnsi="QCIx0zfn+NSimSun" w:eastAsia="QCIx0zfn+NSimSun"/>
                <w:color w:val="000000"/>
                <w:sz w:val="20"/>
              </w:rPr>
              <w:t>否</w:t>
            </w:r>
          </w:p>
        </w:tc>
      </w:tr>
      <w:tr w14:paraId="1FDE897B">
        <w:tblPrEx>
          <w:tblCellMar>
            <w:top w:w="0" w:type="dxa"/>
            <w:left w:w="108" w:type="dxa"/>
            <w:bottom w:w="0" w:type="dxa"/>
            <w:right w:w="108" w:type="dxa"/>
          </w:tblCellMar>
        </w:tblPrEx>
        <w:trPr>
          <w:trHeight w:val="1548" w:hRule="exact"/>
        </w:trPr>
        <w:tc>
          <w:tcPr>
            <w:tcW w:w="6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AE3DF7E">
            <w:pPr>
              <w:widowControl/>
              <w:autoSpaceDE w:val="0"/>
              <w:autoSpaceDN w:val="0"/>
              <w:spacing w:before="684" w:after="0" w:line="200" w:lineRule="exact"/>
              <w:ind w:left="0" w:right="0" w:firstLine="0"/>
              <w:jc w:val="center"/>
            </w:pPr>
            <w:r>
              <w:rPr>
                <w:rFonts w:ascii="QCIx0zfn+NSimSun" w:hAnsi="QCIx0zfn+NSimSun" w:eastAsia="QCIx0zfn+NSimSun"/>
                <w:color w:val="000000"/>
                <w:sz w:val="20"/>
              </w:rPr>
              <w:t>说明</w:t>
            </w:r>
          </w:p>
        </w:tc>
        <w:tc>
          <w:tcPr>
            <w:tcW w:w="15434" w:type="dxa"/>
            <w:gridSpan w:val="9"/>
            <w:tcBorders>
              <w:top w:val="single" w:color="000000" w:sz="8" w:space="0"/>
              <w:left w:val="single" w:color="000000" w:sz="8" w:space="0"/>
              <w:bottom w:val="single" w:color="000000" w:sz="8" w:space="0"/>
              <w:right w:val="single" w:color="000000" w:sz="8" w:space="0"/>
            </w:tcBorders>
            <w:tcMar>
              <w:left w:w="0" w:type="dxa"/>
              <w:right w:w="0" w:type="dxa"/>
            </w:tcMar>
          </w:tcPr>
          <w:p w14:paraId="5D6EE7B0">
            <w:pPr>
              <w:widowControl/>
              <w:autoSpaceDE w:val="0"/>
              <w:autoSpaceDN w:val="0"/>
              <w:spacing w:before="266" w:after="0" w:line="248" w:lineRule="exact"/>
              <w:ind w:left="28" w:right="0" w:firstLine="0"/>
              <w:jc w:val="left"/>
            </w:pPr>
            <w:r>
              <w:rPr>
                <w:rFonts w:ascii="QCIx0zfn+NSimSun" w:hAnsi="QCIx0zfn+NSimSun" w:eastAsia="QCIx0zfn+NSimSun"/>
                <w:color w:val="000000"/>
                <w:sz w:val="20"/>
              </w:rPr>
              <w:t>1.频次上限指同一行政机关对同一企业实施行政检查的年度频次上限，由行政检查实施部门结合实际合理确定，原则上1年内不超过计划设置上限，上级部门另有规定的，从其规定。因投诉举报、转（交）办等线索发起的涉企行政检查不计算在内。</w:t>
            </w:r>
          </w:p>
          <w:p w14:paraId="0A38906C">
            <w:pPr>
              <w:widowControl/>
              <w:autoSpaceDE w:val="0"/>
              <w:autoSpaceDN w:val="0"/>
              <w:spacing w:before="48" w:after="0" w:line="198" w:lineRule="exact"/>
              <w:ind w:left="28" w:right="0" w:firstLine="0"/>
              <w:jc w:val="left"/>
            </w:pPr>
            <w:r>
              <w:rPr>
                <w:rFonts w:ascii="QCIx0zfn+NSimSun" w:hAnsi="QCIx0zfn+NSimSun" w:eastAsia="QCIx0zfn+NSimSun"/>
                <w:color w:val="000000"/>
                <w:sz w:val="20"/>
              </w:rPr>
              <w:t>2.上级部门制定检查标准的，从其标准。</w:t>
            </w:r>
          </w:p>
          <w:p w14:paraId="49A94D87">
            <w:pPr>
              <w:widowControl/>
              <w:autoSpaceDE w:val="0"/>
              <w:autoSpaceDN w:val="0"/>
              <w:spacing w:before="48" w:after="0" w:line="200" w:lineRule="exact"/>
              <w:ind w:left="28" w:right="0" w:firstLine="0"/>
              <w:jc w:val="left"/>
            </w:pPr>
            <w:r>
              <w:rPr>
                <w:rFonts w:ascii="QCIx0zfn+NSimSun" w:hAnsi="QCIx0zfn+NSimSun" w:eastAsia="QCIx0zfn+NSimSun"/>
                <w:color w:val="000000"/>
                <w:sz w:val="20"/>
              </w:rPr>
              <w:t>3.涉企专项检查计划为年度计划。</w:t>
            </w:r>
          </w:p>
        </w:tc>
      </w:tr>
    </w:tbl>
    <w:p w14:paraId="7DA84392">
      <w:pPr>
        <w:widowControl/>
        <w:autoSpaceDE w:val="0"/>
        <w:autoSpaceDN w:val="0"/>
        <w:spacing w:before="0" w:after="0" w:line="14" w:lineRule="exact"/>
        <w:ind w:left="0" w:right="0"/>
      </w:pPr>
    </w:p>
    <w:sectPr>
      <w:pgSz w:w="16838" w:h="12306"/>
      <w:pgMar w:top="392" w:right="394" w:bottom="558" w:left="348" w:header="720" w:footer="720" w:gutter="0"/>
      <w:cols w:equalWidth="0" w:num="1">
        <w:col w:w="1609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ＭＳ 明朝">
    <w:altName w:val="国标仿宋"/>
    <w:panose1 w:val="00000000000000000000"/>
    <w:charset w:val="86"/>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auto"/>
    <w:pitch w:val="default"/>
    <w:sig w:usb0="A00002BF" w:usb1="184F6CFA" w:usb2="00000012" w:usb3="00000000" w:csb0="00040001" w:csb1="00000000"/>
  </w:font>
  <w:font w:name="H3OvnjOL+SimHei">
    <w:altName w:val="DejaVu Math TeX Gyre"/>
    <w:panose1 w:val="02000503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9fpkq9bB+KaiTi">
    <w:altName w:val="DejaVu Math TeX Gyre"/>
    <w:panose1 w:val="02000503000000000000"/>
    <w:charset w:val="00"/>
    <w:family w:val="auto"/>
    <w:pitch w:val="default"/>
    <w:sig w:usb0="00000000" w:usb1="00000000" w:usb2="00000010" w:usb3="00000000" w:csb0="00000001" w:csb1="00000000"/>
  </w:font>
  <w:font w:name="QCIx0zfn+NSimSun">
    <w:altName w:val="DejaVu Math TeX Gyre"/>
    <w:panose1 w:val="02000503000000000000"/>
    <w:charset w:val="00"/>
    <w:family w:val="auto"/>
    <w:pitch w:val="default"/>
    <w:sig w:usb0="00000000" w:usb1="00000000" w:usb2="00000010" w:usb3="00000000" w:csb0="00000001" w:csb1="00000000"/>
  </w:font>
  <w:font w:name="ＭＳ 明朝">
    <w:altName w:val="国标仿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仿宋">
    <w:altName w:val="方正仿宋_GBK"/>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1047E2C"/>
    <w:rsid w:val="2D4F5D5B"/>
    <w:rsid w:val="2FD345C3"/>
    <w:rsid w:val="354F73BD"/>
    <w:rsid w:val="37BE3EBF"/>
    <w:rsid w:val="3DE1BB8C"/>
    <w:rsid w:val="3FE7D058"/>
    <w:rsid w:val="3FFFB4B3"/>
    <w:rsid w:val="5BFFC356"/>
    <w:rsid w:val="5FF8249D"/>
    <w:rsid w:val="6A9B0FB3"/>
    <w:rsid w:val="6F3F043B"/>
    <w:rsid w:val="6FFFAEA8"/>
    <w:rsid w:val="7355C0AB"/>
    <w:rsid w:val="77FE508B"/>
    <w:rsid w:val="79DF5950"/>
    <w:rsid w:val="7BCF41E7"/>
    <w:rsid w:val="7BF0FD2A"/>
    <w:rsid w:val="7E7FE49C"/>
    <w:rsid w:val="7ED7EA7F"/>
    <w:rsid w:val="7EDFD9D7"/>
    <w:rsid w:val="7F0A6E6A"/>
    <w:rsid w:val="7F758779"/>
    <w:rsid w:val="7F9EFB7A"/>
    <w:rsid w:val="7FFBFB83"/>
    <w:rsid w:val="7FFF533F"/>
    <w:rsid w:val="A7BE5DCF"/>
    <w:rsid w:val="AF7F0217"/>
    <w:rsid w:val="B96A6645"/>
    <w:rsid w:val="BBFBF586"/>
    <w:rsid w:val="BDAE369D"/>
    <w:rsid w:val="BDD15724"/>
    <w:rsid w:val="D767709B"/>
    <w:rsid w:val="DB4B6CA2"/>
    <w:rsid w:val="DF3D2D8F"/>
    <w:rsid w:val="E77F04A1"/>
    <w:rsid w:val="E7BF1A98"/>
    <w:rsid w:val="E7DF5693"/>
    <w:rsid w:val="EDFF3E8A"/>
    <w:rsid w:val="EE4B0C0C"/>
    <w:rsid w:val="F7573066"/>
    <w:rsid w:val="F77CAE0D"/>
    <w:rsid w:val="FA2798F2"/>
    <w:rsid w:val="FBFBB75A"/>
    <w:rsid w:val="FDF36326"/>
    <w:rsid w:val="FEC7B167"/>
    <w:rsid w:val="FF5E373A"/>
    <w:rsid w:val="FF5F00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4883</Words>
  <Characters>5023</Characters>
  <Lines>0</Lines>
  <Paragraphs>0</Paragraphs>
  <TotalTime>28</TotalTime>
  <ScaleCrop>false</ScaleCrop>
  <LinksUpToDate>false</LinksUpToDate>
  <CharactersWithSpaces>5032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uos</cp:lastModifiedBy>
  <dcterms:modified xsi:type="dcterms:W3CDTF">2026-09-18T11:19:35Z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eyJoZGlkIjoiODE1ZTM4MTVjZDI2OWQ3NzFjMjlmNzcyNzc3MzcwN2EiLCJ1c2VySWQiOiI1NDM4MjEwMTIifQ==</vt:lpwstr>
  </property>
  <property fmtid="{D5CDD505-2E9C-101B-9397-08002B2CF9AE}" pid="3" name="KSOProductBuildVer">
    <vt:lpwstr>2052-12.1.2.23578</vt:lpwstr>
  </property>
  <property fmtid="{D5CDD505-2E9C-101B-9397-08002B2CF9AE}" pid="4" name="ICV">
    <vt:lpwstr>4D5D8BE6F196AC93C7ADAC6A0FE77530_43</vt:lpwstr>
  </property>
</Properties>
</file>