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F18C1E">
      <w:pPr>
        <w:adjustRightInd w:val="0"/>
        <w:snapToGrid w:val="0"/>
        <w:spacing w:line="560" w:lineRule="exact"/>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31364DC0">
      <w:pPr>
        <w:spacing w:line="560" w:lineRule="exact"/>
        <w:jc w:val="center"/>
        <w:rPr>
          <w:rFonts w:ascii="宋体" w:hAnsi="宋体" w:cs="宋体"/>
          <w:b/>
          <w:bCs/>
          <w:sz w:val="44"/>
          <w:szCs w:val="44"/>
        </w:rPr>
      </w:pPr>
    </w:p>
    <w:p w14:paraId="6422ECA7">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井陉县微水镇人民政府</w:t>
      </w:r>
    </w:p>
    <w:p w14:paraId="71DBBB39">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659E79BC">
      <w:pPr>
        <w:spacing w:line="560" w:lineRule="exact"/>
        <w:jc w:val="center"/>
        <w:rPr>
          <w:rFonts w:hint="eastAsia" w:ascii="华文楷体" w:eastAsia="华文楷体"/>
          <w:sz w:val="32"/>
          <w:szCs w:val="32"/>
          <w:lang w:eastAsia="zh-CN"/>
        </w:rPr>
      </w:pPr>
      <w:r>
        <w:rPr>
          <w:rFonts w:hint="eastAsia" w:ascii="宋体" w:hAnsi="宋体" w:eastAsia="华文楷体" w:cs="宋体"/>
          <w:sz w:val="32"/>
          <w:szCs w:val="32"/>
          <w:lang w:val="en-US" w:eastAsia="zh-CN"/>
        </w:rPr>
        <w:t xml:space="preserve"> </w:t>
      </w:r>
    </w:p>
    <w:p w14:paraId="472D94E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为</w:t>
      </w: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微水镇人民政府</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040876AD">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495EF177">
      <w:pPr>
        <w:adjustRightInd w:val="0"/>
        <w:snapToGrid w:val="0"/>
        <w:spacing w:line="560" w:lineRule="exact"/>
        <w:ind w:firstLine="640" w:firstLineChars="200"/>
        <w:rPr>
          <w:rFonts w:hint="eastAsia" w:ascii="仿宋" w:hAnsi="仿宋" w:eastAsia="仿宋"/>
          <w:color w:val="FF0000"/>
          <w:sz w:val="32"/>
          <w:szCs w:val="32"/>
        </w:rPr>
      </w:pPr>
      <w:r>
        <w:rPr>
          <w:rFonts w:hint="eastAsia" w:ascii="楷体" w:hAnsi="楷体" w:eastAsia="楷体" w:cs="楷体_GB2312"/>
          <w:bCs/>
          <w:sz w:val="32"/>
          <w:szCs w:val="32"/>
        </w:rPr>
        <w:t>（一）部门概况</w:t>
      </w:r>
    </w:p>
    <w:p w14:paraId="7FB2A1BA">
      <w:pPr>
        <w:adjustRightInd w:val="0"/>
        <w:snapToGrid w:val="0"/>
        <w:spacing w:line="56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rPr>
        <w:t>部门职能：</w:t>
      </w:r>
    </w:p>
    <w:p w14:paraId="573AD66E">
      <w:pPr>
        <w:adjustRightInd w:val="0"/>
        <w:snapToGrid w:val="0"/>
        <w:spacing w:line="56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rPr>
        <w:t>政策执行与政务管理</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严格执行本级人民代表大会决议及上级政府决定、命令，负责政府日常运转，推进政务公开，统筹协调各部门工作，做好上传下达。</w:t>
      </w:r>
    </w:p>
    <w:p w14:paraId="110403D1">
      <w:pPr>
        <w:adjustRightInd w:val="0"/>
        <w:snapToGrid w:val="0"/>
        <w:spacing w:line="56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rPr>
        <w:t>经济发展与产业培育</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制定并实施</w:t>
      </w:r>
      <w:r>
        <w:rPr>
          <w:rFonts w:hint="eastAsia" w:ascii="仿宋" w:hAnsi="仿宋" w:eastAsia="仿宋" w:cs="仿宋"/>
          <w:b w:val="0"/>
          <w:bCs w:val="0"/>
          <w:sz w:val="32"/>
          <w:szCs w:val="32"/>
          <w:lang w:val="en-US" w:eastAsia="zh-CN"/>
        </w:rPr>
        <w:t>本</w:t>
      </w:r>
      <w:r>
        <w:rPr>
          <w:rFonts w:hint="eastAsia" w:ascii="仿宋" w:hAnsi="仿宋" w:eastAsia="仿宋" w:cs="仿宋"/>
          <w:b w:val="0"/>
          <w:bCs w:val="0"/>
          <w:sz w:val="32"/>
          <w:szCs w:val="32"/>
        </w:rPr>
        <w:t>区域经济社会发展规划，结合本地资源禀赋引导产业结构调整，优化营商环境，落实强农惠农政策，助力农民增收与集体经济壮大。</w:t>
      </w:r>
    </w:p>
    <w:p w14:paraId="3D568BCC">
      <w:pPr>
        <w:adjustRightInd w:val="0"/>
        <w:snapToGrid w:val="0"/>
        <w:spacing w:line="56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rPr>
        <w:t>社会治理与公共安全</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负责社会治安综合治理，构建网格化管理体系，及时排查化解矛盾纠纷，推进平安乡村建设；落实安全生产监管与应急管理职责，完善防灾减灾体系，保障群众生命财产安全。</w:t>
      </w:r>
    </w:p>
    <w:p w14:paraId="3C1827B9">
      <w:pPr>
        <w:adjustRightInd w:val="0"/>
        <w:snapToGrid w:val="0"/>
        <w:spacing w:line="56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rPr>
        <w:t>公共服务与民生保障</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统筹推进教育、卫生健康、文化体育等社会事业发展，推进农村道路、水利、住房等基础设施建设，改善群众生产生活条件</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优化服务流程，提升公共服务效率。</w:t>
      </w:r>
    </w:p>
    <w:p w14:paraId="18F14C85">
      <w:pPr>
        <w:adjustRightInd w:val="0"/>
        <w:snapToGrid w:val="0"/>
        <w:spacing w:line="56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rPr>
        <w:t>生态环境与村镇建设</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落实生态环境保护政策，推进垃圾处理、污水处理设施建设；保护耕地与自然资源，推动生态宜居乡村建设。</w:t>
      </w:r>
    </w:p>
    <w:p w14:paraId="33819800">
      <w:pPr>
        <w:adjustRightInd w:val="0"/>
        <w:snapToGrid w:val="0"/>
        <w:spacing w:line="56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rPr>
        <w:t>基层党建与民主建设</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协助党委抓好农村党组织建设，推动基层民主自治；加强精神文明建设，开展文化活动，培育乡村文明新风。</w:t>
      </w:r>
    </w:p>
    <w:p w14:paraId="27265954">
      <w:pPr>
        <w:adjustRightInd w:val="0"/>
        <w:snapToGrid w:val="0"/>
        <w:spacing w:line="560" w:lineRule="exact"/>
        <w:ind w:firstLine="640" w:firstLineChars="200"/>
        <w:rPr>
          <w:rFonts w:hint="eastAsia" w:ascii="仿宋" w:hAnsi="仿宋" w:eastAsia="仿宋" w:cs="仿宋"/>
          <w:b w:val="0"/>
          <w:bCs w:val="0"/>
          <w:color w:val="FF0000"/>
          <w:sz w:val="32"/>
          <w:szCs w:val="32"/>
        </w:rPr>
      </w:pPr>
      <w:r>
        <w:rPr>
          <w:rFonts w:hint="eastAsia" w:ascii="仿宋" w:hAnsi="仿宋" w:eastAsia="仿宋" w:cs="仿宋"/>
          <w:b w:val="0"/>
          <w:bCs w:val="0"/>
          <w:sz w:val="32"/>
          <w:szCs w:val="32"/>
        </w:rPr>
        <w:t>财政管理与资产监督</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编制执行本级财政预算与决算，组织财政收入与税收征管</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rPr>
        <w:t>监管国有资产、集体资产，确保资金安全高效使用；培植税源，增强财政实力，为区域发展提供财力保障。</w:t>
      </w:r>
    </w:p>
    <w:p w14:paraId="03EFFC80">
      <w:pPr>
        <w:adjustRightInd w:val="0"/>
        <w:snapToGrid w:val="0"/>
        <w:spacing w:line="560" w:lineRule="exact"/>
        <w:ind w:firstLine="640" w:firstLineChars="200"/>
        <w:rPr>
          <w:rFonts w:hint="eastAsia" w:ascii="仿宋" w:hAnsi="仿宋" w:eastAsia="仿宋" w:cs="仿宋"/>
          <w:b w:val="0"/>
          <w:bCs w:val="0"/>
          <w:sz w:val="32"/>
          <w:szCs w:val="32"/>
        </w:rPr>
      </w:pPr>
      <w:r>
        <w:rPr>
          <w:rFonts w:hint="eastAsia" w:ascii="仿宋" w:hAnsi="仿宋" w:eastAsia="仿宋" w:cs="仿宋"/>
          <w:b w:val="0"/>
          <w:bCs w:val="0"/>
          <w:sz w:val="32"/>
          <w:szCs w:val="32"/>
        </w:rPr>
        <w:t>组织机构及人员：井陉县微水镇人民政府下设</w:t>
      </w:r>
      <w:r>
        <w:rPr>
          <w:rFonts w:hint="eastAsia" w:ascii="仿宋" w:hAnsi="仿宋" w:eastAsia="仿宋" w:cs="仿宋"/>
          <w:b w:val="0"/>
          <w:bCs w:val="0"/>
          <w:sz w:val="32"/>
          <w:szCs w:val="32"/>
          <w:lang w:val="en-US" w:eastAsia="zh-CN"/>
        </w:rPr>
        <w:t>一个行政单位（微水镇人民政府机关）和</w:t>
      </w:r>
      <w:r>
        <w:rPr>
          <w:rFonts w:hint="eastAsia" w:ascii="仿宋" w:hAnsi="仿宋" w:eastAsia="仿宋" w:cs="仿宋"/>
          <w:b w:val="0"/>
          <w:bCs w:val="0"/>
          <w:sz w:val="32"/>
          <w:szCs w:val="32"/>
        </w:rPr>
        <w:t>四个事业单位，分别是：井陉县微水镇农业综合服务中心、井陉县微水镇行政综合服务中心、井陉县微水镇综合行政执法队以及井陉县微水镇退役军人服务站，有行政编制人员</w:t>
      </w:r>
      <w:r>
        <w:rPr>
          <w:rFonts w:hint="eastAsia" w:ascii="仿宋" w:hAnsi="仿宋" w:eastAsia="仿宋" w:cs="仿宋"/>
          <w:b w:val="0"/>
          <w:bCs w:val="0"/>
          <w:sz w:val="32"/>
          <w:szCs w:val="32"/>
          <w:lang w:val="en-US" w:eastAsia="zh-CN"/>
        </w:rPr>
        <w:t>49</w:t>
      </w:r>
      <w:r>
        <w:rPr>
          <w:rFonts w:hint="eastAsia" w:ascii="仿宋" w:hAnsi="仿宋" w:eastAsia="仿宋" w:cs="仿宋"/>
          <w:b w:val="0"/>
          <w:bCs w:val="0"/>
          <w:sz w:val="32"/>
          <w:szCs w:val="32"/>
        </w:rPr>
        <w:t>名，事业编制人员</w:t>
      </w:r>
      <w:r>
        <w:rPr>
          <w:rFonts w:hint="eastAsia" w:ascii="仿宋" w:hAnsi="仿宋" w:eastAsia="仿宋" w:cs="仿宋"/>
          <w:b w:val="0"/>
          <w:bCs w:val="0"/>
          <w:sz w:val="32"/>
          <w:szCs w:val="32"/>
          <w:lang w:val="en-US" w:eastAsia="zh-CN"/>
        </w:rPr>
        <w:t>36</w:t>
      </w:r>
      <w:r>
        <w:rPr>
          <w:rFonts w:hint="eastAsia" w:ascii="仿宋" w:hAnsi="仿宋" w:eastAsia="仿宋" w:cs="仿宋"/>
          <w:b w:val="0"/>
          <w:bCs w:val="0"/>
          <w:sz w:val="32"/>
          <w:szCs w:val="32"/>
        </w:rPr>
        <w:t>名</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lang w:val="en-US" w:eastAsia="zh-CN"/>
        </w:rPr>
        <w:t>合计85名</w:t>
      </w:r>
      <w:r>
        <w:rPr>
          <w:rFonts w:hint="eastAsia" w:ascii="仿宋" w:hAnsi="仿宋" w:eastAsia="仿宋" w:cs="仿宋"/>
          <w:b w:val="0"/>
          <w:bCs w:val="0"/>
          <w:sz w:val="32"/>
          <w:szCs w:val="32"/>
        </w:rPr>
        <w:t>。</w:t>
      </w:r>
    </w:p>
    <w:p w14:paraId="1D2A6AE6">
      <w:pPr>
        <w:adjustRightInd w:val="0"/>
        <w:snapToGrid w:val="0"/>
        <w:spacing w:line="560" w:lineRule="exact"/>
        <w:ind w:firstLine="640" w:firstLineChars="200"/>
        <w:rPr>
          <w:rFonts w:hint="eastAsia" w:ascii="仿宋" w:hAnsi="仿宋" w:eastAsia="仿宋"/>
          <w:b w:val="0"/>
          <w:bCs w:val="0"/>
          <w:color w:val="FF0000"/>
          <w:sz w:val="32"/>
          <w:szCs w:val="32"/>
        </w:rPr>
      </w:pPr>
      <w:r>
        <w:rPr>
          <w:rFonts w:hint="eastAsia" w:ascii="仿宋" w:hAnsi="仿宋" w:eastAsia="仿宋"/>
          <w:b w:val="0"/>
          <w:bCs w:val="0"/>
          <w:color w:val="auto"/>
          <w:sz w:val="32"/>
          <w:szCs w:val="32"/>
        </w:rPr>
        <w:t>资产状况</w:t>
      </w:r>
    </w:p>
    <w:p w14:paraId="0557EC0B">
      <w:pPr>
        <w:jc w:val="center"/>
        <w:rPr>
          <w:rFonts w:hint="eastAsia" w:ascii="宋体" w:hAnsi="宋体" w:cs="宋体"/>
          <w:b/>
          <w:bCs/>
          <w:color w:val="auto"/>
          <w:sz w:val="32"/>
          <w:szCs w:val="21"/>
        </w:rPr>
      </w:pPr>
      <w:r>
        <w:rPr>
          <w:rFonts w:hint="eastAsia" w:ascii="宋体" w:hAnsi="宋体" w:cs="宋体"/>
          <w:b/>
          <w:bCs/>
          <w:color w:val="auto"/>
          <w:sz w:val="32"/>
          <w:szCs w:val="21"/>
        </w:rPr>
        <w:t>部门固定资产占用情况表</w:t>
      </w:r>
    </w:p>
    <w:tbl>
      <w:tblPr>
        <w:tblStyle w:val="5"/>
        <w:tblW w:w="100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98"/>
        <w:gridCol w:w="2190"/>
        <w:gridCol w:w="2192"/>
      </w:tblGrid>
      <w:tr w14:paraId="11829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11" w:hRule="atLeast"/>
          <w:tblHeader/>
          <w:jc w:val="center"/>
        </w:trPr>
        <w:tc>
          <w:tcPr>
            <w:tcW w:w="5697" w:type="dxa"/>
            <w:tcBorders>
              <w:top w:val="single" w:color="FFFFFF" w:sz="6" w:space="0"/>
              <w:left w:val="single" w:color="FFFFFF" w:sz="6" w:space="0"/>
              <w:bottom w:val="single" w:color="000000" w:sz="6" w:space="0"/>
              <w:right w:val="single" w:color="FFFFFF" w:sz="6" w:space="0"/>
            </w:tcBorders>
            <w:vAlign w:val="center"/>
          </w:tcPr>
          <w:p w14:paraId="59C57E37">
            <w:pPr>
              <w:spacing w:line="300" w:lineRule="exact"/>
              <w:jc w:val="center"/>
              <w:rPr>
                <w:rFonts w:ascii="仿宋" w:hAnsi="仿宋" w:eastAsia="仿宋" w:cs="仿宋"/>
                <w:color w:val="auto"/>
                <w:sz w:val="28"/>
                <w:szCs w:val="24"/>
              </w:rPr>
            </w:pPr>
            <w:r>
              <w:rPr>
                <w:rFonts w:hint="eastAsia" w:ascii="仿宋" w:hAnsi="仿宋" w:eastAsia="仿宋" w:cs="仿宋"/>
                <w:color w:val="auto"/>
                <w:sz w:val="28"/>
                <w:szCs w:val="24"/>
              </w:rPr>
              <w:t>801井陉县微水镇人民政府</w:t>
            </w:r>
          </w:p>
        </w:tc>
        <w:tc>
          <w:tcPr>
            <w:tcW w:w="4382" w:type="dxa"/>
            <w:gridSpan w:val="2"/>
            <w:tcBorders>
              <w:top w:val="single" w:color="FFFFFF" w:sz="6" w:space="0"/>
              <w:left w:val="single" w:color="FFFFFF" w:sz="6" w:space="0"/>
              <w:bottom w:val="single" w:color="000000" w:sz="6" w:space="0"/>
              <w:right w:val="single" w:color="FFFFFF" w:sz="6" w:space="0"/>
            </w:tcBorders>
            <w:vAlign w:val="center"/>
          </w:tcPr>
          <w:p w14:paraId="314B8FB2">
            <w:pPr>
              <w:spacing w:line="300" w:lineRule="exact"/>
              <w:jc w:val="center"/>
              <w:rPr>
                <w:rFonts w:ascii="仿宋" w:hAnsi="仿宋" w:eastAsia="仿宋" w:cs="仿宋"/>
                <w:color w:val="auto"/>
                <w:sz w:val="28"/>
                <w:szCs w:val="24"/>
              </w:rPr>
            </w:pPr>
            <w:r>
              <w:rPr>
                <w:rFonts w:hint="eastAsia" w:ascii="仿宋" w:hAnsi="仿宋" w:eastAsia="仿宋" w:cs="仿宋"/>
                <w:color w:val="auto"/>
                <w:sz w:val="28"/>
                <w:szCs w:val="24"/>
              </w:rPr>
              <w:t>截止时间：202</w:t>
            </w:r>
            <w:r>
              <w:rPr>
                <w:rFonts w:hint="eastAsia" w:ascii="仿宋" w:hAnsi="仿宋" w:eastAsia="仿宋" w:cs="仿宋"/>
                <w:color w:val="auto"/>
                <w:sz w:val="28"/>
                <w:szCs w:val="24"/>
                <w:lang w:val="en-US" w:eastAsia="zh-CN"/>
              </w:rPr>
              <w:t>5</w:t>
            </w:r>
            <w:r>
              <w:rPr>
                <w:rFonts w:hint="eastAsia" w:ascii="仿宋" w:hAnsi="仿宋" w:eastAsia="仿宋" w:cs="仿宋"/>
                <w:color w:val="auto"/>
                <w:sz w:val="28"/>
                <w:szCs w:val="24"/>
              </w:rPr>
              <w:t>-12-31</w:t>
            </w:r>
          </w:p>
        </w:tc>
      </w:tr>
      <w:tr w14:paraId="5D231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11" w:hRule="atLeast"/>
          <w:tblHeader/>
          <w:jc w:val="center"/>
        </w:trPr>
        <w:tc>
          <w:tcPr>
            <w:tcW w:w="5697" w:type="dxa"/>
            <w:tcBorders>
              <w:top w:val="single" w:color="000000" w:sz="6" w:space="0"/>
              <w:left w:val="single" w:color="000000" w:sz="6" w:space="0"/>
              <w:bottom w:val="single" w:color="000000" w:sz="6" w:space="0"/>
              <w:right w:val="single" w:color="000000" w:sz="6" w:space="0"/>
            </w:tcBorders>
            <w:vAlign w:val="center"/>
          </w:tcPr>
          <w:p w14:paraId="1D6C5195">
            <w:pPr>
              <w:spacing w:line="300" w:lineRule="exact"/>
              <w:jc w:val="center"/>
              <w:rPr>
                <w:rFonts w:ascii="仿宋" w:hAnsi="仿宋" w:eastAsia="仿宋" w:cs="仿宋"/>
                <w:b/>
                <w:color w:val="auto"/>
                <w:sz w:val="24"/>
                <w:szCs w:val="28"/>
              </w:rPr>
            </w:pPr>
            <w:r>
              <w:rPr>
                <w:rFonts w:hint="eastAsia" w:ascii="仿宋" w:hAnsi="仿宋" w:eastAsia="仿宋" w:cs="仿宋"/>
                <w:b/>
                <w:color w:val="auto"/>
                <w:sz w:val="24"/>
                <w:szCs w:val="28"/>
              </w:rPr>
              <w:t>项   目</w:t>
            </w:r>
          </w:p>
        </w:tc>
        <w:tc>
          <w:tcPr>
            <w:tcW w:w="2190" w:type="dxa"/>
            <w:tcBorders>
              <w:top w:val="single" w:color="000000" w:sz="6" w:space="0"/>
              <w:left w:val="single" w:color="000000" w:sz="6" w:space="0"/>
              <w:bottom w:val="single" w:color="000000" w:sz="6" w:space="0"/>
              <w:right w:val="single" w:color="000000" w:sz="6" w:space="0"/>
            </w:tcBorders>
            <w:vAlign w:val="center"/>
          </w:tcPr>
          <w:p w14:paraId="476B8A56">
            <w:pPr>
              <w:spacing w:line="300" w:lineRule="exact"/>
              <w:jc w:val="center"/>
              <w:rPr>
                <w:rFonts w:ascii="仿宋" w:hAnsi="仿宋" w:eastAsia="仿宋" w:cs="仿宋"/>
                <w:b/>
                <w:color w:val="auto"/>
                <w:sz w:val="24"/>
                <w:szCs w:val="28"/>
              </w:rPr>
            </w:pPr>
            <w:r>
              <w:rPr>
                <w:rFonts w:hint="eastAsia" w:ascii="仿宋" w:hAnsi="仿宋" w:eastAsia="仿宋" w:cs="仿宋"/>
                <w:b/>
                <w:color w:val="auto"/>
                <w:sz w:val="24"/>
                <w:szCs w:val="28"/>
              </w:rPr>
              <w:t>数量</w:t>
            </w:r>
          </w:p>
        </w:tc>
        <w:tc>
          <w:tcPr>
            <w:tcW w:w="2192" w:type="dxa"/>
            <w:tcBorders>
              <w:top w:val="single" w:color="000000" w:sz="6" w:space="0"/>
              <w:left w:val="single" w:color="000000" w:sz="6" w:space="0"/>
              <w:bottom w:val="single" w:color="000000" w:sz="6" w:space="0"/>
              <w:right w:val="single" w:color="000000" w:sz="6" w:space="0"/>
            </w:tcBorders>
            <w:vAlign w:val="center"/>
          </w:tcPr>
          <w:p w14:paraId="4641128B">
            <w:pPr>
              <w:spacing w:line="300" w:lineRule="exact"/>
              <w:jc w:val="center"/>
              <w:rPr>
                <w:rFonts w:ascii="仿宋" w:hAnsi="仿宋" w:eastAsia="仿宋" w:cs="仿宋"/>
                <w:b/>
                <w:color w:val="auto"/>
                <w:sz w:val="24"/>
                <w:szCs w:val="28"/>
              </w:rPr>
            </w:pPr>
            <w:r>
              <w:rPr>
                <w:rFonts w:hint="eastAsia" w:ascii="仿宋" w:hAnsi="仿宋" w:eastAsia="仿宋" w:cs="仿宋"/>
                <w:b/>
                <w:color w:val="auto"/>
                <w:sz w:val="24"/>
                <w:szCs w:val="28"/>
              </w:rPr>
              <w:t>价值（金额单位：元）</w:t>
            </w:r>
          </w:p>
        </w:tc>
      </w:tr>
      <w:tr w14:paraId="206C6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11" w:hRule="atLeast"/>
          <w:jc w:val="center"/>
        </w:trPr>
        <w:tc>
          <w:tcPr>
            <w:tcW w:w="5697" w:type="dxa"/>
            <w:tcBorders>
              <w:top w:val="single" w:color="000000" w:sz="6" w:space="0"/>
              <w:left w:val="single" w:color="000000" w:sz="6" w:space="0"/>
              <w:bottom w:val="single" w:color="000000" w:sz="6" w:space="0"/>
              <w:right w:val="single" w:color="000000" w:sz="6" w:space="0"/>
            </w:tcBorders>
            <w:vAlign w:val="center"/>
          </w:tcPr>
          <w:p w14:paraId="002234C9">
            <w:pPr>
              <w:spacing w:line="300" w:lineRule="exact"/>
              <w:jc w:val="center"/>
              <w:rPr>
                <w:rFonts w:ascii="仿宋" w:hAnsi="仿宋" w:eastAsia="仿宋" w:cs="仿宋"/>
                <w:color w:val="auto"/>
                <w:sz w:val="24"/>
                <w:szCs w:val="28"/>
              </w:rPr>
            </w:pPr>
            <w:r>
              <w:rPr>
                <w:rFonts w:hint="eastAsia" w:ascii="仿宋" w:hAnsi="仿宋" w:eastAsia="仿宋" w:cs="仿宋"/>
                <w:color w:val="auto"/>
                <w:sz w:val="24"/>
                <w:szCs w:val="28"/>
              </w:rPr>
              <w:t>资产总额</w:t>
            </w:r>
          </w:p>
        </w:tc>
        <w:tc>
          <w:tcPr>
            <w:tcW w:w="2190" w:type="dxa"/>
            <w:tcBorders>
              <w:top w:val="single" w:color="000000" w:sz="6" w:space="0"/>
              <w:left w:val="single" w:color="000000" w:sz="6" w:space="0"/>
              <w:bottom w:val="single" w:color="000000" w:sz="6" w:space="0"/>
              <w:right w:val="single" w:color="000000" w:sz="6" w:space="0"/>
            </w:tcBorders>
            <w:vAlign w:val="center"/>
          </w:tcPr>
          <w:p w14:paraId="4E448568">
            <w:pPr>
              <w:spacing w:line="300" w:lineRule="exact"/>
              <w:jc w:val="center"/>
              <w:rPr>
                <w:rFonts w:ascii="仿宋" w:hAnsi="仿宋" w:eastAsia="仿宋" w:cs="仿宋"/>
                <w:color w:val="auto"/>
                <w:sz w:val="24"/>
                <w:szCs w:val="28"/>
              </w:rPr>
            </w:pPr>
            <w:r>
              <w:rPr>
                <w:rFonts w:hint="eastAsia" w:ascii="仿宋" w:hAnsi="仿宋" w:eastAsia="仿宋" w:cs="仿宋"/>
                <w:color w:val="auto"/>
                <w:sz w:val="24"/>
                <w:szCs w:val="28"/>
              </w:rPr>
              <w:t>──</w:t>
            </w:r>
          </w:p>
        </w:tc>
        <w:tc>
          <w:tcPr>
            <w:tcW w:w="2192" w:type="dxa"/>
            <w:tcBorders>
              <w:top w:val="single" w:color="000000" w:sz="6" w:space="0"/>
              <w:left w:val="single" w:color="000000" w:sz="6" w:space="0"/>
              <w:bottom w:val="single" w:color="000000" w:sz="6" w:space="0"/>
              <w:right w:val="single" w:color="000000" w:sz="6" w:space="0"/>
            </w:tcBorders>
            <w:vAlign w:val="center"/>
          </w:tcPr>
          <w:p w14:paraId="2FAFD87E">
            <w:pPr>
              <w:spacing w:line="300" w:lineRule="exact"/>
              <w:jc w:val="center"/>
              <w:rPr>
                <w:rFonts w:hint="default" w:ascii="仿宋" w:hAnsi="仿宋" w:eastAsia="仿宋" w:cs="仿宋"/>
                <w:color w:val="auto"/>
                <w:sz w:val="24"/>
                <w:szCs w:val="28"/>
                <w:lang w:val="en-US" w:eastAsia="zh-CN"/>
              </w:rPr>
            </w:pPr>
            <w:r>
              <w:rPr>
                <w:rFonts w:hint="eastAsia" w:ascii="仿宋" w:hAnsi="仿宋" w:eastAsia="仿宋" w:cs="仿宋"/>
                <w:color w:val="auto"/>
                <w:sz w:val="24"/>
                <w:szCs w:val="28"/>
                <w:lang w:val="en-US" w:eastAsia="zh-CN"/>
              </w:rPr>
              <w:t>7833385.49</w:t>
            </w:r>
          </w:p>
        </w:tc>
      </w:tr>
      <w:tr w14:paraId="68AD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11" w:hRule="atLeast"/>
          <w:jc w:val="center"/>
        </w:trPr>
        <w:tc>
          <w:tcPr>
            <w:tcW w:w="5697" w:type="dxa"/>
            <w:tcBorders>
              <w:top w:val="single" w:color="000000" w:sz="6" w:space="0"/>
              <w:left w:val="single" w:color="000000" w:sz="6" w:space="0"/>
              <w:bottom w:val="single" w:color="000000" w:sz="6" w:space="0"/>
              <w:right w:val="single" w:color="000000" w:sz="6" w:space="0"/>
            </w:tcBorders>
            <w:vAlign w:val="center"/>
          </w:tcPr>
          <w:p w14:paraId="020AE776">
            <w:pPr>
              <w:spacing w:line="300" w:lineRule="exact"/>
              <w:jc w:val="center"/>
              <w:rPr>
                <w:rFonts w:ascii="仿宋" w:hAnsi="仿宋" w:eastAsia="仿宋" w:cs="仿宋"/>
                <w:color w:val="auto"/>
                <w:sz w:val="24"/>
                <w:szCs w:val="28"/>
              </w:rPr>
            </w:pPr>
            <w:r>
              <w:rPr>
                <w:rFonts w:hint="eastAsia" w:ascii="仿宋" w:hAnsi="仿宋" w:eastAsia="仿宋" w:cs="仿宋"/>
                <w:color w:val="auto"/>
                <w:sz w:val="24"/>
                <w:szCs w:val="28"/>
              </w:rPr>
              <w:t>1、房屋（平方米）</w:t>
            </w:r>
          </w:p>
        </w:tc>
        <w:tc>
          <w:tcPr>
            <w:tcW w:w="2190" w:type="dxa"/>
            <w:tcBorders>
              <w:top w:val="single" w:color="000000" w:sz="6" w:space="0"/>
              <w:left w:val="single" w:color="000000" w:sz="6" w:space="0"/>
              <w:bottom w:val="single" w:color="000000" w:sz="6" w:space="0"/>
              <w:right w:val="single" w:color="000000" w:sz="6" w:space="0"/>
            </w:tcBorders>
            <w:vAlign w:val="center"/>
          </w:tcPr>
          <w:p w14:paraId="5A8840C9">
            <w:pPr>
              <w:spacing w:line="300" w:lineRule="exact"/>
              <w:jc w:val="center"/>
              <w:rPr>
                <w:rFonts w:hint="default" w:ascii="仿宋" w:hAnsi="仿宋" w:eastAsia="仿宋" w:cs="仿宋"/>
                <w:color w:val="auto"/>
                <w:sz w:val="24"/>
                <w:szCs w:val="28"/>
                <w:lang w:val="en-US"/>
              </w:rPr>
            </w:pPr>
            <w:r>
              <w:rPr>
                <w:rFonts w:hint="eastAsia" w:ascii="仿宋" w:hAnsi="仿宋" w:eastAsia="仿宋" w:cs="仿宋"/>
                <w:color w:val="auto"/>
                <w:sz w:val="24"/>
                <w:szCs w:val="28"/>
              </w:rPr>
              <w:t>34</w:t>
            </w:r>
            <w:r>
              <w:rPr>
                <w:rFonts w:hint="eastAsia" w:ascii="仿宋" w:hAnsi="仿宋" w:eastAsia="仿宋" w:cs="仿宋"/>
                <w:color w:val="auto"/>
                <w:sz w:val="24"/>
                <w:szCs w:val="28"/>
                <w:lang w:val="en-US" w:eastAsia="zh-CN"/>
              </w:rPr>
              <w:t>70</w:t>
            </w:r>
          </w:p>
        </w:tc>
        <w:tc>
          <w:tcPr>
            <w:tcW w:w="2192" w:type="dxa"/>
            <w:tcBorders>
              <w:top w:val="single" w:color="000000" w:sz="6" w:space="0"/>
              <w:left w:val="single" w:color="000000" w:sz="6" w:space="0"/>
              <w:bottom w:val="single" w:color="000000" w:sz="6" w:space="0"/>
              <w:right w:val="single" w:color="000000" w:sz="6" w:space="0"/>
            </w:tcBorders>
            <w:vAlign w:val="center"/>
          </w:tcPr>
          <w:p w14:paraId="55F80F1A">
            <w:pPr>
              <w:spacing w:line="300" w:lineRule="exact"/>
              <w:jc w:val="center"/>
              <w:rPr>
                <w:rFonts w:ascii="仿宋" w:hAnsi="仿宋" w:eastAsia="仿宋" w:cs="仿宋"/>
                <w:color w:val="auto"/>
                <w:sz w:val="24"/>
                <w:szCs w:val="28"/>
              </w:rPr>
            </w:pPr>
            <w:r>
              <w:rPr>
                <w:rFonts w:hint="eastAsia" w:ascii="仿宋" w:hAnsi="仿宋" w:eastAsia="仿宋" w:cs="仿宋"/>
                <w:color w:val="auto"/>
                <w:sz w:val="24"/>
                <w:szCs w:val="28"/>
                <w:lang w:val="en-US" w:eastAsia="zh-CN"/>
              </w:rPr>
              <w:t>4987</w:t>
            </w:r>
            <w:r>
              <w:rPr>
                <w:rFonts w:ascii="仿宋" w:hAnsi="仿宋" w:eastAsia="仿宋" w:cs="仿宋"/>
                <w:color w:val="auto"/>
                <w:sz w:val="24"/>
                <w:szCs w:val="28"/>
              </w:rPr>
              <w:t>801</w:t>
            </w:r>
            <w:r>
              <w:rPr>
                <w:rFonts w:hint="eastAsia" w:ascii="仿宋" w:hAnsi="仿宋" w:eastAsia="仿宋" w:cs="仿宋"/>
                <w:color w:val="auto"/>
                <w:sz w:val="24"/>
                <w:szCs w:val="28"/>
              </w:rPr>
              <w:t>.00</w:t>
            </w:r>
          </w:p>
        </w:tc>
      </w:tr>
      <w:tr w14:paraId="2C8FB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11" w:hRule="atLeast"/>
          <w:jc w:val="center"/>
        </w:trPr>
        <w:tc>
          <w:tcPr>
            <w:tcW w:w="5697" w:type="dxa"/>
            <w:tcBorders>
              <w:top w:val="single" w:color="000000" w:sz="6" w:space="0"/>
              <w:left w:val="single" w:color="000000" w:sz="6" w:space="0"/>
              <w:bottom w:val="single" w:color="000000" w:sz="6" w:space="0"/>
              <w:right w:val="single" w:color="000000" w:sz="6" w:space="0"/>
            </w:tcBorders>
            <w:vAlign w:val="center"/>
          </w:tcPr>
          <w:p w14:paraId="336881C5">
            <w:pPr>
              <w:spacing w:line="300" w:lineRule="exact"/>
              <w:jc w:val="center"/>
              <w:rPr>
                <w:rFonts w:ascii="仿宋" w:hAnsi="仿宋" w:eastAsia="仿宋" w:cs="仿宋"/>
                <w:color w:val="auto"/>
                <w:sz w:val="24"/>
                <w:szCs w:val="28"/>
              </w:rPr>
            </w:pPr>
            <w:r>
              <w:rPr>
                <w:rFonts w:hint="eastAsia" w:ascii="仿宋" w:hAnsi="仿宋" w:eastAsia="仿宋" w:cs="仿宋"/>
                <w:color w:val="auto"/>
                <w:sz w:val="24"/>
                <w:szCs w:val="28"/>
              </w:rPr>
              <w:t>其中：办公用房（平方米）</w:t>
            </w:r>
          </w:p>
        </w:tc>
        <w:tc>
          <w:tcPr>
            <w:tcW w:w="2190" w:type="dxa"/>
            <w:tcBorders>
              <w:top w:val="single" w:color="000000" w:sz="6" w:space="0"/>
              <w:left w:val="single" w:color="000000" w:sz="6" w:space="0"/>
              <w:bottom w:val="single" w:color="000000" w:sz="6" w:space="0"/>
              <w:right w:val="single" w:color="000000" w:sz="6" w:space="0"/>
            </w:tcBorders>
            <w:vAlign w:val="center"/>
          </w:tcPr>
          <w:p w14:paraId="51E8CB7B">
            <w:pPr>
              <w:spacing w:line="300" w:lineRule="exact"/>
              <w:jc w:val="center"/>
              <w:rPr>
                <w:rFonts w:hint="default" w:ascii="仿宋" w:hAnsi="仿宋" w:eastAsia="仿宋" w:cs="仿宋"/>
                <w:color w:val="auto"/>
                <w:sz w:val="24"/>
                <w:szCs w:val="28"/>
                <w:lang w:val="en-US"/>
              </w:rPr>
            </w:pPr>
            <w:r>
              <w:rPr>
                <w:rFonts w:hint="eastAsia" w:ascii="仿宋" w:hAnsi="仿宋" w:eastAsia="仿宋" w:cs="仿宋"/>
                <w:color w:val="auto"/>
                <w:sz w:val="24"/>
                <w:szCs w:val="28"/>
              </w:rPr>
              <w:t>34</w:t>
            </w:r>
            <w:r>
              <w:rPr>
                <w:rFonts w:hint="eastAsia" w:ascii="仿宋" w:hAnsi="仿宋" w:eastAsia="仿宋" w:cs="仿宋"/>
                <w:color w:val="auto"/>
                <w:sz w:val="24"/>
                <w:szCs w:val="28"/>
                <w:lang w:val="en-US" w:eastAsia="zh-CN"/>
              </w:rPr>
              <w:t>70</w:t>
            </w:r>
          </w:p>
        </w:tc>
        <w:tc>
          <w:tcPr>
            <w:tcW w:w="2192" w:type="dxa"/>
            <w:tcBorders>
              <w:top w:val="single" w:color="000000" w:sz="6" w:space="0"/>
              <w:left w:val="single" w:color="000000" w:sz="6" w:space="0"/>
              <w:bottom w:val="single" w:color="000000" w:sz="6" w:space="0"/>
              <w:right w:val="single" w:color="000000" w:sz="6" w:space="0"/>
            </w:tcBorders>
            <w:vAlign w:val="center"/>
          </w:tcPr>
          <w:p w14:paraId="20AEDDBF">
            <w:pPr>
              <w:spacing w:line="300" w:lineRule="exact"/>
              <w:jc w:val="center"/>
              <w:rPr>
                <w:rFonts w:ascii="仿宋" w:hAnsi="仿宋" w:eastAsia="仿宋" w:cs="仿宋"/>
                <w:color w:val="auto"/>
                <w:sz w:val="24"/>
                <w:szCs w:val="28"/>
              </w:rPr>
            </w:pPr>
            <w:r>
              <w:rPr>
                <w:rFonts w:hint="eastAsia" w:ascii="仿宋" w:hAnsi="仿宋" w:eastAsia="仿宋" w:cs="仿宋"/>
                <w:color w:val="auto"/>
                <w:sz w:val="24"/>
                <w:szCs w:val="28"/>
                <w:lang w:val="en-US" w:eastAsia="zh-CN"/>
              </w:rPr>
              <w:t>4987801</w:t>
            </w:r>
            <w:r>
              <w:rPr>
                <w:rFonts w:hint="eastAsia" w:ascii="仿宋" w:hAnsi="仿宋" w:eastAsia="仿宋" w:cs="仿宋"/>
                <w:color w:val="auto"/>
                <w:sz w:val="24"/>
                <w:szCs w:val="28"/>
              </w:rPr>
              <w:t>.00</w:t>
            </w:r>
          </w:p>
        </w:tc>
      </w:tr>
      <w:tr w14:paraId="6A6A1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11" w:hRule="atLeast"/>
          <w:jc w:val="center"/>
        </w:trPr>
        <w:tc>
          <w:tcPr>
            <w:tcW w:w="5697" w:type="dxa"/>
            <w:tcBorders>
              <w:top w:val="single" w:color="000000" w:sz="6" w:space="0"/>
              <w:left w:val="single" w:color="000000" w:sz="6" w:space="0"/>
              <w:bottom w:val="single" w:color="000000" w:sz="6" w:space="0"/>
              <w:right w:val="single" w:color="000000" w:sz="6" w:space="0"/>
            </w:tcBorders>
            <w:vAlign w:val="center"/>
          </w:tcPr>
          <w:p w14:paraId="72941AA1">
            <w:pPr>
              <w:spacing w:line="300" w:lineRule="exact"/>
              <w:jc w:val="center"/>
              <w:rPr>
                <w:rFonts w:ascii="仿宋" w:hAnsi="仿宋" w:eastAsia="仿宋" w:cs="仿宋"/>
                <w:color w:val="auto"/>
                <w:sz w:val="24"/>
                <w:szCs w:val="28"/>
              </w:rPr>
            </w:pPr>
            <w:r>
              <w:rPr>
                <w:rFonts w:hint="eastAsia" w:ascii="仿宋" w:hAnsi="仿宋" w:eastAsia="仿宋" w:cs="仿宋"/>
                <w:color w:val="auto"/>
                <w:sz w:val="24"/>
                <w:szCs w:val="28"/>
              </w:rPr>
              <w:t>2、车辆（台、辆）</w:t>
            </w:r>
          </w:p>
        </w:tc>
        <w:tc>
          <w:tcPr>
            <w:tcW w:w="2190" w:type="dxa"/>
            <w:tcBorders>
              <w:top w:val="single" w:color="000000" w:sz="6" w:space="0"/>
              <w:left w:val="single" w:color="000000" w:sz="6" w:space="0"/>
              <w:bottom w:val="single" w:color="000000" w:sz="6" w:space="0"/>
              <w:right w:val="single" w:color="000000" w:sz="6" w:space="0"/>
            </w:tcBorders>
            <w:vAlign w:val="center"/>
          </w:tcPr>
          <w:p w14:paraId="0626A633">
            <w:pPr>
              <w:spacing w:line="300" w:lineRule="exact"/>
              <w:jc w:val="center"/>
              <w:rPr>
                <w:rFonts w:hint="eastAsia" w:ascii="仿宋" w:hAnsi="仿宋" w:eastAsia="仿宋" w:cs="仿宋"/>
                <w:color w:val="auto"/>
                <w:sz w:val="24"/>
                <w:szCs w:val="28"/>
                <w:lang w:val="en-US" w:eastAsia="zh-CN"/>
              </w:rPr>
            </w:pPr>
            <w:r>
              <w:rPr>
                <w:rFonts w:hint="eastAsia" w:ascii="仿宋" w:hAnsi="仿宋" w:eastAsia="仿宋" w:cs="仿宋"/>
                <w:color w:val="auto"/>
                <w:sz w:val="24"/>
                <w:szCs w:val="28"/>
                <w:lang w:val="en-US" w:eastAsia="zh-CN"/>
              </w:rPr>
              <w:t>2</w:t>
            </w:r>
          </w:p>
        </w:tc>
        <w:tc>
          <w:tcPr>
            <w:tcW w:w="2192" w:type="dxa"/>
            <w:tcBorders>
              <w:top w:val="single" w:color="000000" w:sz="6" w:space="0"/>
              <w:left w:val="single" w:color="000000" w:sz="6" w:space="0"/>
              <w:bottom w:val="single" w:color="000000" w:sz="6" w:space="0"/>
              <w:right w:val="single" w:color="000000" w:sz="6" w:space="0"/>
            </w:tcBorders>
            <w:vAlign w:val="center"/>
          </w:tcPr>
          <w:p w14:paraId="24701C02">
            <w:pPr>
              <w:spacing w:line="300" w:lineRule="exact"/>
              <w:jc w:val="center"/>
              <w:rPr>
                <w:rFonts w:ascii="仿宋" w:hAnsi="仿宋" w:eastAsia="仿宋" w:cs="仿宋"/>
                <w:color w:val="auto"/>
                <w:sz w:val="24"/>
                <w:szCs w:val="28"/>
              </w:rPr>
            </w:pPr>
            <w:r>
              <w:rPr>
                <w:rFonts w:hint="eastAsia" w:ascii="仿宋" w:hAnsi="仿宋" w:eastAsia="仿宋" w:cs="仿宋"/>
                <w:color w:val="auto"/>
                <w:sz w:val="24"/>
                <w:szCs w:val="28"/>
                <w:lang w:val="en-US" w:eastAsia="zh-CN"/>
              </w:rPr>
              <w:t>274500</w:t>
            </w:r>
            <w:r>
              <w:rPr>
                <w:rFonts w:hint="eastAsia" w:ascii="仿宋" w:hAnsi="仿宋" w:eastAsia="仿宋" w:cs="仿宋"/>
                <w:color w:val="auto"/>
                <w:sz w:val="24"/>
                <w:szCs w:val="28"/>
              </w:rPr>
              <w:t>.00</w:t>
            </w:r>
          </w:p>
        </w:tc>
      </w:tr>
      <w:tr w14:paraId="2D446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11" w:hRule="atLeast"/>
          <w:jc w:val="center"/>
        </w:trPr>
        <w:tc>
          <w:tcPr>
            <w:tcW w:w="5697" w:type="dxa"/>
            <w:tcBorders>
              <w:top w:val="single" w:color="000000" w:sz="6" w:space="0"/>
              <w:left w:val="single" w:color="000000" w:sz="6" w:space="0"/>
              <w:bottom w:val="single" w:color="000000" w:sz="6" w:space="0"/>
              <w:right w:val="single" w:color="000000" w:sz="6" w:space="0"/>
            </w:tcBorders>
            <w:vAlign w:val="center"/>
          </w:tcPr>
          <w:p w14:paraId="30713BC7">
            <w:pPr>
              <w:spacing w:line="300" w:lineRule="exact"/>
              <w:jc w:val="center"/>
              <w:rPr>
                <w:rFonts w:ascii="仿宋" w:hAnsi="仿宋" w:eastAsia="仿宋" w:cs="仿宋"/>
                <w:color w:val="auto"/>
                <w:sz w:val="24"/>
                <w:szCs w:val="28"/>
              </w:rPr>
            </w:pPr>
            <w:r>
              <w:rPr>
                <w:rFonts w:hint="eastAsia" w:ascii="仿宋" w:hAnsi="仿宋" w:eastAsia="仿宋" w:cs="仿宋"/>
                <w:color w:val="auto"/>
                <w:sz w:val="24"/>
                <w:szCs w:val="28"/>
              </w:rPr>
              <w:t>3、单价在20万元以上的设备</w:t>
            </w:r>
          </w:p>
        </w:tc>
        <w:tc>
          <w:tcPr>
            <w:tcW w:w="2190" w:type="dxa"/>
            <w:tcBorders>
              <w:top w:val="single" w:color="000000" w:sz="6" w:space="0"/>
              <w:left w:val="single" w:color="000000" w:sz="6" w:space="0"/>
              <w:bottom w:val="single" w:color="000000" w:sz="6" w:space="0"/>
              <w:right w:val="single" w:color="000000" w:sz="6" w:space="0"/>
            </w:tcBorders>
            <w:vAlign w:val="center"/>
          </w:tcPr>
          <w:p w14:paraId="770723B2">
            <w:pPr>
              <w:spacing w:line="300" w:lineRule="exact"/>
              <w:jc w:val="center"/>
              <w:rPr>
                <w:rFonts w:ascii="仿宋" w:hAnsi="仿宋" w:eastAsia="仿宋" w:cs="仿宋"/>
                <w:color w:val="auto"/>
                <w:sz w:val="24"/>
                <w:szCs w:val="28"/>
              </w:rPr>
            </w:pPr>
            <w:r>
              <w:rPr>
                <w:rFonts w:hint="eastAsia" w:ascii="仿宋" w:hAnsi="仿宋" w:eastAsia="仿宋" w:cs="仿宋"/>
                <w:color w:val="auto"/>
                <w:sz w:val="24"/>
                <w:szCs w:val="28"/>
              </w:rPr>
              <w:t>0</w:t>
            </w:r>
          </w:p>
        </w:tc>
        <w:tc>
          <w:tcPr>
            <w:tcW w:w="2192" w:type="dxa"/>
            <w:tcBorders>
              <w:top w:val="single" w:color="000000" w:sz="6" w:space="0"/>
              <w:left w:val="single" w:color="000000" w:sz="6" w:space="0"/>
              <w:bottom w:val="single" w:color="000000" w:sz="6" w:space="0"/>
              <w:right w:val="single" w:color="000000" w:sz="6" w:space="0"/>
            </w:tcBorders>
            <w:vAlign w:val="center"/>
          </w:tcPr>
          <w:p w14:paraId="3F399703">
            <w:pPr>
              <w:spacing w:line="300" w:lineRule="exact"/>
              <w:jc w:val="center"/>
              <w:rPr>
                <w:rFonts w:ascii="仿宋" w:hAnsi="仿宋" w:eastAsia="仿宋" w:cs="仿宋"/>
                <w:color w:val="auto"/>
                <w:sz w:val="24"/>
                <w:szCs w:val="28"/>
              </w:rPr>
            </w:pPr>
            <w:r>
              <w:rPr>
                <w:rFonts w:hint="eastAsia" w:ascii="仿宋" w:hAnsi="仿宋" w:eastAsia="仿宋" w:cs="仿宋"/>
                <w:color w:val="auto"/>
                <w:sz w:val="24"/>
                <w:szCs w:val="28"/>
              </w:rPr>
              <w:t>0</w:t>
            </w:r>
          </w:p>
        </w:tc>
      </w:tr>
      <w:tr w14:paraId="622B6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79" w:hRule="atLeast"/>
          <w:jc w:val="center"/>
        </w:trPr>
        <w:tc>
          <w:tcPr>
            <w:tcW w:w="5697" w:type="dxa"/>
            <w:tcBorders>
              <w:top w:val="single" w:color="000000" w:sz="6" w:space="0"/>
              <w:left w:val="single" w:color="000000" w:sz="6" w:space="0"/>
              <w:bottom w:val="single" w:color="000000" w:sz="6" w:space="0"/>
              <w:right w:val="single" w:color="000000" w:sz="6" w:space="0"/>
            </w:tcBorders>
            <w:vAlign w:val="center"/>
          </w:tcPr>
          <w:p w14:paraId="0070EE05">
            <w:pPr>
              <w:spacing w:line="300" w:lineRule="exact"/>
              <w:jc w:val="center"/>
              <w:rPr>
                <w:rFonts w:ascii="仿宋" w:hAnsi="仿宋" w:eastAsia="仿宋" w:cs="仿宋"/>
                <w:color w:val="auto"/>
                <w:sz w:val="24"/>
                <w:szCs w:val="28"/>
              </w:rPr>
            </w:pPr>
            <w:r>
              <w:rPr>
                <w:rFonts w:hint="eastAsia" w:ascii="仿宋" w:hAnsi="仿宋" w:eastAsia="仿宋" w:cs="仿宋"/>
                <w:color w:val="auto"/>
                <w:sz w:val="24"/>
                <w:szCs w:val="28"/>
              </w:rPr>
              <w:t>4、其他固定资产</w:t>
            </w:r>
          </w:p>
        </w:tc>
        <w:tc>
          <w:tcPr>
            <w:tcW w:w="2190" w:type="dxa"/>
            <w:tcBorders>
              <w:top w:val="single" w:color="000000" w:sz="6" w:space="0"/>
              <w:left w:val="single" w:color="000000" w:sz="6" w:space="0"/>
              <w:bottom w:val="single" w:color="000000" w:sz="6" w:space="0"/>
              <w:right w:val="single" w:color="000000" w:sz="6" w:space="0"/>
            </w:tcBorders>
            <w:vAlign w:val="center"/>
          </w:tcPr>
          <w:p w14:paraId="2E5ABB9F">
            <w:pPr>
              <w:spacing w:line="300" w:lineRule="exact"/>
              <w:jc w:val="center"/>
              <w:rPr>
                <w:rFonts w:hint="eastAsia" w:ascii="仿宋" w:hAnsi="仿宋" w:eastAsia="仿宋" w:cs="仿宋"/>
                <w:color w:val="auto"/>
                <w:sz w:val="24"/>
                <w:szCs w:val="28"/>
                <w:lang w:val="en-US" w:eastAsia="zh-CN"/>
              </w:rPr>
            </w:pPr>
            <w:r>
              <w:rPr>
                <w:rFonts w:hint="eastAsia" w:ascii="仿宋" w:hAnsi="仿宋" w:eastAsia="仿宋" w:cs="仿宋"/>
                <w:color w:val="auto"/>
                <w:sz w:val="24"/>
                <w:szCs w:val="28"/>
                <w:lang w:val="en-US" w:eastAsia="zh-CN"/>
              </w:rPr>
              <w:t>1840</w:t>
            </w:r>
          </w:p>
        </w:tc>
        <w:tc>
          <w:tcPr>
            <w:tcW w:w="2192" w:type="dxa"/>
            <w:tcBorders>
              <w:top w:val="single" w:color="000000" w:sz="6" w:space="0"/>
              <w:left w:val="single" w:color="000000" w:sz="6" w:space="0"/>
              <w:bottom w:val="single" w:color="000000" w:sz="6" w:space="0"/>
              <w:right w:val="single" w:color="000000" w:sz="6" w:space="0"/>
            </w:tcBorders>
            <w:vAlign w:val="center"/>
          </w:tcPr>
          <w:p w14:paraId="5F76C40D">
            <w:pPr>
              <w:spacing w:line="300" w:lineRule="exact"/>
              <w:jc w:val="center"/>
              <w:rPr>
                <w:rFonts w:hint="default" w:ascii="仿宋" w:hAnsi="仿宋" w:eastAsia="仿宋" w:cs="仿宋"/>
                <w:color w:val="auto"/>
                <w:sz w:val="24"/>
                <w:szCs w:val="28"/>
                <w:lang w:val="en-US" w:eastAsia="zh-CN"/>
              </w:rPr>
            </w:pPr>
            <w:r>
              <w:rPr>
                <w:rFonts w:hint="eastAsia" w:ascii="仿宋" w:hAnsi="仿宋" w:eastAsia="仿宋" w:cs="仿宋"/>
                <w:color w:val="auto"/>
                <w:sz w:val="24"/>
                <w:szCs w:val="28"/>
                <w:lang w:val="en-US" w:eastAsia="zh-CN"/>
              </w:rPr>
              <w:t>2562584.49</w:t>
            </w:r>
          </w:p>
        </w:tc>
      </w:tr>
      <w:tr w14:paraId="568A3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79" w:hRule="atLeast"/>
          <w:jc w:val="center"/>
        </w:trPr>
        <w:tc>
          <w:tcPr>
            <w:tcW w:w="5697" w:type="dxa"/>
            <w:tcBorders>
              <w:top w:val="single" w:color="000000" w:sz="6" w:space="0"/>
              <w:left w:val="single" w:color="000000" w:sz="6" w:space="0"/>
              <w:bottom w:val="single" w:color="000000" w:sz="6" w:space="0"/>
              <w:right w:val="single" w:color="000000" w:sz="6" w:space="0"/>
            </w:tcBorders>
            <w:vAlign w:val="center"/>
          </w:tcPr>
          <w:p w14:paraId="7F15FAED">
            <w:pPr>
              <w:spacing w:line="300" w:lineRule="exact"/>
              <w:jc w:val="center"/>
              <w:rPr>
                <w:rFonts w:hint="default" w:ascii="仿宋" w:hAnsi="仿宋" w:eastAsia="仿宋" w:cs="仿宋"/>
                <w:color w:val="auto"/>
                <w:sz w:val="24"/>
                <w:szCs w:val="28"/>
                <w:lang w:val="en-US" w:eastAsia="zh-CN"/>
              </w:rPr>
            </w:pPr>
            <w:r>
              <w:rPr>
                <w:rFonts w:hint="eastAsia" w:ascii="仿宋" w:hAnsi="仿宋" w:eastAsia="仿宋" w:cs="仿宋"/>
                <w:color w:val="auto"/>
                <w:sz w:val="24"/>
                <w:szCs w:val="28"/>
                <w:lang w:val="en-US" w:eastAsia="zh-CN"/>
              </w:rPr>
              <w:t>5.无形资产</w:t>
            </w:r>
          </w:p>
        </w:tc>
        <w:tc>
          <w:tcPr>
            <w:tcW w:w="2190" w:type="dxa"/>
            <w:tcBorders>
              <w:top w:val="single" w:color="000000" w:sz="6" w:space="0"/>
              <w:left w:val="single" w:color="000000" w:sz="6" w:space="0"/>
              <w:bottom w:val="single" w:color="000000" w:sz="6" w:space="0"/>
              <w:right w:val="single" w:color="000000" w:sz="6" w:space="0"/>
            </w:tcBorders>
            <w:vAlign w:val="center"/>
          </w:tcPr>
          <w:p w14:paraId="2D8453AE">
            <w:pPr>
              <w:spacing w:line="300" w:lineRule="exact"/>
              <w:jc w:val="center"/>
              <w:rPr>
                <w:rFonts w:hint="eastAsia" w:ascii="仿宋" w:hAnsi="仿宋" w:eastAsia="仿宋" w:cs="仿宋"/>
                <w:color w:val="auto"/>
                <w:sz w:val="24"/>
                <w:szCs w:val="28"/>
                <w:lang w:val="en-US" w:eastAsia="zh-CN"/>
              </w:rPr>
            </w:pPr>
            <w:r>
              <w:rPr>
                <w:rFonts w:hint="eastAsia" w:ascii="仿宋" w:hAnsi="仿宋" w:eastAsia="仿宋" w:cs="仿宋"/>
                <w:color w:val="auto"/>
                <w:sz w:val="24"/>
                <w:szCs w:val="28"/>
                <w:lang w:val="en-US" w:eastAsia="zh-CN"/>
              </w:rPr>
              <w:t>20</w:t>
            </w:r>
          </w:p>
        </w:tc>
        <w:tc>
          <w:tcPr>
            <w:tcW w:w="2192" w:type="dxa"/>
            <w:tcBorders>
              <w:top w:val="single" w:color="000000" w:sz="6" w:space="0"/>
              <w:left w:val="single" w:color="000000" w:sz="6" w:space="0"/>
              <w:bottom w:val="single" w:color="000000" w:sz="6" w:space="0"/>
              <w:right w:val="single" w:color="000000" w:sz="6" w:space="0"/>
            </w:tcBorders>
            <w:vAlign w:val="center"/>
          </w:tcPr>
          <w:p w14:paraId="6B58467C">
            <w:pPr>
              <w:spacing w:line="300" w:lineRule="exact"/>
              <w:jc w:val="center"/>
              <w:rPr>
                <w:rFonts w:hint="eastAsia" w:ascii="仿宋" w:hAnsi="仿宋" w:eastAsia="仿宋" w:cs="仿宋"/>
                <w:color w:val="auto"/>
                <w:sz w:val="24"/>
                <w:szCs w:val="28"/>
                <w:lang w:val="en-US" w:eastAsia="zh-CN"/>
              </w:rPr>
            </w:pPr>
            <w:r>
              <w:rPr>
                <w:rFonts w:hint="eastAsia" w:ascii="仿宋" w:hAnsi="仿宋" w:eastAsia="仿宋" w:cs="仿宋"/>
                <w:color w:val="auto"/>
                <w:sz w:val="24"/>
                <w:szCs w:val="28"/>
                <w:lang w:val="en-US" w:eastAsia="zh-CN"/>
              </w:rPr>
              <w:t>8500</w:t>
            </w:r>
          </w:p>
        </w:tc>
      </w:tr>
    </w:tbl>
    <w:p w14:paraId="365FF0CC">
      <w:pPr>
        <w:adjustRightInd w:val="0"/>
        <w:snapToGrid w:val="0"/>
        <w:spacing w:line="560" w:lineRule="exact"/>
        <w:rPr>
          <w:rFonts w:hint="eastAsia" w:ascii="仿宋" w:hAnsi="仿宋" w:eastAsia="仿宋"/>
          <w:sz w:val="32"/>
          <w:szCs w:val="32"/>
        </w:rPr>
      </w:pPr>
    </w:p>
    <w:p w14:paraId="21AFE43B">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14:paraId="746BB675">
      <w:pPr>
        <w:ind w:firstLine="640"/>
        <w:rPr>
          <w:rFonts w:hint="eastAsia"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按照预算管理有关规定，目前我县部门预算的编制实行综合预算管理，即全部收入和支出都反映的预算中。</w:t>
      </w:r>
      <w:r>
        <w:rPr>
          <w:rFonts w:hint="eastAsia" w:ascii="仿宋" w:hAnsi="仿宋" w:eastAsia="仿宋" w:cs="仿宋"/>
          <w:color w:val="auto"/>
          <w:sz w:val="32"/>
          <w:szCs w:val="32"/>
        </w:rPr>
        <w:t>井陉县微水镇人民政府机关及所属事业单位的收支包含在部门预算中。</w:t>
      </w:r>
    </w:p>
    <w:p w14:paraId="412C7954">
      <w:pPr>
        <w:ind w:firstLine="640"/>
        <w:rPr>
          <w:rFonts w:ascii="仿宋" w:hAnsi="仿宋" w:eastAsia="仿宋" w:cs="仿宋"/>
          <w:color w:val="auto"/>
          <w:sz w:val="32"/>
          <w:szCs w:val="32"/>
        </w:rPr>
      </w:pPr>
      <w:r>
        <w:rPr>
          <w:rFonts w:ascii="Times New Roman" w:hAnsi="Times New Roman" w:eastAsia="仿宋" w:cs="Times New Roman"/>
          <w:color w:val="auto"/>
          <w:sz w:val="32"/>
          <w:szCs w:val="32"/>
        </w:rPr>
        <w:t>1</w:t>
      </w:r>
      <w:r>
        <w:rPr>
          <w:rFonts w:hint="eastAsia" w:ascii="Times New Roman" w:hAnsi="Times New Roman" w:eastAsia="仿宋" w:cs="Times New Roman"/>
          <w:color w:val="auto"/>
          <w:sz w:val="32"/>
          <w:szCs w:val="32"/>
        </w:rPr>
        <w:t>、收入说明</w:t>
      </w:r>
    </w:p>
    <w:p w14:paraId="47CE9530">
      <w:pPr>
        <w:ind w:firstLine="640"/>
        <w:rPr>
          <w:rFonts w:hint="eastAsia" w:ascii="仿宋" w:hAnsi="仿宋" w:eastAsia="仿宋" w:cs="仿宋"/>
          <w:color w:val="auto"/>
          <w:sz w:val="32"/>
          <w:szCs w:val="32"/>
        </w:rPr>
      </w:pPr>
      <w:r>
        <w:rPr>
          <w:rFonts w:hint="eastAsia" w:ascii="仿宋" w:hAnsi="仿宋" w:eastAsia="仿宋" w:cs="仿宋"/>
          <w:color w:val="auto"/>
          <w:sz w:val="32"/>
          <w:szCs w:val="32"/>
        </w:rPr>
        <w:t>反映本部门当年全部收入。202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年预算收入</w:t>
      </w:r>
      <w:r>
        <w:rPr>
          <w:rFonts w:hint="eastAsia" w:ascii="仿宋" w:hAnsi="仿宋" w:eastAsia="仿宋" w:cs="仿宋"/>
          <w:color w:val="auto"/>
          <w:sz w:val="32"/>
          <w:szCs w:val="32"/>
          <w:lang w:val="en-US" w:eastAsia="zh-CN"/>
        </w:rPr>
        <w:t>4342.2</w:t>
      </w:r>
      <w:r>
        <w:rPr>
          <w:rFonts w:hint="eastAsia" w:ascii="仿宋" w:hAnsi="仿宋" w:eastAsia="仿宋" w:cs="仿宋"/>
          <w:color w:val="auto"/>
          <w:sz w:val="32"/>
          <w:szCs w:val="32"/>
        </w:rPr>
        <w:t>万元，其中：一般公共预算收入</w:t>
      </w:r>
      <w:r>
        <w:rPr>
          <w:rFonts w:hint="eastAsia" w:ascii="仿宋" w:hAnsi="仿宋" w:eastAsia="仿宋" w:cs="仿宋"/>
          <w:color w:val="auto"/>
          <w:sz w:val="32"/>
          <w:szCs w:val="32"/>
          <w:lang w:val="en-US" w:eastAsia="zh-CN"/>
        </w:rPr>
        <w:t>3244.98</w:t>
      </w:r>
      <w:r>
        <w:rPr>
          <w:rFonts w:hint="eastAsia" w:ascii="仿宋" w:hAnsi="仿宋" w:eastAsia="仿宋" w:cs="仿宋"/>
          <w:color w:val="auto"/>
          <w:sz w:val="32"/>
          <w:szCs w:val="32"/>
        </w:rPr>
        <w:t>万元，基金预算收入</w:t>
      </w:r>
      <w:r>
        <w:rPr>
          <w:rFonts w:hint="eastAsia" w:ascii="仿宋" w:hAnsi="仿宋" w:eastAsia="仿宋" w:cs="仿宋"/>
          <w:color w:val="auto"/>
          <w:sz w:val="32"/>
          <w:szCs w:val="32"/>
          <w:lang w:val="en-US" w:eastAsia="zh-CN"/>
        </w:rPr>
        <w:t>1097.22</w:t>
      </w:r>
      <w:r>
        <w:rPr>
          <w:rFonts w:hint="eastAsia" w:ascii="仿宋" w:hAnsi="仿宋" w:eastAsia="仿宋" w:cs="仿宋"/>
          <w:color w:val="auto"/>
          <w:sz w:val="32"/>
          <w:szCs w:val="32"/>
        </w:rPr>
        <w:t>万元，财政专户核拨收入0万元，其他来源收入0万元。</w:t>
      </w:r>
    </w:p>
    <w:p w14:paraId="3A08FDED">
      <w:pPr>
        <w:ind w:firstLine="640"/>
        <w:rPr>
          <w:rFonts w:hint="eastAsia" w:ascii="Times New Roman" w:hAnsi="Times New Roman" w:eastAsia="仿宋" w:cs="Times New Roman"/>
          <w:color w:val="auto"/>
          <w:sz w:val="32"/>
          <w:szCs w:val="32"/>
        </w:rPr>
      </w:pPr>
      <w:r>
        <w:rPr>
          <w:rFonts w:ascii="Times New Roman" w:hAnsi="Times New Roman" w:eastAsia="仿宋" w:cs="Times New Roman"/>
          <w:color w:val="auto"/>
          <w:sz w:val="32"/>
          <w:szCs w:val="32"/>
        </w:rPr>
        <w:t>2</w:t>
      </w:r>
      <w:r>
        <w:rPr>
          <w:rFonts w:hint="eastAsia" w:ascii="Times New Roman" w:hAnsi="Times New Roman" w:eastAsia="仿宋" w:cs="Times New Roman"/>
          <w:color w:val="auto"/>
          <w:sz w:val="32"/>
          <w:szCs w:val="32"/>
        </w:rPr>
        <w:t>、支出说明</w:t>
      </w:r>
    </w:p>
    <w:p w14:paraId="77FA5195">
      <w:pPr>
        <w:ind w:firstLine="640" w:firstLineChars="200"/>
        <w:rPr>
          <w:rFonts w:ascii="仿宋_GB2312" w:hAnsi="仿宋" w:eastAsia="仿宋_GB2312"/>
          <w:color w:val="auto"/>
          <w:sz w:val="32"/>
          <w:szCs w:val="32"/>
        </w:rPr>
      </w:pPr>
      <w:r>
        <w:rPr>
          <w:rFonts w:hint="eastAsia" w:ascii="Times New Roman" w:hAnsi="Times New Roman" w:eastAsia="仿宋" w:cs="Times New Roman"/>
          <w:color w:val="auto"/>
          <w:sz w:val="32"/>
          <w:szCs w:val="32"/>
        </w:rPr>
        <w:t>收支预算总表支出栏、基本支出表、项目支出表按经济分类和支出功能分类科目编制，反映</w:t>
      </w:r>
      <w:r>
        <w:rPr>
          <w:rFonts w:hint="eastAsia" w:ascii="仿宋" w:hAnsi="仿宋" w:eastAsia="仿宋" w:cs="仿宋"/>
          <w:color w:val="auto"/>
          <w:sz w:val="32"/>
          <w:szCs w:val="32"/>
        </w:rPr>
        <w:t>井陉县微水镇人民政府</w:t>
      </w:r>
      <w:r>
        <w:rPr>
          <w:rFonts w:hint="eastAsia" w:ascii="Times New Roman" w:hAnsi="Times New Roman" w:eastAsia="仿宋" w:cs="Times New Roman"/>
          <w:color w:val="auto"/>
          <w:sz w:val="32"/>
          <w:szCs w:val="32"/>
        </w:rPr>
        <w:t>年度部门预算中支出预算的总体情况。</w:t>
      </w:r>
      <w:r>
        <w:rPr>
          <w:rFonts w:hint="eastAsia" w:ascii="仿宋_GB2312" w:hAnsi="仿宋" w:eastAsia="仿宋_GB2312"/>
          <w:color w:val="auto"/>
          <w:sz w:val="32"/>
          <w:szCs w:val="32"/>
        </w:rPr>
        <w:t>202</w:t>
      </w:r>
      <w:r>
        <w:rPr>
          <w:rFonts w:hint="eastAsia" w:ascii="仿宋_GB2312" w:hAnsi="仿宋" w:eastAsia="仿宋_GB2312"/>
          <w:color w:val="auto"/>
          <w:sz w:val="32"/>
          <w:szCs w:val="32"/>
          <w:lang w:val="en-US" w:eastAsia="zh-CN"/>
        </w:rPr>
        <w:t>5</w:t>
      </w:r>
      <w:r>
        <w:rPr>
          <w:rFonts w:hint="eastAsia" w:ascii="仿宋_GB2312" w:hAnsi="仿宋" w:eastAsia="仿宋_GB2312"/>
          <w:color w:val="auto"/>
          <w:sz w:val="32"/>
          <w:szCs w:val="32"/>
        </w:rPr>
        <w:t>年部门支出预算为</w:t>
      </w:r>
      <w:r>
        <w:rPr>
          <w:rFonts w:hint="eastAsia" w:ascii="仿宋_GB2312" w:hAnsi="仿宋" w:eastAsia="仿宋_GB2312"/>
          <w:color w:val="auto"/>
          <w:sz w:val="32"/>
          <w:szCs w:val="32"/>
          <w:lang w:val="en-US" w:eastAsia="zh-CN"/>
        </w:rPr>
        <w:t>4342.2</w:t>
      </w:r>
      <w:r>
        <w:rPr>
          <w:rFonts w:hint="eastAsia" w:ascii="仿宋_GB2312" w:hAnsi="仿宋" w:eastAsia="仿宋_GB2312"/>
          <w:color w:val="auto"/>
          <w:sz w:val="32"/>
          <w:szCs w:val="32"/>
        </w:rPr>
        <w:t>万元，其中基本支出</w:t>
      </w:r>
      <w:r>
        <w:rPr>
          <w:rFonts w:hint="eastAsia" w:ascii="仿宋_GB2312" w:hAnsi="仿宋" w:eastAsia="仿宋_GB2312"/>
          <w:color w:val="auto"/>
          <w:sz w:val="32"/>
          <w:szCs w:val="32"/>
          <w:lang w:val="en-US" w:eastAsia="zh-CN"/>
        </w:rPr>
        <w:t>1298.18</w:t>
      </w:r>
      <w:r>
        <w:rPr>
          <w:rFonts w:hint="eastAsia" w:ascii="仿宋_GB2312" w:hAnsi="仿宋" w:eastAsia="仿宋_GB2312"/>
          <w:color w:val="auto"/>
          <w:sz w:val="32"/>
          <w:szCs w:val="32"/>
        </w:rPr>
        <w:t>万元，包括人员经费</w:t>
      </w:r>
      <w:r>
        <w:rPr>
          <w:rFonts w:hint="eastAsia" w:ascii="仿宋_GB2312" w:hAnsi="仿宋" w:eastAsia="仿宋_GB2312"/>
          <w:color w:val="auto"/>
          <w:sz w:val="32"/>
          <w:szCs w:val="32"/>
          <w:lang w:val="en-US" w:eastAsia="zh-CN"/>
        </w:rPr>
        <w:t>1218.95</w:t>
      </w:r>
      <w:r>
        <w:rPr>
          <w:rFonts w:hint="eastAsia" w:ascii="仿宋_GB2312" w:hAnsi="仿宋" w:eastAsia="仿宋_GB2312"/>
          <w:color w:val="auto"/>
          <w:sz w:val="32"/>
          <w:szCs w:val="32"/>
        </w:rPr>
        <w:t>万元和日常公用经费</w:t>
      </w:r>
      <w:r>
        <w:rPr>
          <w:rFonts w:hint="eastAsia" w:ascii="仿宋_GB2312" w:hAnsi="仿宋" w:eastAsia="仿宋_GB2312"/>
          <w:color w:val="auto"/>
          <w:sz w:val="32"/>
          <w:szCs w:val="32"/>
          <w:lang w:val="en-US" w:eastAsia="zh-CN"/>
        </w:rPr>
        <w:t>79.23</w:t>
      </w:r>
      <w:r>
        <w:rPr>
          <w:rFonts w:hint="eastAsia" w:ascii="仿宋_GB2312" w:hAnsi="仿宋" w:eastAsia="仿宋_GB2312"/>
          <w:color w:val="auto"/>
          <w:sz w:val="32"/>
          <w:szCs w:val="32"/>
        </w:rPr>
        <w:t>万元；项目支出</w:t>
      </w:r>
      <w:r>
        <w:rPr>
          <w:rFonts w:hint="eastAsia" w:ascii="仿宋_GB2312" w:hAnsi="仿宋" w:eastAsia="仿宋_GB2312"/>
          <w:color w:val="auto"/>
          <w:sz w:val="32"/>
          <w:szCs w:val="32"/>
          <w:lang w:val="en-US" w:eastAsia="zh-CN"/>
        </w:rPr>
        <w:t>3044.02</w:t>
      </w:r>
      <w:r>
        <w:rPr>
          <w:rFonts w:hint="eastAsia" w:ascii="仿宋_GB2312" w:hAnsi="仿宋" w:eastAsia="仿宋_GB2312"/>
          <w:color w:val="auto"/>
          <w:sz w:val="32"/>
          <w:szCs w:val="32"/>
        </w:rPr>
        <w:t>万元，全部为本级支出。</w:t>
      </w:r>
    </w:p>
    <w:p w14:paraId="347085A2">
      <w:pPr>
        <w:ind w:firstLine="640" w:firstLineChars="200"/>
        <w:rPr>
          <w:rFonts w:hint="eastAsia" w:ascii="仿宋_GB2312" w:hAnsi="仿宋" w:eastAsia="仿宋_GB2312"/>
          <w:color w:val="auto"/>
          <w:sz w:val="32"/>
          <w:szCs w:val="32"/>
        </w:rPr>
      </w:pPr>
      <w:r>
        <w:rPr>
          <w:rFonts w:hint="eastAsia" w:ascii="仿宋_GB2312" w:hAnsi="仿宋" w:eastAsia="仿宋_GB2312"/>
          <w:color w:val="auto"/>
          <w:sz w:val="32"/>
          <w:szCs w:val="32"/>
        </w:rPr>
        <w:t>3、比上年增减情况</w:t>
      </w:r>
    </w:p>
    <w:p w14:paraId="3DD0C0EF">
      <w:pPr>
        <w:ind w:firstLine="640" w:firstLineChars="200"/>
        <w:rPr>
          <w:rFonts w:hint="eastAsia" w:ascii="仿宋_GB2312" w:hAnsi="仿宋" w:eastAsia="仿宋_GB2312"/>
          <w:color w:val="auto"/>
          <w:sz w:val="32"/>
          <w:szCs w:val="32"/>
          <w:lang w:val="en-US" w:eastAsia="zh-CN"/>
        </w:rPr>
      </w:pPr>
      <w:r>
        <w:rPr>
          <w:rFonts w:hint="eastAsia" w:ascii="仿宋_GB2312" w:hAnsi="仿宋" w:eastAsia="仿宋_GB2312"/>
          <w:color w:val="auto"/>
          <w:sz w:val="32"/>
          <w:szCs w:val="32"/>
        </w:rPr>
        <w:t>202</w:t>
      </w:r>
      <w:r>
        <w:rPr>
          <w:rFonts w:hint="eastAsia" w:ascii="仿宋_GB2312" w:hAnsi="仿宋" w:eastAsia="仿宋_GB2312"/>
          <w:color w:val="auto"/>
          <w:sz w:val="32"/>
          <w:szCs w:val="32"/>
          <w:lang w:val="en-US" w:eastAsia="zh-CN"/>
        </w:rPr>
        <w:t>5</w:t>
      </w:r>
      <w:r>
        <w:rPr>
          <w:rFonts w:hint="eastAsia" w:ascii="仿宋_GB2312" w:hAnsi="仿宋" w:eastAsia="仿宋_GB2312"/>
          <w:color w:val="auto"/>
          <w:sz w:val="32"/>
          <w:szCs w:val="32"/>
        </w:rPr>
        <w:t>年度我部门年初安排预算</w:t>
      </w:r>
      <w:r>
        <w:rPr>
          <w:rFonts w:hint="eastAsia" w:ascii="仿宋_GB2312" w:hAnsi="仿宋" w:eastAsia="仿宋_GB2312"/>
          <w:color w:val="auto"/>
          <w:sz w:val="32"/>
          <w:szCs w:val="32"/>
          <w:lang w:val="en-US" w:eastAsia="zh-CN"/>
        </w:rPr>
        <w:t>4342.2</w:t>
      </w:r>
      <w:r>
        <w:rPr>
          <w:rFonts w:hint="eastAsia" w:ascii="仿宋_GB2312" w:hAnsi="仿宋" w:eastAsia="仿宋_GB2312"/>
          <w:color w:val="auto"/>
          <w:sz w:val="32"/>
          <w:szCs w:val="32"/>
        </w:rPr>
        <w:t>万元，决算收入</w:t>
      </w:r>
      <w:r>
        <w:rPr>
          <w:rFonts w:hint="eastAsia" w:ascii="仿宋_GB2312" w:hAnsi="仿宋" w:eastAsia="仿宋_GB2312"/>
          <w:color w:val="auto"/>
          <w:sz w:val="32"/>
          <w:szCs w:val="32"/>
          <w:lang w:val="en-US" w:eastAsia="zh-CN"/>
        </w:rPr>
        <w:t>4342.2</w:t>
      </w:r>
      <w:r>
        <w:rPr>
          <w:rFonts w:hint="eastAsia" w:ascii="仿宋_GB2312" w:hAnsi="仿宋" w:eastAsia="仿宋_GB2312"/>
          <w:color w:val="auto"/>
          <w:sz w:val="32"/>
          <w:szCs w:val="32"/>
        </w:rPr>
        <w:t xml:space="preserve"> 万元，</w:t>
      </w:r>
      <w:r>
        <w:rPr>
          <w:rFonts w:ascii="仿宋_GB2312" w:hAnsi="仿宋" w:eastAsia="仿宋_GB2312"/>
          <w:color w:val="auto"/>
          <w:sz w:val="32"/>
          <w:szCs w:val="32"/>
        </w:rPr>
        <w:t>与上年</w:t>
      </w:r>
      <w:r>
        <w:rPr>
          <w:rFonts w:hint="eastAsia" w:ascii="仿宋_GB2312" w:hAnsi="仿宋" w:eastAsia="仿宋_GB2312"/>
          <w:color w:val="auto"/>
          <w:sz w:val="32"/>
          <w:szCs w:val="32"/>
          <w:lang w:val="en-US" w:eastAsia="zh-CN"/>
        </w:rPr>
        <w:t>2880.59</w:t>
      </w:r>
      <w:r>
        <w:rPr>
          <w:rFonts w:hint="eastAsia" w:ascii="仿宋_GB2312" w:hAnsi="仿宋" w:eastAsia="仿宋_GB2312"/>
          <w:color w:val="auto"/>
          <w:sz w:val="32"/>
          <w:szCs w:val="32"/>
        </w:rPr>
        <w:t>万元相比</w:t>
      </w:r>
      <w:r>
        <w:rPr>
          <w:rFonts w:hint="eastAsia" w:ascii="仿宋_GB2312" w:hAnsi="仿宋" w:eastAsia="仿宋_GB2312"/>
          <w:color w:val="auto"/>
          <w:sz w:val="32"/>
          <w:szCs w:val="32"/>
          <w:lang w:val="en-US" w:eastAsia="zh-CN"/>
        </w:rPr>
        <w:t>增加1461.61</w:t>
      </w:r>
      <w:r>
        <w:rPr>
          <w:rFonts w:hint="eastAsia" w:ascii="仿宋_GB2312" w:hAnsi="仿宋" w:eastAsia="仿宋_GB2312"/>
          <w:color w:val="auto"/>
          <w:sz w:val="32"/>
          <w:szCs w:val="32"/>
        </w:rPr>
        <w:t>万元</w:t>
      </w:r>
      <w:r>
        <w:rPr>
          <w:rFonts w:ascii="仿宋_GB2312" w:hAnsi="仿宋" w:eastAsia="仿宋_GB2312"/>
          <w:color w:val="auto"/>
          <w:sz w:val="32"/>
          <w:szCs w:val="32"/>
        </w:rPr>
        <w:t>，</w:t>
      </w:r>
      <w:r>
        <w:rPr>
          <w:rFonts w:hint="eastAsia" w:ascii="仿宋_GB2312" w:hAnsi="仿宋" w:eastAsia="仿宋_GB2312"/>
          <w:color w:val="auto"/>
          <w:sz w:val="32"/>
          <w:szCs w:val="32"/>
        </w:rPr>
        <w:t>主要是因为今年新增债券（转贷）收入项目</w:t>
      </w:r>
      <w:r>
        <w:rPr>
          <w:rFonts w:hint="eastAsia" w:ascii="仿宋_GB2312" w:hAnsi="仿宋" w:eastAsia="仿宋_GB2312"/>
          <w:color w:val="auto"/>
          <w:sz w:val="32"/>
          <w:szCs w:val="32"/>
          <w:lang w:val="en-US" w:eastAsia="zh-CN"/>
        </w:rPr>
        <w:t>6个。</w:t>
      </w:r>
      <w:r>
        <w:rPr>
          <w:rFonts w:hint="eastAsia" w:ascii="仿宋_GB2312" w:hAnsi="仿宋" w:eastAsia="仿宋_GB2312"/>
          <w:color w:val="auto"/>
          <w:sz w:val="32"/>
          <w:szCs w:val="32"/>
        </w:rPr>
        <w:t>202</w:t>
      </w:r>
      <w:r>
        <w:rPr>
          <w:rFonts w:hint="eastAsia" w:ascii="仿宋_GB2312" w:hAnsi="仿宋" w:eastAsia="仿宋_GB2312"/>
          <w:color w:val="auto"/>
          <w:sz w:val="32"/>
          <w:szCs w:val="32"/>
          <w:lang w:val="en-US" w:eastAsia="zh-CN"/>
        </w:rPr>
        <w:t>5</w:t>
      </w:r>
      <w:r>
        <w:rPr>
          <w:rFonts w:hint="eastAsia" w:ascii="仿宋_GB2312" w:hAnsi="仿宋" w:eastAsia="仿宋_GB2312"/>
          <w:color w:val="auto"/>
          <w:sz w:val="32"/>
          <w:szCs w:val="32"/>
        </w:rPr>
        <w:t>年度我部门决算支出</w:t>
      </w:r>
      <w:r>
        <w:rPr>
          <w:rFonts w:hint="eastAsia" w:ascii="仿宋_GB2312" w:hAnsi="仿宋" w:eastAsia="仿宋_GB2312"/>
          <w:color w:val="auto"/>
          <w:sz w:val="32"/>
          <w:szCs w:val="32"/>
          <w:lang w:val="en-US" w:eastAsia="zh-CN"/>
        </w:rPr>
        <w:t>4342.2</w:t>
      </w:r>
      <w:r>
        <w:rPr>
          <w:rFonts w:hint="eastAsia" w:ascii="仿宋_GB2312" w:hAnsi="仿宋" w:eastAsia="仿宋_GB2312"/>
          <w:color w:val="auto"/>
          <w:sz w:val="32"/>
          <w:szCs w:val="32"/>
        </w:rPr>
        <w:t>万元，与上年度</w:t>
      </w:r>
      <w:r>
        <w:rPr>
          <w:rFonts w:hint="eastAsia" w:ascii="仿宋_GB2312" w:hAnsi="仿宋" w:eastAsia="仿宋_GB2312"/>
          <w:color w:val="auto"/>
          <w:sz w:val="32"/>
          <w:szCs w:val="32"/>
          <w:lang w:val="en-US" w:eastAsia="zh-CN"/>
        </w:rPr>
        <w:t>3353.13</w:t>
      </w:r>
      <w:r>
        <w:rPr>
          <w:rFonts w:hint="eastAsia" w:ascii="仿宋_GB2312" w:hAnsi="仿宋" w:eastAsia="仿宋_GB2312"/>
          <w:color w:val="auto"/>
          <w:sz w:val="32"/>
          <w:szCs w:val="32"/>
        </w:rPr>
        <w:t>万元相比</w:t>
      </w:r>
      <w:r>
        <w:rPr>
          <w:rFonts w:hint="eastAsia" w:ascii="仿宋_GB2312" w:hAnsi="仿宋" w:eastAsia="仿宋_GB2312"/>
          <w:color w:val="auto"/>
          <w:sz w:val="32"/>
          <w:szCs w:val="32"/>
          <w:lang w:val="en-US" w:eastAsia="zh-CN"/>
        </w:rPr>
        <w:t>增加1461.61</w:t>
      </w:r>
      <w:r>
        <w:rPr>
          <w:rFonts w:hint="eastAsia" w:ascii="仿宋_GB2312" w:hAnsi="仿宋" w:eastAsia="仿宋_GB2312"/>
          <w:color w:val="auto"/>
          <w:sz w:val="32"/>
          <w:szCs w:val="32"/>
        </w:rPr>
        <w:t>万元万元。</w:t>
      </w:r>
    </w:p>
    <w:p w14:paraId="6F4E6AFA">
      <w:pPr>
        <w:ind w:firstLine="640" w:firstLineChars="200"/>
        <w:rPr>
          <w:rFonts w:ascii="Times New Roman" w:hAnsi="Times New Roman" w:eastAsia="仿宋" w:cs="Times New Roman"/>
          <w:color w:val="FF0000"/>
          <w:sz w:val="32"/>
          <w:szCs w:val="32"/>
        </w:rPr>
      </w:pPr>
      <w:r>
        <w:rPr>
          <w:rFonts w:ascii="Times New Roman" w:hAnsi="Times New Roman" w:eastAsia="仿宋" w:cs="Times New Roman"/>
          <w:color w:val="auto"/>
          <w:sz w:val="32"/>
          <w:szCs w:val="32"/>
        </w:rPr>
        <w:t>4</w:t>
      </w:r>
      <w:r>
        <w:rPr>
          <w:rFonts w:hint="eastAsia" w:ascii="Times New Roman" w:hAnsi="Times New Roman" w:eastAsia="仿宋" w:cs="Times New Roman"/>
          <w:color w:val="auto"/>
          <w:sz w:val="32"/>
          <w:szCs w:val="32"/>
        </w:rPr>
        <w:t>、机关运行经费安排情况</w:t>
      </w:r>
    </w:p>
    <w:p w14:paraId="12BB9D2D">
      <w:pPr>
        <w:autoSpaceDE w:val="0"/>
        <w:autoSpaceDN w:val="0"/>
        <w:adjustRightInd w:val="0"/>
        <w:ind w:left="198" w:firstLine="640" w:firstLineChars="200"/>
        <w:jc w:val="left"/>
        <w:rPr>
          <w:rFonts w:ascii="Times New Roman" w:hAnsi="Times New Roman" w:eastAsia="仿宋" w:cs="Times New Roman"/>
          <w:color w:val="auto"/>
          <w:sz w:val="32"/>
          <w:szCs w:val="32"/>
        </w:rPr>
      </w:pPr>
      <w:r>
        <w:rPr>
          <w:rFonts w:hint="eastAsia" w:ascii="仿宋_GB2312" w:hAnsi="仿宋" w:eastAsia="仿宋_GB2312"/>
          <w:color w:val="auto"/>
          <w:sz w:val="32"/>
          <w:szCs w:val="32"/>
        </w:rPr>
        <w:t>202</w:t>
      </w:r>
      <w:r>
        <w:rPr>
          <w:rFonts w:hint="eastAsia" w:ascii="仿宋_GB2312" w:hAnsi="仿宋" w:eastAsia="仿宋_GB2312"/>
          <w:color w:val="auto"/>
          <w:sz w:val="32"/>
          <w:szCs w:val="32"/>
          <w:lang w:val="en-US" w:eastAsia="zh-CN"/>
        </w:rPr>
        <w:t>5</w:t>
      </w:r>
      <w:r>
        <w:rPr>
          <w:rFonts w:hint="eastAsia" w:ascii="Times New Roman" w:hAnsi="Times New Roman" w:eastAsia="仿宋" w:cs="Times New Roman"/>
          <w:color w:val="auto"/>
          <w:sz w:val="32"/>
          <w:szCs w:val="32"/>
        </w:rPr>
        <w:t>年，我镇机关运行经费共计安排</w:t>
      </w:r>
      <w:r>
        <w:rPr>
          <w:rFonts w:hint="eastAsia" w:ascii="仿宋_GB2312" w:hAnsi="仿宋" w:eastAsia="仿宋_GB2312"/>
          <w:color w:val="auto"/>
          <w:sz w:val="32"/>
          <w:szCs w:val="32"/>
          <w:lang w:val="en-US" w:eastAsia="zh-CN"/>
        </w:rPr>
        <w:t>79.23</w:t>
      </w:r>
      <w:r>
        <w:rPr>
          <w:rFonts w:hint="eastAsia" w:ascii="Times New Roman" w:hAnsi="Times New Roman" w:eastAsia="仿宋" w:cs="Times New Roman"/>
          <w:color w:val="auto"/>
          <w:sz w:val="32"/>
          <w:szCs w:val="32"/>
        </w:rPr>
        <w:t>万元，主要用于保证机关正常运转的办公及印刷费、邮电费、差旅费、专用材料及一般设备购置费、办公用房水电费、办公用房取暖费、日常维修费</w:t>
      </w:r>
      <w:r>
        <w:rPr>
          <w:rFonts w:hint="eastAsia" w:ascii="Times New Roman" w:hAnsi="Times New Roman" w:eastAsia="仿宋" w:cs="Times New Roman"/>
          <w:color w:val="auto"/>
          <w:sz w:val="32"/>
          <w:szCs w:val="32"/>
          <w:lang w:eastAsia="zh-CN"/>
        </w:rPr>
        <w:t>、</w:t>
      </w:r>
      <w:r>
        <w:rPr>
          <w:rFonts w:hint="eastAsia" w:ascii="Times New Roman" w:hAnsi="Times New Roman" w:eastAsia="仿宋" w:cs="Times New Roman"/>
          <w:color w:val="auto"/>
          <w:sz w:val="32"/>
          <w:szCs w:val="32"/>
          <w:lang w:val="en-US" w:eastAsia="zh-CN"/>
        </w:rPr>
        <w:t>工会经费</w:t>
      </w:r>
      <w:r>
        <w:rPr>
          <w:rFonts w:hint="eastAsia" w:ascii="Times New Roman" w:hAnsi="Times New Roman" w:eastAsia="仿宋" w:cs="Times New Roman"/>
          <w:color w:val="auto"/>
          <w:sz w:val="32"/>
          <w:szCs w:val="32"/>
        </w:rPr>
        <w:t>等支出。</w:t>
      </w:r>
    </w:p>
    <w:p w14:paraId="14FA3721">
      <w:pPr>
        <w:numPr>
          <w:ilvl w:val="0"/>
          <w:numId w:val="1"/>
        </w:numPr>
        <w:autoSpaceDE w:val="0"/>
        <w:autoSpaceDN w:val="0"/>
        <w:adjustRightInd w:val="0"/>
        <w:ind w:firstLine="640" w:firstLineChars="200"/>
        <w:jc w:val="left"/>
        <w:rPr>
          <w:rFonts w:hint="eastAsia"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财政拨款“三公”经费预算情况及增减变化原因</w:t>
      </w:r>
    </w:p>
    <w:p w14:paraId="1467843D">
      <w:pPr>
        <w:numPr>
          <w:ilvl w:val="0"/>
          <w:numId w:val="0"/>
        </w:numPr>
        <w:autoSpaceDE w:val="0"/>
        <w:autoSpaceDN w:val="0"/>
        <w:adjustRightInd w:val="0"/>
        <w:ind w:firstLine="640" w:firstLineChars="200"/>
        <w:jc w:val="left"/>
        <w:rPr>
          <w:rFonts w:hint="eastAsia" w:ascii="楷体" w:hAnsi="楷体" w:eastAsia="楷体" w:cs="楷体_GB2312"/>
          <w:bCs/>
          <w:sz w:val="32"/>
          <w:szCs w:val="32"/>
        </w:rPr>
      </w:pPr>
      <w:r>
        <w:rPr>
          <w:rFonts w:hint="eastAsia" w:ascii="仿宋_GB2312" w:hAnsi="仿宋" w:eastAsia="仿宋_GB2312"/>
          <w:color w:val="auto"/>
          <w:sz w:val="32"/>
          <w:szCs w:val="32"/>
        </w:rPr>
        <w:t>202</w:t>
      </w:r>
      <w:r>
        <w:rPr>
          <w:rFonts w:hint="eastAsia" w:ascii="仿宋_GB2312" w:hAnsi="仿宋" w:eastAsia="仿宋_GB2312"/>
          <w:color w:val="auto"/>
          <w:sz w:val="32"/>
          <w:szCs w:val="32"/>
          <w:lang w:val="en-US" w:eastAsia="zh-CN"/>
        </w:rPr>
        <w:t>5</w:t>
      </w:r>
      <w:r>
        <w:rPr>
          <w:rFonts w:hint="eastAsia" w:ascii="Times New Roman" w:hAnsi="Times New Roman" w:eastAsia="仿宋" w:cs="Times New Roman"/>
          <w:color w:val="auto"/>
          <w:sz w:val="32"/>
          <w:szCs w:val="32"/>
        </w:rPr>
        <w:t>年，我镇财政拨款“三公”经费</w:t>
      </w:r>
      <w:r>
        <w:rPr>
          <w:rFonts w:hint="eastAsia" w:ascii="Times New Roman" w:hAnsi="Times New Roman" w:eastAsia="仿宋" w:cs="Times New Roman"/>
          <w:color w:val="auto"/>
          <w:sz w:val="32"/>
          <w:szCs w:val="32"/>
          <w:lang w:val="en-US" w:eastAsia="zh-CN"/>
        </w:rPr>
        <w:t>调整</w:t>
      </w:r>
      <w:r>
        <w:rPr>
          <w:rFonts w:hint="eastAsia" w:ascii="Times New Roman" w:hAnsi="Times New Roman" w:eastAsia="仿宋" w:cs="Times New Roman"/>
          <w:color w:val="auto"/>
          <w:sz w:val="32"/>
          <w:szCs w:val="32"/>
        </w:rPr>
        <w:t>预算</w:t>
      </w:r>
      <w:r>
        <w:rPr>
          <w:rFonts w:hint="eastAsia" w:ascii="Times New Roman" w:hAnsi="Times New Roman" w:eastAsia="仿宋" w:cs="Times New Roman"/>
          <w:color w:val="auto"/>
          <w:sz w:val="32"/>
          <w:szCs w:val="32"/>
          <w:lang w:val="en-US" w:eastAsia="zh-CN"/>
        </w:rPr>
        <w:t>数为</w:t>
      </w:r>
      <w:r>
        <w:rPr>
          <w:rFonts w:hint="eastAsia" w:ascii="仿宋_GB2312" w:hAnsi="仿宋" w:eastAsia="仿宋_GB2312"/>
          <w:color w:val="auto"/>
          <w:sz w:val="32"/>
          <w:szCs w:val="32"/>
          <w:lang w:val="en-US" w:eastAsia="zh-CN"/>
        </w:rPr>
        <w:t>3.96455</w:t>
      </w:r>
      <w:r>
        <w:rPr>
          <w:rFonts w:hint="eastAsia" w:ascii="Times New Roman" w:hAnsi="Times New Roman" w:eastAsia="仿宋" w:cs="Times New Roman"/>
          <w:color w:val="auto"/>
          <w:sz w:val="32"/>
          <w:szCs w:val="32"/>
        </w:rPr>
        <w:t>万元，</w:t>
      </w:r>
      <w:r>
        <w:rPr>
          <w:rFonts w:hint="eastAsia" w:ascii="Times New Roman" w:hAnsi="Times New Roman" w:eastAsia="仿宋" w:cs="Times New Roman"/>
          <w:color w:val="auto"/>
          <w:sz w:val="32"/>
          <w:szCs w:val="32"/>
          <w:lang w:val="en-US" w:eastAsia="zh-CN"/>
        </w:rPr>
        <w:t>年终决算数为</w:t>
      </w:r>
      <w:r>
        <w:rPr>
          <w:rFonts w:hint="eastAsia" w:ascii="仿宋_GB2312" w:hAnsi="仿宋" w:eastAsia="仿宋_GB2312"/>
          <w:color w:val="auto"/>
          <w:sz w:val="32"/>
          <w:szCs w:val="32"/>
          <w:lang w:val="en-US" w:eastAsia="zh-CN"/>
        </w:rPr>
        <w:t>3.96455万元，</w:t>
      </w:r>
      <w:r>
        <w:rPr>
          <w:rFonts w:hint="eastAsia" w:ascii="Times New Roman" w:hAnsi="Times New Roman" w:eastAsia="仿宋" w:cs="Times New Roman"/>
          <w:color w:val="auto"/>
          <w:sz w:val="32"/>
          <w:szCs w:val="32"/>
        </w:rPr>
        <w:t>其中：因公出国（境）费</w:t>
      </w:r>
      <w:r>
        <w:rPr>
          <w:rFonts w:ascii="Times New Roman" w:hAnsi="Times New Roman" w:eastAsia="仿宋" w:cs="Times New Roman"/>
          <w:color w:val="auto"/>
          <w:sz w:val="32"/>
          <w:szCs w:val="32"/>
        </w:rPr>
        <w:t>0</w:t>
      </w:r>
      <w:r>
        <w:rPr>
          <w:rFonts w:hint="eastAsia" w:ascii="Times New Roman" w:hAnsi="Times New Roman" w:eastAsia="仿宋" w:cs="Times New Roman"/>
          <w:color w:val="auto"/>
          <w:sz w:val="32"/>
          <w:szCs w:val="32"/>
        </w:rPr>
        <w:t>万元；公务用车运行维护费</w:t>
      </w:r>
      <w:r>
        <w:rPr>
          <w:rFonts w:hint="eastAsia" w:ascii="仿宋_GB2312" w:hAnsi="仿宋" w:eastAsia="仿宋_GB2312"/>
          <w:color w:val="auto"/>
          <w:sz w:val="32"/>
          <w:szCs w:val="32"/>
          <w:lang w:val="en-US" w:eastAsia="zh-CN"/>
        </w:rPr>
        <w:t>3.96455</w:t>
      </w:r>
      <w:r>
        <w:rPr>
          <w:rFonts w:hint="eastAsia" w:ascii="Times New Roman" w:hAnsi="Times New Roman" w:eastAsia="仿宋" w:cs="Times New Roman"/>
          <w:color w:val="auto"/>
          <w:sz w:val="32"/>
          <w:szCs w:val="32"/>
        </w:rPr>
        <w:t>万元；</w:t>
      </w:r>
      <w:r>
        <w:rPr>
          <w:rFonts w:hint="eastAsia" w:ascii="Times New Roman" w:hAnsi="Times New Roman" w:eastAsia="仿宋" w:cs="Times New Roman"/>
          <w:color w:val="auto"/>
          <w:sz w:val="32"/>
          <w:szCs w:val="32"/>
          <w:lang w:val="en-US" w:eastAsia="zh-CN"/>
        </w:rPr>
        <w:t>公务接待费0万元。</w:t>
      </w:r>
      <w:r>
        <w:rPr>
          <w:rFonts w:hint="eastAsia" w:ascii="Times New Roman" w:hAnsi="Times New Roman" w:eastAsia="仿宋" w:cs="Times New Roman"/>
          <w:color w:val="auto"/>
          <w:sz w:val="32"/>
          <w:szCs w:val="32"/>
        </w:rPr>
        <w:t>“三公”经费</w:t>
      </w:r>
      <w:r>
        <w:rPr>
          <w:rFonts w:hint="eastAsia" w:ascii="Times New Roman" w:hAnsi="Times New Roman" w:eastAsia="仿宋" w:cs="Times New Roman"/>
          <w:color w:val="auto"/>
          <w:sz w:val="32"/>
          <w:szCs w:val="32"/>
          <w:lang w:val="en-US" w:eastAsia="zh-CN"/>
        </w:rPr>
        <w:t>较上年减少</w:t>
      </w:r>
      <w:r>
        <w:rPr>
          <w:rFonts w:hint="eastAsia" w:ascii="Times New Roman" w:hAnsi="Times New Roman" w:eastAsia="仿宋" w:cs="Times New Roman"/>
          <w:color w:val="auto"/>
          <w:sz w:val="32"/>
          <w:szCs w:val="32"/>
        </w:rPr>
        <w:t>，</w:t>
      </w:r>
      <w:r>
        <w:rPr>
          <w:rFonts w:hint="eastAsia" w:ascii="Times New Roman" w:hAnsi="Times New Roman" w:eastAsia="仿宋" w:cs="Times New Roman"/>
          <w:color w:val="auto"/>
          <w:sz w:val="32"/>
          <w:szCs w:val="32"/>
          <w:lang w:val="en-US" w:eastAsia="zh-CN"/>
        </w:rPr>
        <w:t>主要原因是我镇在确保公务正常开展的前提下，严格落实过“紧日子”要求，完善制度、严管预算，精简公务接待、规范公车</w:t>
      </w:r>
      <w:r>
        <w:rPr>
          <w:rFonts w:hint="eastAsia" w:ascii="仿宋" w:hAnsi="仿宋" w:eastAsia="仿宋" w:cs="仿宋"/>
          <w:color w:val="auto"/>
          <w:sz w:val="32"/>
          <w:szCs w:val="32"/>
        </w:rPr>
        <w:t>用车派车制度</w:t>
      </w:r>
      <w:r>
        <w:rPr>
          <w:rFonts w:hint="eastAsia" w:ascii="Times New Roman" w:hAnsi="Times New Roman" w:eastAsia="仿宋" w:cs="Times New Roman"/>
          <w:color w:val="auto"/>
          <w:sz w:val="32"/>
          <w:szCs w:val="32"/>
          <w:lang w:val="en-US" w:eastAsia="zh-CN"/>
        </w:rPr>
        <w:t>，同时强化内部监督与信息公开，通过精细化管理有效压减非必要开支。</w:t>
      </w:r>
    </w:p>
    <w:p w14:paraId="50DD8C41">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13822A14">
      <w:pPr>
        <w:spacing w:line="560" w:lineRule="exact"/>
        <w:ind w:firstLine="640" w:firstLineChars="200"/>
        <w:rPr>
          <w:rFonts w:hint="eastAsia" w:ascii="仿宋" w:hAnsi="仿宋" w:eastAsia="仿宋"/>
          <w:sz w:val="32"/>
          <w:szCs w:val="32"/>
        </w:rPr>
      </w:pPr>
      <w:r>
        <w:rPr>
          <w:rFonts w:hint="eastAsia" w:ascii="仿宋" w:hAnsi="仿宋" w:eastAsia="仿宋" w:cs="仿宋"/>
          <w:color w:val="auto"/>
          <w:sz w:val="32"/>
          <w:szCs w:val="32"/>
        </w:rPr>
        <w:t>本部门在开展本年度绩效评价工作时，针对具体绩效评价对象的特点，设计具体的绩效评价指标体系。除共性指标外，还设置了能够体现项目特点和绩效的个性指标；项目产出指标与项目效益指标设置数量在8个（含）以上，分值权重占总体的80%。按照对各项目设置的绩效评价指标体系，自评小组完成了对年初各项目进行绩效目标自评，结果显示绩效目标设定清晰合理，质量较高，且各项目资金100%落实形成有效支出，较好地完成了项目年初制定的绩效目标。绩效指标设定方面，包括了产出指标、预算执行率指标、效益指标、满意度指标等一级指标，同时二三级指标详细明确，指标描述及绩效标准清晰准确，能够较为全面科学地规范项目执行，有效方便地进行绩效目标评价。</w:t>
      </w:r>
    </w:p>
    <w:p w14:paraId="65A18D84">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59C8FA87">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546AFC1B">
      <w:pPr>
        <w:spacing w:line="560" w:lineRule="exact"/>
        <w:rPr>
          <w:rFonts w:hint="eastAsia" w:ascii="仿宋" w:hAnsi="仿宋" w:eastAsia="仿宋"/>
          <w:color w:val="auto"/>
          <w:sz w:val="32"/>
          <w:szCs w:val="32"/>
        </w:rPr>
      </w:pPr>
      <w:r>
        <w:rPr>
          <w:rFonts w:hint="eastAsia" w:ascii="仿宋" w:hAnsi="仿宋" w:eastAsia="仿宋"/>
          <w:sz w:val="32"/>
          <w:szCs w:val="32"/>
        </w:rPr>
        <w:t xml:space="preserve"> </w:t>
      </w:r>
      <w:r>
        <w:rPr>
          <w:rFonts w:hint="eastAsia" w:ascii="仿宋" w:hAnsi="仿宋" w:eastAsia="仿宋"/>
          <w:sz w:val="32"/>
          <w:szCs w:val="32"/>
          <w:lang w:val="en-US" w:eastAsia="zh-CN"/>
        </w:rPr>
        <w:t xml:space="preserve">   </w:t>
      </w:r>
      <w:r>
        <w:rPr>
          <w:rFonts w:hint="eastAsia" w:ascii="仿宋" w:hAnsi="仿宋" w:eastAsia="仿宋" w:cs="仿宋"/>
          <w:color w:val="auto"/>
          <w:sz w:val="32"/>
          <w:szCs w:val="32"/>
        </w:rPr>
        <w:t>我镇根据县委县政府、县财政有关财务工作的相关规定，制定了部门项目管理办法。办法明确了经费审批权限及使用程序。重视对项目支出的管理，牢固树立"先预算，后支出"的观念，根据工程的立项、开展、验收等阶段进行资金管控。项目支出严格纳入预算，统筹安排使用专项资金。</w:t>
      </w:r>
    </w:p>
    <w:p w14:paraId="6FF32C22">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2702B3A4">
      <w:pPr>
        <w:spacing w:line="560" w:lineRule="exact"/>
        <w:rPr>
          <w:rFonts w:hint="eastAsia" w:ascii="黑体" w:hAnsi="黑体" w:eastAsia="黑体"/>
          <w:sz w:val="32"/>
          <w:szCs w:val="32"/>
        </w:rPr>
      </w:pPr>
      <w:r>
        <w:rPr>
          <w:rFonts w:hint="eastAsia" w:ascii="黑体" w:hAnsi="黑体" w:eastAsia="黑体"/>
          <w:sz w:val="32"/>
          <w:szCs w:val="32"/>
        </w:rPr>
        <w:t xml:space="preserve">  </w:t>
      </w:r>
      <w:r>
        <w:rPr>
          <w:rFonts w:hint="eastAsia" w:ascii="黑体" w:hAnsi="黑体" w:eastAsia="黑体"/>
          <w:sz w:val="32"/>
          <w:szCs w:val="32"/>
          <w:lang w:val="en-US" w:eastAsia="zh-CN"/>
        </w:rPr>
        <w:t xml:space="preserve">   </w:t>
      </w:r>
      <w:r>
        <w:rPr>
          <w:rFonts w:hint="eastAsia" w:ascii="仿宋" w:hAnsi="仿宋" w:eastAsia="仿宋" w:cs="仿宋"/>
          <w:color w:val="auto"/>
          <w:sz w:val="32"/>
          <w:szCs w:val="32"/>
        </w:rPr>
        <w:t>项目由井陉县财政局下达项目投资计划通知，有健全的管理制度，执行率高，具有可控性；根据项目进度合理规范使用资金，严格支出手续；合格验收，确保质量达标率；积极进行项目收益反馈。按照财政财务制度要求，严格支出手续确保质量达标率，积极进行项目收益反馈，保证资金支付的安全、透明、规范。</w:t>
      </w:r>
    </w:p>
    <w:p w14:paraId="29DC5B33">
      <w:pPr>
        <w:spacing w:line="560" w:lineRule="exact"/>
        <w:rPr>
          <w:rFonts w:ascii="黑体" w:hAnsi="黑体" w:eastAsia="黑体"/>
          <w:b/>
          <w:bCs/>
          <w:sz w:val="32"/>
          <w:szCs w:val="32"/>
        </w:rPr>
      </w:pPr>
      <w:r>
        <w:rPr>
          <w:rFonts w:hint="eastAsia" w:ascii="黑体" w:hAnsi="黑体" w:eastAsia="黑体"/>
          <w:sz w:val="32"/>
          <w:szCs w:val="32"/>
        </w:rPr>
        <w:t xml:space="preserve">  </w:t>
      </w:r>
      <w:r>
        <w:rPr>
          <w:rFonts w:hint="eastAsia" w:ascii="黑体" w:hAnsi="黑体" w:eastAsia="黑体"/>
          <w:sz w:val="32"/>
          <w:szCs w:val="32"/>
          <w:lang w:val="en-US" w:eastAsia="zh-CN"/>
        </w:rPr>
        <w:t xml:space="preserve"> </w:t>
      </w:r>
      <w:r>
        <w:rPr>
          <w:rFonts w:hint="eastAsia" w:ascii="黑体" w:hAnsi="黑体" w:eastAsia="黑体"/>
          <w:sz w:val="32"/>
          <w:szCs w:val="32"/>
        </w:rPr>
        <w:t>三、部门整体支出绩效目标实现情况及指标分析</w:t>
      </w:r>
    </w:p>
    <w:p w14:paraId="4099B058">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5A530E2E">
      <w:pPr>
        <w:pStyle w:val="7"/>
        <w:keepNext w:val="0"/>
        <w:keepLines w:val="0"/>
        <w:pageBreakBefore w:val="0"/>
        <w:widowControl w:val="0"/>
        <w:kinsoku/>
        <w:wordWrap/>
        <w:overflowPunct/>
        <w:topLinePunct w:val="0"/>
        <w:autoSpaceDE w:val="0"/>
        <w:autoSpaceDN w:val="0"/>
        <w:bidi w:val="0"/>
        <w:adjustRightInd w:val="0"/>
        <w:snapToGrid/>
        <w:spacing w:line="500" w:lineRule="exact"/>
        <w:ind w:firstLine="640"/>
        <w:jc w:val="left"/>
        <w:textAlignment w:val="auto"/>
        <w:rPr>
          <w:rFonts w:hint="eastAsia" w:ascii="仿宋" w:hAnsi="仿宋" w:eastAsia="仿宋" w:cs="楷体_GB2312"/>
          <w:b/>
          <w:bCs/>
          <w:color w:val="auto"/>
          <w:sz w:val="32"/>
          <w:szCs w:val="32"/>
        </w:rPr>
      </w:pPr>
      <w:r>
        <w:rPr>
          <w:rFonts w:hint="eastAsia" w:ascii="仿宋" w:hAnsi="仿宋" w:eastAsia="仿宋" w:cs="楷体_GB2312"/>
          <w:b/>
          <w:bCs/>
          <w:sz w:val="32"/>
          <w:szCs w:val="32"/>
        </w:rPr>
        <w:t xml:space="preserve"> </w:t>
      </w:r>
      <w:r>
        <w:rPr>
          <w:rFonts w:hint="eastAsia" w:ascii="仿宋" w:hAnsi="仿宋" w:eastAsia="仿宋" w:cs="仿宋"/>
          <w:bCs/>
          <w:color w:val="auto"/>
          <w:sz w:val="32"/>
          <w:szCs w:val="32"/>
        </w:rPr>
        <w:t>完成人大代表议政、人代会，做好各项工作的迎查、考核，完成乡镇财政计划和经济发展规划，做好统计、审计工作；做好与各职责部门的社会事务工作；完成机关日常事务，搞好文秘、档案管理、政务公开和机关后勤保障工作，维护好社会的稳定。提供群众满意的农业服务、林业服务及护林防火工作，确保一事一议项目的顺利运行及实施。做好与食品药品监督管理的协调、督导及卫生方面工作。搞好行政综合服务，做好行政审批相关工作。提高文体活动质量，增强群众的参与度，提供群众满意的服务。保障部门做好相关宣传咨询工作；配合相关执法部门做好相关执法的宣传贯彻等工作。配合安全生产监督管理部门做好安全生产监督管理等工作。做好农村环境污染、秸秆净烧、违规排放的等违反法规执法服务。配合安全生产监督管理部门做好安全生产监督管理等工作。保障部门做好相关宣传咨询工作；做好困难军人的救助、社保、和就业创业工作，农村居民养老保险、民政低保、残疾、社会捐赠等事务办理等服务；配合安全生产监督管理部门做好安全生产监督管理等工作。</w:t>
      </w:r>
      <w:r>
        <w:rPr>
          <w:color w:val="auto"/>
        </w:rPr>
        <w:fldChar w:fldCharType="begin"/>
      </w:r>
      <w:r>
        <w:rPr>
          <w:rFonts w:ascii="Times New Roman" w:hAnsi="Times New Roman" w:eastAsia="方正仿宋_GBK" w:cs="Times New Roman"/>
          <w:b/>
          <w:color w:val="auto"/>
          <w:sz w:val="32"/>
          <w:szCs w:val="32"/>
        </w:rPr>
        <w:instrText xml:space="preserve"> TC </w:instrText>
      </w:r>
      <w:bookmarkStart w:id="0" w:name="_Toc29484628"/>
      <w:r>
        <w:rPr>
          <w:rFonts w:hint="eastAsia" w:ascii="Times New Roman" w:hAnsi="Times New Roman" w:eastAsia="方正仿宋_GBK" w:cs="Times New Roman"/>
          <w:b/>
          <w:color w:val="auto"/>
          <w:sz w:val="32"/>
          <w:szCs w:val="32"/>
        </w:rPr>
        <w:instrText xml:space="preserve">总体绩效目标</w:instrText>
      </w:r>
      <w:bookmarkEnd w:id="0"/>
      <w:r>
        <w:rPr>
          <w:rFonts w:ascii="Times New Roman" w:hAnsi="Times New Roman" w:eastAsia="方正仿宋_GBK" w:cs="Times New Roman"/>
          <w:b/>
          <w:color w:val="auto"/>
          <w:sz w:val="32"/>
          <w:szCs w:val="32"/>
        </w:rPr>
        <w:instrText xml:space="preserve"> \f A \l 1 </w:instrText>
      </w:r>
      <w:r>
        <w:rPr>
          <w:rFonts w:ascii="Times New Roman" w:hAnsi="Times New Roman" w:eastAsia="方正仿宋_GBK" w:cs="Times New Roman"/>
          <w:b/>
          <w:color w:val="auto"/>
          <w:sz w:val="32"/>
          <w:szCs w:val="32"/>
        </w:rPr>
        <w:fldChar w:fldCharType="end"/>
      </w:r>
    </w:p>
    <w:p w14:paraId="6EAC95DE">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44141438">
      <w:pPr>
        <w:keepNext w:val="0"/>
        <w:keepLines w:val="0"/>
        <w:pageBreakBefore w:val="0"/>
        <w:widowControl w:val="0"/>
        <w:kinsoku/>
        <w:wordWrap/>
        <w:overflowPunct/>
        <w:topLinePunct w:val="0"/>
        <w:autoSpaceDE w:val="0"/>
        <w:autoSpaceDN w:val="0"/>
        <w:bidi w:val="0"/>
        <w:adjustRightInd w:val="0"/>
        <w:snapToGrid/>
        <w:spacing w:line="500" w:lineRule="exact"/>
        <w:ind w:left="198" w:firstLine="640" w:firstLineChars="200"/>
        <w:jc w:val="left"/>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1、机关事务管理:</w:t>
      </w:r>
    </w:p>
    <w:p w14:paraId="384714D4">
      <w:pPr>
        <w:keepNext w:val="0"/>
        <w:keepLines w:val="0"/>
        <w:pageBreakBefore w:val="0"/>
        <w:widowControl w:val="0"/>
        <w:kinsoku/>
        <w:wordWrap/>
        <w:overflowPunct/>
        <w:topLinePunct w:val="0"/>
        <w:autoSpaceDE w:val="0"/>
        <w:autoSpaceDN w:val="0"/>
        <w:bidi w:val="0"/>
        <w:adjustRightInd w:val="0"/>
        <w:snapToGrid/>
        <w:spacing w:line="500" w:lineRule="exact"/>
        <w:ind w:left="198" w:firstLine="640" w:firstLineChars="200"/>
        <w:jc w:val="left"/>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绩效目标：完成人大代表议政、人代会，做好各项工作的迎查、考核完成乡镇财政计划和经济发展规划，做好统计、审计工作；做好与各职责部门的社会事务工作。完成机关日常事务，搞好文秘、档案管理、政务公开和机关后勤保障工作。</w:t>
      </w:r>
    </w:p>
    <w:p w14:paraId="4B356637">
      <w:pPr>
        <w:keepNext w:val="0"/>
        <w:keepLines w:val="0"/>
        <w:pageBreakBefore w:val="0"/>
        <w:widowControl w:val="0"/>
        <w:kinsoku/>
        <w:wordWrap/>
        <w:overflowPunct/>
        <w:topLinePunct w:val="0"/>
        <w:autoSpaceDE w:val="0"/>
        <w:autoSpaceDN w:val="0"/>
        <w:bidi w:val="0"/>
        <w:adjustRightInd w:val="0"/>
        <w:snapToGrid/>
        <w:spacing w:line="500" w:lineRule="exact"/>
        <w:ind w:left="198" w:firstLine="640" w:firstLineChars="200"/>
        <w:jc w:val="left"/>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绩效指标：会议任务完成率、工作完成率。</w:t>
      </w:r>
    </w:p>
    <w:p w14:paraId="15D65A5B">
      <w:pPr>
        <w:keepNext w:val="0"/>
        <w:keepLines w:val="0"/>
        <w:pageBreakBefore w:val="0"/>
        <w:widowControl w:val="0"/>
        <w:kinsoku/>
        <w:wordWrap/>
        <w:overflowPunct/>
        <w:topLinePunct w:val="0"/>
        <w:autoSpaceDE w:val="0"/>
        <w:autoSpaceDN w:val="0"/>
        <w:bidi w:val="0"/>
        <w:adjustRightInd w:val="0"/>
        <w:snapToGrid/>
        <w:spacing w:line="500" w:lineRule="exact"/>
        <w:ind w:left="198" w:firstLine="640" w:firstLineChars="200"/>
        <w:jc w:val="left"/>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2、农业综合服务：</w:t>
      </w:r>
    </w:p>
    <w:p w14:paraId="19460063">
      <w:pPr>
        <w:keepNext w:val="0"/>
        <w:keepLines w:val="0"/>
        <w:pageBreakBefore w:val="0"/>
        <w:widowControl w:val="0"/>
        <w:kinsoku/>
        <w:wordWrap/>
        <w:overflowPunct/>
        <w:topLinePunct w:val="0"/>
        <w:autoSpaceDE w:val="0"/>
        <w:autoSpaceDN w:val="0"/>
        <w:bidi w:val="0"/>
        <w:adjustRightInd w:val="0"/>
        <w:snapToGrid/>
        <w:spacing w:line="500" w:lineRule="exact"/>
        <w:ind w:left="198" w:firstLine="640" w:firstLineChars="200"/>
        <w:jc w:val="left"/>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绩效目标：配合农业部门做好农业技术服务和技术推广及动物防疫，加强农业基本建设，增强农业抗御自然灾害的能力； 配合林业部门做好林业技术服务和技术推广，做好森林培育和护林防火工作；配合水利部门做好农田水机基础设施建设、开展群众安全饮水项目；做好农村一事一议档案的统一管理、监督项目的运行情况、督促项目的及时完成及确保完成质量。</w:t>
      </w:r>
    </w:p>
    <w:p w14:paraId="240537F7">
      <w:pPr>
        <w:keepNext w:val="0"/>
        <w:keepLines w:val="0"/>
        <w:pageBreakBefore w:val="0"/>
        <w:widowControl w:val="0"/>
        <w:kinsoku/>
        <w:wordWrap/>
        <w:overflowPunct/>
        <w:topLinePunct w:val="0"/>
        <w:autoSpaceDE w:val="0"/>
        <w:autoSpaceDN w:val="0"/>
        <w:bidi w:val="0"/>
        <w:adjustRightInd w:val="0"/>
        <w:snapToGrid/>
        <w:spacing w:line="500" w:lineRule="exact"/>
        <w:ind w:left="198" w:firstLine="640" w:firstLineChars="200"/>
        <w:jc w:val="left"/>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 xml:space="preserve">绩效指标：工作任务完成率、项目完成率、任务实现率。 </w:t>
      </w:r>
    </w:p>
    <w:p w14:paraId="73ACE115">
      <w:pPr>
        <w:keepNext w:val="0"/>
        <w:keepLines w:val="0"/>
        <w:pageBreakBefore w:val="0"/>
        <w:widowControl w:val="0"/>
        <w:kinsoku/>
        <w:wordWrap/>
        <w:overflowPunct/>
        <w:topLinePunct w:val="0"/>
        <w:autoSpaceDE w:val="0"/>
        <w:autoSpaceDN w:val="0"/>
        <w:bidi w:val="0"/>
        <w:adjustRightInd w:val="0"/>
        <w:snapToGrid/>
        <w:spacing w:line="500" w:lineRule="exact"/>
        <w:ind w:left="198" w:firstLine="640" w:firstLineChars="200"/>
        <w:jc w:val="left"/>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3、行政综合服务:</w:t>
      </w:r>
    </w:p>
    <w:p w14:paraId="1D37866F">
      <w:pPr>
        <w:keepNext w:val="0"/>
        <w:keepLines w:val="0"/>
        <w:pageBreakBefore w:val="0"/>
        <w:widowControl w:val="0"/>
        <w:kinsoku/>
        <w:wordWrap/>
        <w:overflowPunct/>
        <w:topLinePunct w:val="0"/>
        <w:autoSpaceDE w:val="0"/>
        <w:autoSpaceDN w:val="0"/>
        <w:bidi w:val="0"/>
        <w:adjustRightInd w:val="0"/>
        <w:snapToGrid/>
        <w:spacing w:line="500" w:lineRule="exact"/>
        <w:ind w:left="198" w:firstLine="640" w:firstLineChars="200"/>
        <w:jc w:val="left"/>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绩效目标：搞好行政综合服务，做好行政审批相关工作；组织和组建文化文艺宣传队，开展丰富多彩的文艺活动；依法搞好文化市场开展精神文明建设，开展图书和电影下乡活动。提高文体活动质量，增强群众的参与度，提供群众满意的服务。</w:t>
      </w:r>
    </w:p>
    <w:p w14:paraId="1144DA44">
      <w:pPr>
        <w:keepNext w:val="0"/>
        <w:keepLines w:val="0"/>
        <w:pageBreakBefore w:val="0"/>
        <w:widowControl w:val="0"/>
        <w:kinsoku/>
        <w:wordWrap/>
        <w:overflowPunct/>
        <w:topLinePunct w:val="0"/>
        <w:autoSpaceDE w:val="0"/>
        <w:autoSpaceDN w:val="0"/>
        <w:bidi w:val="0"/>
        <w:adjustRightInd w:val="0"/>
        <w:snapToGrid/>
        <w:spacing w:line="500" w:lineRule="exact"/>
        <w:ind w:left="198" w:firstLine="640" w:firstLineChars="200"/>
        <w:jc w:val="left"/>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绩效指标：工作任务完成率、项目完成率、任务实现率。</w:t>
      </w:r>
    </w:p>
    <w:p w14:paraId="45CB653B">
      <w:pPr>
        <w:keepNext w:val="0"/>
        <w:keepLines w:val="0"/>
        <w:pageBreakBefore w:val="0"/>
        <w:widowControl w:val="0"/>
        <w:kinsoku/>
        <w:wordWrap/>
        <w:overflowPunct/>
        <w:topLinePunct w:val="0"/>
        <w:autoSpaceDE w:val="0"/>
        <w:autoSpaceDN w:val="0"/>
        <w:bidi w:val="0"/>
        <w:adjustRightInd w:val="0"/>
        <w:snapToGrid/>
        <w:spacing w:line="500" w:lineRule="exact"/>
        <w:ind w:left="198" w:firstLine="640" w:firstLineChars="200"/>
        <w:jc w:val="left"/>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4、综合行政执法：</w:t>
      </w:r>
    </w:p>
    <w:p w14:paraId="22DE280D">
      <w:pPr>
        <w:keepNext w:val="0"/>
        <w:keepLines w:val="0"/>
        <w:pageBreakBefore w:val="0"/>
        <w:widowControl w:val="0"/>
        <w:kinsoku/>
        <w:wordWrap/>
        <w:overflowPunct/>
        <w:topLinePunct w:val="0"/>
        <w:autoSpaceDE w:val="0"/>
        <w:autoSpaceDN w:val="0"/>
        <w:bidi w:val="0"/>
        <w:adjustRightInd w:val="0"/>
        <w:snapToGrid/>
        <w:spacing w:line="500" w:lineRule="exact"/>
        <w:ind w:left="198" w:firstLine="640" w:firstLineChars="200"/>
        <w:jc w:val="left"/>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绩效目标：配合相关执法部门做好相关执法的宣传贯彻等工作。配合安全生产监督管理部门做好安全生产监督管理等工作。做好农村环境污染、秸秆净烧、违规排放的等违反法规执法服务。</w:t>
      </w:r>
    </w:p>
    <w:p w14:paraId="3E516BFD">
      <w:pPr>
        <w:keepNext w:val="0"/>
        <w:keepLines w:val="0"/>
        <w:pageBreakBefore w:val="0"/>
        <w:widowControl w:val="0"/>
        <w:kinsoku/>
        <w:wordWrap/>
        <w:overflowPunct/>
        <w:topLinePunct w:val="0"/>
        <w:autoSpaceDE w:val="0"/>
        <w:autoSpaceDN w:val="0"/>
        <w:bidi w:val="0"/>
        <w:adjustRightInd w:val="0"/>
        <w:snapToGrid/>
        <w:spacing w:line="500" w:lineRule="exact"/>
        <w:ind w:left="198" w:firstLine="640" w:firstLineChars="200"/>
        <w:jc w:val="left"/>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绩效指标：工作任务完成率、任务实现率。</w:t>
      </w:r>
    </w:p>
    <w:p w14:paraId="5E88B408">
      <w:pPr>
        <w:keepNext w:val="0"/>
        <w:keepLines w:val="0"/>
        <w:pageBreakBefore w:val="0"/>
        <w:widowControl w:val="0"/>
        <w:kinsoku/>
        <w:wordWrap/>
        <w:overflowPunct/>
        <w:topLinePunct w:val="0"/>
        <w:autoSpaceDE w:val="0"/>
        <w:autoSpaceDN w:val="0"/>
        <w:bidi w:val="0"/>
        <w:adjustRightInd w:val="0"/>
        <w:snapToGrid/>
        <w:spacing w:line="500" w:lineRule="exact"/>
        <w:ind w:left="198" w:firstLine="640" w:firstLineChars="200"/>
        <w:jc w:val="left"/>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5、退役军人服务：</w:t>
      </w:r>
    </w:p>
    <w:p w14:paraId="0C6870EB">
      <w:pPr>
        <w:keepNext w:val="0"/>
        <w:keepLines w:val="0"/>
        <w:pageBreakBefore w:val="0"/>
        <w:widowControl w:val="0"/>
        <w:kinsoku/>
        <w:wordWrap/>
        <w:overflowPunct/>
        <w:topLinePunct w:val="0"/>
        <w:autoSpaceDE w:val="0"/>
        <w:autoSpaceDN w:val="0"/>
        <w:bidi w:val="0"/>
        <w:adjustRightInd w:val="0"/>
        <w:snapToGrid/>
        <w:spacing w:line="500" w:lineRule="exact"/>
        <w:ind w:left="198" w:firstLine="640" w:firstLineChars="200"/>
        <w:jc w:val="left"/>
        <w:textAlignment w:val="auto"/>
        <w:rPr>
          <w:rFonts w:hint="eastAsia" w:ascii="仿宋" w:hAnsi="仿宋" w:eastAsia="仿宋" w:cs="仿宋"/>
          <w:bCs/>
          <w:color w:val="auto"/>
          <w:sz w:val="32"/>
          <w:szCs w:val="32"/>
        </w:rPr>
      </w:pPr>
      <w:r>
        <w:rPr>
          <w:rFonts w:hint="eastAsia" w:ascii="仿宋" w:hAnsi="仿宋" w:eastAsia="仿宋" w:cs="仿宋"/>
          <w:bCs/>
          <w:color w:val="auto"/>
          <w:sz w:val="32"/>
          <w:szCs w:val="32"/>
        </w:rPr>
        <w:t>绩效目标：健全各项制度机制，全面精准摸底完善建档立卡，建立镇村信息平台；落实安置和帮扶措施，做好困难军人的救助、社保、和就业创业工作；建立常态走访慰问机制。</w:t>
      </w:r>
    </w:p>
    <w:p w14:paraId="5AE80BAB">
      <w:pPr>
        <w:keepNext w:val="0"/>
        <w:keepLines w:val="0"/>
        <w:pageBreakBefore w:val="0"/>
        <w:widowControl w:val="0"/>
        <w:kinsoku/>
        <w:wordWrap/>
        <w:overflowPunct/>
        <w:topLinePunct w:val="0"/>
        <w:autoSpaceDE w:val="0"/>
        <w:autoSpaceDN w:val="0"/>
        <w:bidi w:val="0"/>
        <w:adjustRightInd w:val="0"/>
        <w:snapToGrid/>
        <w:spacing w:line="500" w:lineRule="exact"/>
        <w:ind w:left="198" w:firstLine="640" w:firstLineChars="200"/>
        <w:jc w:val="left"/>
        <w:textAlignment w:val="auto"/>
        <w:rPr>
          <w:rFonts w:hint="eastAsia" w:ascii="仿宋" w:hAnsi="仿宋" w:eastAsia="仿宋"/>
          <w:color w:val="auto"/>
          <w:sz w:val="32"/>
          <w:szCs w:val="32"/>
        </w:rPr>
      </w:pPr>
      <w:r>
        <w:rPr>
          <w:rFonts w:hint="eastAsia" w:ascii="仿宋" w:hAnsi="仿宋" w:eastAsia="仿宋" w:cs="仿宋"/>
          <w:bCs/>
          <w:color w:val="auto"/>
          <w:sz w:val="32"/>
          <w:szCs w:val="32"/>
        </w:rPr>
        <w:t>绩效指标：工作任务完成率、任务实现率。</w:t>
      </w:r>
    </w:p>
    <w:p w14:paraId="0AD56A74">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A008960">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r>
        <w:rPr>
          <w:rFonts w:hint="eastAsia" w:ascii="仿宋" w:hAnsi="仿宋" w:eastAsia="仿宋"/>
          <w:sz w:val="32"/>
          <w:szCs w:val="32"/>
          <w:lang w:val="en-US" w:eastAsia="zh-CN"/>
        </w:rPr>
        <w:t>综合分析，我部门</w:t>
      </w:r>
      <w:r>
        <w:rPr>
          <w:rFonts w:hint="eastAsia" w:ascii="仿宋" w:hAnsi="仿宋" w:eastAsia="仿宋"/>
          <w:color w:val="auto"/>
          <w:sz w:val="32"/>
          <w:szCs w:val="32"/>
        </w:rPr>
        <w:t>得总分</w:t>
      </w:r>
      <w:r>
        <w:rPr>
          <w:rFonts w:hint="eastAsia" w:ascii="仿宋" w:hAnsi="仿宋" w:eastAsia="仿宋"/>
          <w:b w:val="0"/>
          <w:bCs w:val="0"/>
          <w:color w:val="auto"/>
          <w:sz w:val="32"/>
          <w:szCs w:val="32"/>
        </w:rPr>
        <w:t>98</w:t>
      </w:r>
      <w:r>
        <w:rPr>
          <w:rFonts w:hint="eastAsia" w:ascii="仿宋" w:hAnsi="仿宋" w:eastAsia="仿宋"/>
          <w:color w:val="auto"/>
          <w:sz w:val="32"/>
          <w:szCs w:val="32"/>
        </w:rPr>
        <w:t>分，等级为优秀。</w:t>
      </w:r>
    </w:p>
    <w:p w14:paraId="1B13D9C9">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344AF6D0">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6FB8E776">
      <w:pPr>
        <w:spacing w:line="560" w:lineRule="exact"/>
        <w:ind w:firstLine="640" w:firstLineChars="200"/>
        <w:rPr>
          <w:rFonts w:hint="eastAsia" w:ascii="仿宋" w:hAnsi="仿宋" w:eastAsia="仿宋"/>
          <w:sz w:val="32"/>
          <w:szCs w:val="32"/>
        </w:rPr>
      </w:pPr>
      <w:r>
        <w:rPr>
          <w:rFonts w:hint="eastAsia" w:ascii="仿宋" w:hAnsi="仿宋" w:eastAsia="仿宋"/>
          <w:b w:val="0"/>
          <w:bCs w:val="0"/>
          <w:sz w:val="32"/>
          <w:szCs w:val="32"/>
        </w:rPr>
        <w:t>预决算准确率有待提升</w:t>
      </w:r>
      <w:r>
        <w:rPr>
          <w:rFonts w:hint="eastAsia" w:ascii="仿宋" w:hAnsi="仿宋" w:eastAsia="仿宋"/>
          <w:b w:val="0"/>
          <w:bCs w:val="0"/>
          <w:sz w:val="32"/>
          <w:szCs w:val="32"/>
          <w:lang w:eastAsia="zh-CN"/>
        </w:rPr>
        <w:t>：</w:t>
      </w:r>
      <w:r>
        <w:rPr>
          <w:rFonts w:hint="eastAsia" w:ascii="仿宋" w:hAnsi="仿宋" w:eastAsia="仿宋"/>
          <w:sz w:val="32"/>
          <w:szCs w:val="32"/>
        </w:rPr>
        <w:t>预算编制精准度不足</w:t>
      </w:r>
      <w:r>
        <w:rPr>
          <w:rFonts w:hint="eastAsia" w:ascii="仿宋" w:hAnsi="仿宋" w:eastAsia="仿宋"/>
          <w:sz w:val="32"/>
          <w:szCs w:val="32"/>
          <w:lang w:eastAsia="zh-CN"/>
        </w:rPr>
        <w:t>。</w:t>
      </w:r>
      <w:r>
        <w:rPr>
          <w:rFonts w:hint="eastAsia" w:ascii="仿宋" w:hAnsi="仿宋" w:eastAsia="仿宋"/>
          <w:sz w:val="32"/>
          <w:szCs w:val="32"/>
        </w:rPr>
        <w:t>对项目实施所需的人力、物力、财力测算存在偏差。预算执行刚性约束不强</w:t>
      </w:r>
      <w:r>
        <w:rPr>
          <w:rFonts w:hint="eastAsia" w:ascii="仿宋" w:hAnsi="仿宋" w:eastAsia="仿宋"/>
          <w:sz w:val="32"/>
          <w:szCs w:val="32"/>
          <w:lang w:eastAsia="zh-CN"/>
        </w:rPr>
        <w:t>。</w:t>
      </w:r>
      <w:r>
        <w:rPr>
          <w:rFonts w:hint="eastAsia" w:ascii="仿宋" w:hAnsi="仿宋" w:eastAsia="仿宋"/>
          <w:sz w:val="32"/>
          <w:szCs w:val="32"/>
        </w:rPr>
        <w:t>预算调整程序不够规范，缺乏有效的预算执行监控机制，对预算执行情况的跟踪、分析和预警不够及时，难以及时发现和纠正预算执行中的偏差。</w:t>
      </w:r>
    </w:p>
    <w:p w14:paraId="263F4635">
      <w:pPr>
        <w:spacing w:line="560" w:lineRule="exact"/>
        <w:ind w:firstLine="640" w:firstLineChars="200"/>
        <w:rPr>
          <w:rFonts w:hint="eastAsia" w:ascii="楷体" w:hAnsi="楷体" w:eastAsia="楷体"/>
          <w:bCs/>
          <w:sz w:val="32"/>
          <w:szCs w:val="32"/>
        </w:rPr>
      </w:pPr>
      <w:r>
        <w:rPr>
          <w:rFonts w:hint="eastAsia" w:ascii="仿宋" w:hAnsi="仿宋" w:eastAsia="仿宋"/>
          <w:b w:val="0"/>
          <w:bCs w:val="0"/>
          <w:sz w:val="32"/>
          <w:szCs w:val="32"/>
        </w:rPr>
        <w:t>支出效率和准确性有待提高</w:t>
      </w:r>
      <w:r>
        <w:rPr>
          <w:rFonts w:hint="eastAsia" w:ascii="仿宋" w:hAnsi="仿宋" w:eastAsia="仿宋"/>
          <w:b w:val="0"/>
          <w:bCs w:val="0"/>
          <w:sz w:val="32"/>
          <w:szCs w:val="32"/>
          <w:lang w:eastAsia="zh-CN"/>
        </w:rPr>
        <w:t>：</w:t>
      </w:r>
      <w:r>
        <w:rPr>
          <w:rFonts w:hint="eastAsia" w:ascii="仿宋" w:hAnsi="仿宋" w:eastAsia="仿宋"/>
          <w:sz w:val="32"/>
          <w:szCs w:val="32"/>
        </w:rPr>
        <w:t>支出进度不均衡</w:t>
      </w:r>
      <w:r>
        <w:rPr>
          <w:rFonts w:hint="eastAsia" w:ascii="仿宋" w:hAnsi="仿宋" w:eastAsia="仿宋"/>
          <w:sz w:val="32"/>
          <w:szCs w:val="32"/>
          <w:lang w:eastAsia="zh-CN"/>
        </w:rPr>
        <w:t>。</w:t>
      </w:r>
      <w:r>
        <w:rPr>
          <w:rFonts w:hint="eastAsia" w:ascii="仿宋" w:hAnsi="仿宋" w:eastAsia="仿宋"/>
          <w:sz w:val="32"/>
          <w:szCs w:val="32"/>
        </w:rPr>
        <w:t>部分项目支出进度缓慢，资金拨付不及时。一方面，项目前期准备工作不充分，如项目审批流程繁琐、招投标周期过长等，资金不能及时拨付使用；另一方面，部分部门对项目实施进度把控不力，缺乏有效的时间管理和进度安排，使得项目推进滞后。部分项目在年末为了完成支出任务，出现集中支付现象，导致支出的合理性和规范性受到影响。</w:t>
      </w:r>
    </w:p>
    <w:p w14:paraId="0412EE10">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17EAE5C6">
      <w:pPr>
        <w:spacing w:line="560" w:lineRule="exact"/>
        <w:ind w:firstLine="640" w:firstLineChars="200"/>
        <w:rPr>
          <w:rFonts w:hint="eastAsia" w:ascii="仿宋" w:hAnsi="仿宋" w:eastAsia="仿宋"/>
          <w:sz w:val="32"/>
          <w:szCs w:val="32"/>
        </w:rPr>
      </w:pPr>
      <w:r>
        <w:rPr>
          <w:rFonts w:hint="eastAsia" w:ascii="仿宋" w:hAnsi="仿宋" w:eastAsia="仿宋"/>
          <w:b w:val="0"/>
          <w:bCs w:val="0"/>
          <w:sz w:val="32"/>
          <w:szCs w:val="32"/>
        </w:rPr>
        <w:t>提高预决算准确率</w:t>
      </w:r>
      <w:r>
        <w:rPr>
          <w:rFonts w:hint="eastAsia" w:ascii="仿宋" w:hAnsi="仿宋" w:eastAsia="仿宋"/>
          <w:b w:val="0"/>
          <w:bCs w:val="0"/>
          <w:sz w:val="32"/>
          <w:szCs w:val="32"/>
          <w:lang w:eastAsia="zh-CN"/>
        </w:rPr>
        <w:t>：</w:t>
      </w:r>
      <w:r>
        <w:rPr>
          <w:rFonts w:hint="eastAsia" w:ascii="仿宋" w:hAnsi="仿宋" w:eastAsia="仿宋"/>
          <w:sz w:val="32"/>
          <w:szCs w:val="32"/>
        </w:rPr>
        <w:t>强化预算编制管理</w:t>
      </w:r>
      <w:r>
        <w:rPr>
          <w:rFonts w:hint="eastAsia" w:ascii="仿宋" w:hAnsi="仿宋" w:eastAsia="仿宋"/>
          <w:sz w:val="32"/>
          <w:szCs w:val="32"/>
          <w:lang w:eastAsia="zh-CN"/>
        </w:rPr>
        <w:t>。</w:t>
      </w:r>
      <w:r>
        <w:rPr>
          <w:rFonts w:hint="eastAsia" w:ascii="仿宋" w:hAnsi="仿宋" w:eastAsia="仿宋"/>
          <w:sz w:val="32"/>
          <w:szCs w:val="32"/>
        </w:rPr>
        <w:t>对重大项目预算的必要性、可行性和预算合理性进行充分</w:t>
      </w:r>
      <w:r>
        <w:rPr>
          <w:rFonts w:hint="eastAsia" w:ascii="仿宋" w:hAnsi="仿宋" w:eastAsia="仿宋"/>
          <w:sz w:val="32"/>
          <w:szCs w:val="32"/>
          <w:lang w:val="en-US" w:eastAsia="zh-CN"/>
        </w:rPr>
        <w:t>研究</w:t>
      </w:r>
      <w:r>
        <w:rPr>
          <w:rFonts w:hint="eastAsia" w:ascii="仿宋" w:hAnsi="仿宋" w:eastAsia="仿宋"/>
          <w:sz w:val="32"/>
          <w:szCs w:val="32"/>
        </w:rPr>
        <w:t>，提高预算编制的科学性和准确性。同时，加强部门之间的沟通协作，预算编制前充分征求各部门意见，结合年度工作重点和任务量，合理安排资金，确保预算编制与部门工作实际紧密结合。加强预算执行监控</w:t>
      </w:r>
      <w:r>
        <w:rPr>
          <w:rFonts w:hint="eastAsia" w:ascii="仿宋" w:hAnsi="仿宋" w:eastAsia="仿宋"/>
          <w:sz w:val="32"/>
          <w:szCs w:val="32"/>
          <w:lang w:eastAsia="zh-CN"/>
        </w:rPr>
        <w:t>。</w:t>
      </w:r>
      <w:r>
        <w:rPr>
          <w:rFonts w:hint="eastAsia" w:ascii="仿宋" w:hAnsi="仿宋" w:eastAsia="仿宋"/>
          <w:sz w:val="32"/>
          <w:szCs w:val="32"/>
        </w:rPr>
        <w:t>建立健全预算执行动态监控机制，对预算执行中的偏差及时发现并督促整改，确保预算执行严格按照原定计划进行。加强对预算调整的审核，确保预算调整的合理性和必要性。</w:t>
      </w:r>
    </w:p>
    <w:p w14:paraId="6F484622">
      <w:pPr>
        <w:spacing w:line="560" w:lineRule="exact"/>
        <w:ind w:firstLine="640" w:firstLineChars="200"/>
        <w:rPr>
          <w:rFonts w:hint="eastAsia" w:ascii="仿宋" w:hAnsi="仿宋" w:eastAsia="仿宋"/>
          <w:sz w:val="32"/>
          <w:szCs w:val="32"/>
        </w:rPr>
      </w:pPr>
      <w:r>
        <w:rPr>
          <w:rFonts w:hint="eastAsia" w:ascii="仿宋" w:hAnsi="仿宋" w:eastAsia="仿宋"/>
          <w:b w:val="0"/>
          <w:bCs w:val="0"/>
          <w:sz w:val="32"/>
          <w:szCs w:val="32"/>
        </w:rPr>
        <w:t>提升支出效率和准确性</w:t>
      </w:r>
      <w:r>
        <w:rPr>
          <w:rFonts w:hint="eastAsia" w:ascii="仿宋" w:hAnsi="仿宋" w:eastAsia="仿宋"/>
          <w:b w:val="0"/>
          <w:bCs w:val="0"/>
          <w:sz w:val="32"/>
          <w:szCs w:val="32"/>
          <w:lang w:eastAsia="zh-CN"/>
        </w:rPr>
        <w:t>：</w:t>
      </w:r>
      <w:r>
        <w:rPr>
          <w:rFonts w:hint="eastAsia" w:ascii="仿宋" w:hAnsi="仿宋" w:eastAsia="仿宋"/>
          <w:sz w:val="32"/>
          <w:szCs w:val="32"/>
        </w:rPr>
        <w:t>优化支出进度管理</w:t>
      </w:r>
      <w:r>
        <w:rPr>
          <w:rFonts w:hint="eastAsia" w:ascii="仿宋" w:hAnsi="仿宋" w:eastAsia="仿宋"/>
          <w:sz w:val="32"/>
          <w:szCs w:val="32"/>
          <w:lang w:eastAsia="zh-CN"/>
        </w:rPr>
        <w:t>。</w:t>
      </w:r>
      <w:r>
        <w:rPr>
          <w:rFonts w:hint="eastAsia" w:ascii="仿宋" w:hAnsi="仿宋" w:eastAsia="仿宋"/>
          <w:sz w:val="32"/>
          <w:szCs w:val="32"/>
        </w:rPr>
        <w:t>加强项目前期准备工作，简化项目审批流程，提高招投标效率，确保项目按时开工。建立项目进度跟踪机制，及时协调解决项目推进中的问题，确保项目按照预定计划推进。同时，合理安排资金拨付进度，根据项目实施进度及时拨付资金。针对年末集中支付问题，加强预算执行的时间管理，制定详细的支出计划，合理安排各季度、各月份的支出任务，确保支出进度均衡。规范支出核算管理</w:t>
      </w:r>
      <w:r>
        <w:rPr>
          <w:rFonts w:hint="eastAsia" w:ascii="仿宋" w:hAnsi="仿宋" w:eastAsia="仿宋"/>
          <w:sz w:val="32"/>
          <w:szCs w:val="32"/>
          <w:lang w:eastAsia="zh-CN"/>
        </w:rPr>
        <w:t>。</w:t>
      </w:r>
      <w:r>
        <w:rPr>
          <w:rFonts w:hint="eastAsia" w:ascii="仿宋" w:hAnsi="仿宋" w:eastAsia="仿宋"/>
          <w:sz w:val="32"/>
          <w:szCs w:val="32"/>
        </w:rPr>
        <w:t>加强财务人员业务培训，定期组织财务人员学习会计法规、财务制度和会计核算知识，提高财务人员的业务能力和专业水平。加强财务报销审核，建立健全报销审核制度，严格审核票据的真实性、合法性和完整性。</w:t>
      </w:r>
    </w:p>
    <w:p w14:paraId="6078736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w:t>
      </w:r>
      <w:bookmarkStart w:id="1" w:name="_GoBack"/>
      <w:bookmarkEnd w:id="1"/>
      <w:r>
        <w:rPr>
          <w:rFonts w:hint="eastAsia" w:ascii="黑体" w:hAnsi="黑体" w:eastAsia="黑体"/>
          <w:sz w:val="32"/>
          <w:szCs w:val="32"/>
        </w:rPr>
        <w:t>名单</w:t>
      </w:r>
    </w:p>
    <w:p w14:paraId="5DAA759F">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范彦廷</w:t>
      </w:r>
      <w:r>
        <w:rPr>
          <w:rFonts w:hint="eastAsia" w:ascii="仿宋" w:hAnsi="仿宋" w:eastAsia="仿宋"/>
          <w:sz w:val="32"/>
          <w:szCs w:val="32"/>
        </w:rPr>
        <w:t xml:space="preserve">  微水镇人民政府党委</w:t>
      </w:r>
      <w:r>
        <w:rPr>
          <w:rFonts w:hint="eastAsia" w:ascii="仿宋" w:hAnsi="仿宋" w:eastAsia="仿宋"/>
          <w:sz w:val="32"/>
          <w:szCs w:val="32"/>
          <w:lang w:val="en-US" w:eastAsia="zh-CN"/>
        </w:rPr>
        <w:t>副书记、镇长</w:t>
      </w:r>
    </w:p>
    <w:p w14:paraId="7C435175">
      <w:pPr>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于国科  微水镇人民政府副书记</w:t>
      </w:r>
    </w:p>
    <w:p w14:paraId="53C03555">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D073F7">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0CA5C8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50CA5C8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FA36B8"/>
    <w:multiLevelType w:val="singleLevel"/>
    <w:tmpl w:val="81FA36B8"/>
    <w:lvl w:ilvl="0" w:tentative="0">
      <w:start w:val="5"/>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1F80A87"/>
    <w:rsid w:val="02106AB0"/>
    <w:rsid w:val="02B43A28"/>
    <w:rsid w:val="03157416"/>
    <w:rsid w:val="046F331E"/>
    <w:rsid w:val="06C979FD"/>
    <w:rsid w:val="07956271"/>
    <w:rsid w:val="09721397"/>
    <w:rsid w:val="0BB63BED"/>
    <w:rsid w:val="0EB97A43"/>
    <w:rsid w:val="0EBD2122"/>
    <w:rsid w:val="0F214EAE"/>
    <w:rsid w:val="11B71E6A"/>
    <w:rsid w:val="144B521C"/>
    <w:rsid w:val="14805B80"/>
    <w:rsid w:val="194303E2"/>
    <w:rsid w:val="1AAF0063"/>
    <w:rsid w:val="1BE140DE"/>
    <w:rsid w:val="1D4D7EEB"/>
    <w:rsid w:val="1EF055D0"/>
    <w:rsid w:val="214473ED"/>
    <w:rsid w:val="215F5FD5"/>
    <w:rsid w:val="21D73DBD"/>
    <w:rsid w:val="248C197D"/>
    <w:rsid w:val="252959AF"/>
    <w:rsid w:val="252D4BF1"/>
    <w:rsid w:val="258F1445"/>
    <w:rsid w:val="277A6671"/>
    <w:rsid w:val="292D35B7"/>
    <w:rsid w:val="301C3EE9"/>
    <w:rsid w:val="30D616E4"/>
    <w:rsid w:val="31151E97"/>
    <w:rsid w:val="33EB6CFF"/>
    <w:rsid w:val="358B06F9"/>
    <w:rsid w:val="35A12947"/>
    <w:rsid w:val="37387040"/>
    <w:rsid w:val="39902D77"/>
    <w:rsid w:val="3B0548E0"/>
    <w:rsid w:val="3B625C0A"/>
    <w:rsid w:val="3CEE1963"/>
    <w:rsid w:val="40A56145"/>
    <w:rsid w:val="41241102"/>
    <w:rsid w:val="43181C81"/>
    <w:rsid w:val="436B78D3"/>
    <w:rsid w:val="45367649"/>
    <w:rsid w:val="48B60C1B"/>
    <w:rsid w:val="49570AD5"/>
    <w:rsid w:val="49602D3D"/>
    <w:rsid w:val="4A037786"/>
    <w:rsid w:val="4C9C27FE"/>
    <w:rsid w:val="4D974DAD"/>
    <w:rsid w:val="4EBE15D3"/>
    <w:rsid w:val="512260B4"/>
    <w:rsid w:val="52BD6ACB"/>
    <w:rsid w:val="52F80B70"/>
    <w:rsid w:val="541B38D8"/>
    <w:rsid w:val="55537534"/>
    <w:rsid w:val="561A74F1"/>
    <w:rsid w:val="56FC079F"/>
    <w:rsid w:val="58676F42"/>
    <w:rsid w:val="597244E8"/>
    <w:rsid w:val="5AF01470"/>
    <w:rsid w:val="5E275A5A"/>
    <w:rsid w:val="5EB71C30"/>
    <w:rsid w:val="5F092B01"/>
    <w:rsid w:val="631811A7"/>
    <w:rsid w:val="63AB062A"/>
    <w:rsid w:val="65042353"/>
    <w:rsid w:val="66AF0CE5"/>
    <w:rsid w:val="692E144E"/>
    <w:rsid w:val="6AA27932"/>
    <w:rsid w:val="6AC537CF"/>
    <w:rsid w:val="6C241403"/>
    <w:rsid w:val="6E5B14A6"/>
    <w:rsid w:val="711B255E"/>
    <w:rsid w:val="720323BC"/>
    <w:rsid w:val="73154050"/>
    <w:rsid w:val="75343DA4"/>
    <w:rsid w:val="78114613"/>
    <w:rsid w:val="7BB51E06"/>
    <w:rsid w:val="7C387F7C"/>
    <w:rsid w:val="7D242160"/>
    <w:rsid w:val="7DCA389C"/>
    <w:rsid w:val="7F7959BA"/>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 w:type="paragraph" w:styleId="7">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4400</Words>
  <Characters>4619</Characters>
  <Lines>4</Lines>
  <Paragraphs>1</Paragraphs>
  <TotalTime>17</TotalTime>
  <ScaleCrop>false</ScaleCrop>
  <LinksUpToDate>false</LinksUpToDate>
  <CharactersWithSpaces>4652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半山秋</cp:lastModifiedBy>
  <cp:lastPrinted>2024-03-06T07:40:00Z</cp:lastPrinted>
  <dcterms:modified xsi:type="dcterms:W3CDTF">2026-04-29T08:11:41Z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807859DDDB204D7484EDDFBB4E9D1D2E</vt:lpwstr>
  </property>
  <property fmtid="{D5CDD505-2E9C-101B-9397-08002B2CF9AE}" pid="4" name="KSOTemplateDocerSaveRecord">
    <vt:lpwstr>eyJoZGlkIjoiYTlhZjZlMTY1NjBiYzgwMDAwNTc1MzVmMzRjODI4YjgiLCJ1c2VySWQiOiIzODgyMDgxODgifQ==</vt:lpwstr>
  </property>
</Properties>
</file>