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5B20A7">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6C4B456B">
      <w:pPr>
        <w:spacing w:line="560" w:lineRule="exact"/>
        <w:jc w:val="center"/>
        <w:rPr>
          <w:rFonts w:ascii="宋体" w:hAnsi="宋体" w:cs="宋体"/>
          <w:b/>
          <w:bCs/>
          <w:sz w:val="44"/>
          <w:szCs w:val="44"/>
        </w:rPr>
      </w:pPr>
    </w:p>
    <w:p w14:paraId="67F36DDF">
      <w:pPr>
        <w:spacing w:line="560" w:lineRule="exact"/>
        <w:jc w:val="center"/>
        <w:rPr>
          <w:rFonts w:hint="eastAsia" w:ascii="仿宋" w:hAnsi="仿宋" w:eastAsia="仿宋" w:cs="仿宋"/>
          <w:b/>
          <w:bCs/>
          <w:sz w:val="44"/>
          <w:szCs w:val="44"/>
        </w:rPr>
      </w:pPr>
      <w:r>
        <w:rPr>
          <w:rFonts w:hint="eastAsia" w:ascii="仿宋" w:hAnsi="仿宋" w:eastAsia="仿宋" w:cs="仿宋"/>
          <w:b/>
          <w:bCs/>
          <w:sz w:val="44"/>
          <w:szCs w:val="44"/>
          <w:lang w:eastAsia="zh-CN"/>
        </w:rPr>
        <w:t>井陉县信访局</w:t>
      </w:r>
      <w:r>
        <w:rPr>
          <w:rFonts w:hint="eastAsia" w:ascii="仿宋" w:hAnsi="仿宋" w:eastAsia="仿宋" w:cs="仿宋"/>
          <w:b/>
          <w:bCs/>
          <w:sz w:val="44"/>
          <w:szCs w:val="44"/>
        </w:rPr>
        <w:t>部门</w:t>
      </w:r>
    </w:p>
    <w:p w14:paraId="113FA5B2">
      <w:pPr>
        <w:spacing w:line="560" w:lineRule="exact"/>
        <w:jc w:val="center"/>
        <w:rPr>
          <w:rFonts w:ascii="宋体" w:hAnsi="宋体" w:cs="宋体"/>
          <w:b/>
          <w:bCs/>
          <w:sz w:val="44"/>
          <w:szCs w:val="44"/>
        </w:rPr>
      </w:pPr>
      <w:r>
        <w:rPr>
          <w:rFonts w:hint="eastAsia" w:ascii="仿宋" w:hAnsi="仿宋" w:eastAsia="仿宋" w:cs="仿宋"/>
          <w:b/>
          <w:bCs/>
          <w:sz w:val="44"/>
          <w:szCs w:val="44"/>
          <w:lang w:eastAsia="zh-CN"/>
        </w:rPr>
        <w:t>2025</w:t>
      </w:r>
      <w:r>
        <w:rPr>
          <w:rFonts w:hint="eastAsia" w:ascii="仿宋" w:hAnsi="仿宋" w:eastAsia="仿宋" w:cs="仿宋"/>
          <w:b/>
          <w:bCs/>
          <w:sz w:val="44"/>
          <w:szCs w:val="44"/>
        </w:rPr>
        <w:t>年度整体支出绩效自评报告</w:t>
      </w:r>
    </w:p>
    <w:p w14:paraId="38759A44">
      <w:pPr>
        <w:spacing w:line="560" w:lineRule="exact"/>
        <w:jc w:val="center"/>
        <w:rPr>
          <w:rFonts w:ascii="华文楷体" w:eastAsia="华文楷体"/>
          <w:sz w:val="32"/>
          <w:szCs w:val="32"/>
        </w:rPr>
      </w:pPr>
    </w:p>
    <w:p w14:paraId="2472B437">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贯彻落实市委市政府《关于全面落实预算绩效管理的实施意见》（石发﹝2019﹞8号）文件精神，遵循“科学性、规范性、客观性和公正性”的原则，对</w:t>
      </w:r>
      <w:r>
        <w:rPr>
          <w:rFonts w:hint="eastAsia" w:ascii="仿宋" w:hAnsi="仿宋" w:eastAsia="仿宋" w:cs="仿宋"/>
          <w:sz w:val="32"/>
          <w:szCs w:val="32"/>
          <w:lang w:eastAsia="zh-CN"/>
        </w:rPr>
        <w:t>信访局</w:t>
      </w:r>
      <w:r>
        <w:rPr>
          <w:rFonts w:hint="eastAsia" w:ascii="仿宋" w:hAnsi="仿宋" w:eastAsia="仿宋" w:cs="仿宋"/>
          <w:sz w:val="32"/>
          <w:szCs w:val="32"/>
        </w:rPr>
        <w:t>部门</w:t>
      </w:r>
      <w:r>
        <w:rPr>
          <w:rFonts w:hint="eastAsia" w:ascii="仿宋" w:hAnsi="仿宋" w:eastAsia="仿宋" w:cs="仿宋"/>
          <w:sz w:val="32"/>
          <w:szCs w:val="32"/>
          <w:lang w:eastAsia="zh-CN"/>
        </w:rPr>
        <w:t>2025</w:t>
      </w:r>
      <w:r>
        <w:rPr>
          <w:rFonts w:hint="eastAsia" w:ascii="仿宋" w:hAnsi="仿宋" w:eastAsia="仿宋" w:cs="仿宋"/>
          <w:sz w:val="32"/>
          <w:szCs w:val="32"/>
        </w:rPr>
        <w:t>年整体支出情况实施了财政支出绩效自评价，形成本评价报告。</w:t>
      </w:r>
    </w:p>
    <w:p w14:paraId="11494EA2">
      <w:pPr>
        <w:adjustRightInd w:val="0"/>
        <w:snapToGrid w:val="0"/>
        <w:spacing w:line="560" w:lineRule="exact"/>
        <w:rPr>
          <w:rFonts w:hint="eastAsia" w:ascii="仿宋" w:hAnsi="仿宋" w:eastAsia="仿宋" w:cs="仿宋"/>
          <w:b/>
          <w:bCs/>
          <w:sz w:val="32"/>
          <w:szCs w:val="32"/>
        </w:rPr>
      </w:pPr>
      <w:r>
        <w:rPr>
          <w:rFonts w:hint="eastAsia" w:ascii="仿宋" w:hAnsi="仿宋" w:eastAsia="仿宋" w:cs="仿宋"/>
          <w:sz w:val="32"/>
          <w:szCs w:val="32"/>
        </w:rPr>
        <w:t xml:space="preserve">     一、部门基本情况</w:t>
      </w:r>
    </w:p>
    <w:p w14:paraId="4463C80D">
      <w:pPr>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（一）部门概况</w:t>
      </w:r>
    </w:p>
    <w:p w14:paraId="3F47126D">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1、研究提出全县信访工作思路，起草信访工作地方性规章、制度草案。</w:t>
      </w:r>
    </w:p>
    <w:p w14:paraId="5BD77E42">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2、办理人民群众来信，接待群众来访，受理群众网上投诉，查办信访案件，负责人民群众建议征集工作。</w:t>
      </w:r>
    </w:p>
    <w:p w14:paraId="1995637A">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3、调查研究和综合分析全县信访形势及信访工作状况，总结推广各地各部门信访工作经验，提出改进和加强信访工作的意见和建议。</w:t>
      </w:r>
    </w:p>
    <w:p w14:paraId="3BA50053">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4、参与组织、协调、指导全县社会治安综合治理和维护社会政治稳定工作，协助保障国家、省、市、县重大政治活动顺利进行，参与处理影响社会政治稳定的突发性、群体性事件。</w:t>
      </w:r>
    </w:p>
    <w:p w14:paraId="0541506E">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5、督促检查和指导全县各级各部门的信访工作。对各级各部门信访工作年度责任目标进行考核，对全县社会治安综合治理和维护社会政治稳定年度责任目标中有关信访工作进行考核。</w:t>
      </w:r>
    </w:p>
    <w:p w14:paraId="55121E47">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6、协助国家、省、市信访局处理井陉县群众进京上访工作，综合协调处理跨地区、跨部门、跨行业的重要信访问题，协助公安机关维护县委、县政府机关正常工作秩序。</w:t>
      </w:r>
    </w:p>
    <w:p w14:paraId="5BFDE03B">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7、负责市、县领导及市直、县直部门领导公开接访和包联案件的组织协调工作。</w:t>
      </w:r>
    </w:p>
    <w:p w14:paraId="73376851">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8、承担井陉县信访工作联席会议的日常工作，督促落实联席会议决定的事项。</w:t>
      </w:r>
    </w:p>
    <w:p w14:paraId="67C0B70E">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9、承办县委、县政府、国家、省、市信访局交办的其他任务。</w:t>
      </w:r>
    </w:p>
    <w:p w14:paraId="72162ADE">
      <w:pPr>
        <w:spacing w:line="600" w:lineRule="exact"/>
        <w:ind w:firstLine="640" w:firstLineChars="200"/>
        <w:rPr>
          <w:rFonts w:hint="eastAsia" w:ascii="仿宋" w:hAnsi="仿宋" w:eastAsia="仿宋" w:cs="仿宋"/>
          <w:b/>
          <w:sz w:val="32"/>
          <w:szCs w:val="32"/>
        </w:rPr>
      </w:pPr>
      <w:r>
        <w:rPr>
          <w:rFonts w:hint="eastAsia" w:ascii="仿宋" w:hAnsi="仿宋" w:eastAsia="仿宋" w:cs="仿宋"/>
          <w:b w:val="0"/>
          <w:bCs/>
          <w:sz w:val="32"/>
          <w:szCs w:val="32"/>
        </w:rPr>
        <w:t>机构设置：</w:t>
      </w:r>
    </w:p>
    <w:p w14:paraId="79EB0EAE">
      <w:pPr>
        <w:spacing w:line="600" w:lineRule="exact"/>
        <w:ind w:firstLine="643" w:firstLineChars="200"/>
        <w:jc w:val="center"/>
        <w:outlineLvl w:val="0"/>
        <w:rPr>
          <w:rFonts w:hint="eastAsia" w:ascii="仿宋" w:hAnsi="仿宋" w:eastAsia="仿宋" w:cs="仿宋"/>
          <w:b/>
          <w:bCs/>
          <w:sz w:val="32"/>
          <w:szCs w:val="32"/>
        </w:rPr>
      </w:pPr>
      <w:r>
        <w:rPr>
          <w:rFonts w:hint="eastAsia" w:ascii="仿宋" w:hAnsi="仿宋" w:eastAsia="仿宋" w:cs="仿宋"/>
          <w:b/>
          <w:bCs/>
          <w:sz w:val="32"/>
          <w:szCs w:val="32"/>
        </w:rPr>
        <w:t>部门机构设置情况</w:t>
      </w:r>
    </w:p>
    <w:tbl>
      <w:tblPr>
        <w:tblStyle w:val="5"/>
        <w:tblW w:w="87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99"/>
        <w:gridCol w:w="1512"/>
        <w:gridCol w:w="1584"/>
        <w:gridCol w:w="2448"/>
      </w:tblGrid>
      <w:tr w14:paraId="0477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blHeader/>
          <w:jc w:val="center"/>
        </w:trPr>
        <w:tc>
          <w:tcPr>
            <w:tcW w:w="3199" w:type="dxa"/>
            <w:vMerge w:val="restart"/>
            <w:vAlign w:val="center"/>
          </w:tcPr>
          <w:p w14:paraId="74515824">
            <w:pPr>
              <w:spacing w:line="600" w:lineRule="exact"/>
              <w:jc w:val="center"/>
              <w:rPr>
                <w:rFonts w:hint="eastAsia" w:ascii="仿宋" w:hAnsi="仿宋" w:eastAsia="仿宋" w:cs="仿宋"/>
                <w:b/>
                <w:sz w:val="32"/>
                <w:szCs w:val="32"/>
              </w:rPr>
            </w:pPr>
            <w:r>
              <w:rPr>
                <w:rFonts w:hint="eastAsia" w:ascii="仿宋" w:hAnsi="仿宋" w:eastAsia="仿宋" w:cs="仿宋"/>
                <w:b/>
                <w:sz w:val="32"/>
                <w:szCs w:val="32"/>
              </w:rPr>
              <w:t>单位名称</w:t>
            </w:r>
          </w:p>
        </w:tc>
        <w:tc>
          <w:tcPr>
            <w:tcW w:w="1512" w:type="dxa"/>
            <w:vMerge w:val="restart"/>
            <w:vAlign w:val="center"/>
          </w:tcPr>
          <w:p w14:paraId="09A00E57">
            <w:pPr>
              <w:spacing w:line="600" w:lineRule="exact"/>
              <w:jc w:val="center"/>
              <w:rPr>
                <w:rFonts w:hint="eastAsia" w:ascii="仿宋" w:hAnsi="仿宋" w:eastAsia="仿宋" w:cs="仿宋"/>
                <w:b/>
                <w:sz w:val="32"/>
                <w:szCs w:val="32"/>
              </w:rPr>
            </w:pPr>
            <w:r>
              <w:rPr>
                <w:rFonts w:hint="eastAsia" w:ascii="仿宋" w:hAnsi="仿宋" w:eastAsia="仿宋" w:cs="仿宋"/>
                <w:b/>
                <w:sz w:val="32"/>
                <w:szCs w:val="32"/>
              </w:rPr>
              <w:t>单位性质</w:t>
            </w:r>
          </w:p>
        </w:tc>
        <w:tc>
          <w:tcPr>
            <w:tcW w:w="1584" w:type="dxa"/>
            <w:vMerge w:val="restart"/>
            <w:vAlign w:val="center"/>
          </w:tcPr>
          <w:p w14:paraId="6239B9A3">
            <w:pPr>
              <w:spacing w:line="600" w:lineRule="exact"/>
              <w:jc w:val="center"/>
              <w:rPr>
                <w:rFonts w:hint="eastAsia" w:ascii="仿宋" w:hAnsi="仿宋" w:eastAsia="仿宋" w:cs="仿宋"/>
                <w:b/>
                <w:sz w:val="32"/>
                <w:szCs w:val="32"/>
              </w:rPr>
            </w:pPr>
            <w:r>
              <w:rPr>
                <w:rFonts w:hint="eastAsia" w:ascii="仿宋" w:hAnsi="仿宋" w:eastAsia="仿宋" w:cs="仿宋"/>
                <w:b/>
                <w:sz w:val="32"/>
                <w:szCs w:val="32"/>
              </w:rPr>
              <w:t>单位规格</w:t>
            </w:r>
          </w:p>
        </w:tc>
        <w:tc>
          <w:tcPr>
            <w:tcW w:w="2448" w:type="dxa"/>
            <w:vMerge w:val="restart"/>
            <w:vAlign w:val="center"/>
          </w:tcPr>
          <w:p w14:paraId="6A2C9723">
            <w:pPr>
              <w:spacing w:line="600" w:lineRule="exact"/>
              <w:jc w:val="center"/>
              <w:rPr>
                <w:rFonts w:hint="eastAsia" w:ascii="仿宋" w:hAnsi="仿宋" w:eastAsia="仿宋" w:cs="仿宋"/>
                <w:b/>
                <w:sz w:val="32"/>
                <w:szCs w:val="32"/>
              </w:rPr>
            </w:pPr>
            <w:r>
              <w:rPr>
                <w:rFonts w:hint="eastAsia" w:ascii="仿宋" w:hAnsi="仿宋" w:eastAsia="仿宋" w:cs="仿宋"/>
                <w:b/>
                <w:sz w:val="32"/>
                <w:szCs w:val="32"/>
              </w:rPr>
              <w:t>经费保障形式</w:t>
            </w:r>
          </w:p>
        </w:tc>
      </w:tr>
      <w:tr w14:paraId="6B9B2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blHeader/>
          <w:jc w:val="center"/>
        </w:trPr>
        <w:tc>
          <w:tcPr>
            <w:tcW w:w="3199" w:type="dxa"/>
            <w:vMerge w:val="continue"/>
            <w:vAlign w:val="center"/>
          </w:tcPr>
          <w:p w14:paraId="38679D9C">
            <w:pPr>
              <w:spacing w:line="600" w:lineRule="exact"/>
              <w:ind w:firstLine="640" w:firstLineChars="200"/>
              <w:jc w:val="center"/>
              <w:outlineLvl w:val="0"/>
              <w:rPr>
                <w:rFonts w:hint="eastAsia" w:ascii="仿宋" w:hAnsi="仿宋" w:eastAsia="仿宋" w:cs="仿宋"/>
                <w:sz w:val="32"/>
                <w:szCs w:val="32"/>
              </w:rPr>
            </w:pPr>
          </w:p>
        </w:tc>
        <w:tc>
          <w:tcPr>
            <w:tcW w:w="1512" w:type="dxa"/>
            <w:vMerge w:val="continue"/>
            <w:vAlign w:val="center"/>
          </w:tcPr>
          <w:p w14:paraId="25796F71">
            <w:pPr>
              <w:spacing w:line="600" w:lineRule="exact"/>
              <w:ind w:firstLine="640" w:firstLineChars="200"/>
              <w:jc w:val="center"/>
              <w:outlineLvl w:val="0"/>
              <w:rPr>
                <w:rFonts w:hint="eastAsia" w:ascii="仿宋" w:hAnsi="仿宋" w:eastAsia="仿宋" w:cs="仿宋"/>
                <w:sz w:val="32"/>
                <w:szCs w:val="32"/>
              </w:rPr>
            </w:pPr>
          </w:p>
        </w:tc>
        <w:tc>
          <w:tcPr>
            <w:tcW w:w="1584" w:type="dxa"/>
            <w:vMerge w:val="continue"/>
            <w:vAlign w:val="center"/>
          </w:tcPr>
          <w:p w14:paraId="0AA2669B">
            <w:pPr>
              <w:spacing w:line="600" w:lineRule="exact"/>
              <w:ind w:firstLine="640" w:firstLineChars="200"/>
              <w:jc w:val="center"/>
              <w:outlineLvl w:val="0"/>
              <w:rPr>
                <w:rFonts w:hint="eastAsia" w:ascii="仿宋" w:hAnsi="仿宋" w:eastAsia="仿宋" w:cs="仿宋"/>
                <w:sz w:val="32"/>
                <w:szCs w:val="32"/>
              </w:rPr>
            </w:pPr>
          </w:p>
        </w:tc>
        <w:tc>
          <w:tcPr>
            <w:tcW w:w="2448" w:type="dxa"/>
            <w:vMerge w:val="continue"/>
            <w:vAlign w:val="center"/>
          </w:tcPr>
          <w:p w14:paraId="46170D84">
            <w:pPr>
              <w:spacing w:line="600" w:lineRule="exact"/>
              <w:ind w:firstLine="640" w:firstLineChars="200"/>
              <w:jc w:val="center"/>
              <w:outlineLvl w:val="0"/>
              <w:rPr>
                <w:rFonts w:hint="eastAsia" w:ascii="仿宋" w:hAnsi="仿宋" w:eastAsia="仿宋" w:cs="仿宋"/>
                <w:sz w:val="32"/>
                <w:szCs w:val="32"/>
              </w:rPr>
            </w:pPr>
          </w:p>
        </w:tc>
      </w:tr>
      <w:tr w14:paraId="3623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3199" w:type="dxa"/>
            <w:vAlign w:val="center"/>
          </w:tcPr>
          <w:p w14:paraId="68F8044E">
            <w:pPr>
              <w:spacing w:line="600" w:lineRule="exact"/>
              <w:jc w:val="center"/>
              <w:rPr>
                <w:rFonts w:hint="eastAsia" w:ascii="仿宋" w:hAnsi="仿宋" w:eastAsia="仿宋" w:cs="仿宋"/>
                <w:sz w:val="32"/>
                <w:szCs w:val="32"/>
              </w:rPr>
            </w:pPr>
            <w:r>
              <w:rPr>
                <w:rFonts w:hint="eastAsia" w:ascii="仿宋" w:hAnsi="仿宋" w:eastAsia="仿宋" w:cs="仿宋"/>
                <w:sz w:val="32"/>
                <w:szCs w:val="32"/>
              </w:rPr>
              <w:t>井陉县信访局</w:t>
            </w:r>
          </w:p>
        </w:tc>
        <w:tc>
          <w:tcPr>
            <w:tcW w:w="1512" w:type="dxa"/>
            <w:vAlign w:val="center"/>
          </w:tcPr>
          <w:p w14:paraId="7A846BE8">
            <w:pPr>
              <w:spacing w:line="600" w:lineRule="exact"/>
              <w:jc w:val="center"/>
              <w:rPr>
                <w:rFonts w:hint="eastAsia" w:ascii="仿宋" w:hAnsi="仿宋" w:eastAsia="仿宋" w:cs="仿宋"/>
                <w:sz w:val="32"/>
                <w:szCs w:val="32"/>
              </w:rPr>
            </w:pPr>
            <w:r>
              <w:rPr>
                <w:rFonts w:hint="eastAsia" w:ascii="仿宋" w:hAnsi="仿宋" w:eastAsia="仿宋" w:cs="仿宋"/>
                <w:sz w:val="32"/>
                <w:szCs w:val="32"/>
              </w:rPr>
              <w:t>行政</w:t>
            </w:r>
          </w:p>
        </w:tc>
        <w:tc>
          <w:tcPr>
            <w:tcW w:w="1584" w:type="dxa"/>
            <w:vAlign w:val="center"/>
          </w:tcPr>
          <w:p w14:paraId="0DE64AB3">
            <w:pPr>
              <w:spacing w:line="600" w:lineRule="exact"/>
              <w:jc w:val="center"/>
              <w:rPr>
                <w:rFonts w:hint="eastAsia" w:ascii="仿宋" w:hAnsi="仿宋" w:eastAsia="仿宋" w:cs="仿宋"/>
                <w:sz w:val="32"/>
                <w:szCs w:val="32"/>
              </w:rPr>
            </w:pPr>
            <w:r>
              <w:rPr>
                <w:rFonts w:hint="eastAsia" w:ascii="仿宋" w:hAnsi="仿宋" w:eastAsia="仿宋" w:cs="仿宋"/>
                <w:sz w:val="32"/>
                <w:szCs w:val="32"/>
              </w:rPr>
              <w:t>正科级</w:t>
            </w:r>
          </w:p>
        </w:tc>
        <w:tc>
          <w:tcPr>
            <w:tcW w:w="2448" w:type="dxa"/>
            <w:vAlign w:val="center"/>
          </w:tcPr>
          <w:p w14:paraId="07152231">
            <w:pPr>
              <w:spacing w:line="600" w:lineRule="exact"/>
              <w:jc w:val="center"/>
              <w:rPr>
                <w:rFonts w:hint="eastAsia" w:ascii="仿宋" w:hAnsi="仿宋" w:eastAsia="仿宋" w:cs="仿宋"/>
                <w:sz w:val="32"/>
                <w:szCs w:val="32"/>
              </w:rPr>
            </w:pPr>
            <w:r>
              <w:rPr>
                <w:rFonts w:hint="eastAsia" w:ascii="仿宋" w:hAnsi="仿宋" w:eastAsia="仿宋" w:cs="仿宋"/>
                <w:sz w:val="32"/>
                <w:szCs w:val="32"/>
              </w:rPr>
              <w:t>财政拨款</w:t>
            </w:r>
          </w:p>
        </w:tc>
      </w:tr>
      <w:tr w14:paraId="4801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6" w:hRule="atLeast"/>
          <w:jc w:val="center"/>
        </w:trPr>
        <w:tc>
          <w:tcPr>
            <w:tcW w:w="3199" w:type="dxa"/>
            <w:vAlign w:val="center"/>
          </w:tcPr>
          <w:p w14:paraId="4F646AAC">
            <w:pPr>
              <w:spacing w:line="600" w:lineRule="exact"/>
              <w:jc w:val="center"/>
              <w:rPr>
                <w:rFonts w:hint="eastAsia" w:ascii="仿宋" w:hAnsi="仿宋" w:eastAsia="仿宋" w:cs="仿宋"/>
                <w:sz w:val="32"/>
                <w:szCs w:val="32"/>
              </w:rPr>
            </w:pPr>
            <w:r>
              <w:rPr>
                <w:rFonts w:hint="eastAsia" w:ascii="仿宋" w:hAnsi="仿宋" w:eastAsia="仿宋" w:cs="仿宋"/>
                <w:sz w:val="32"/>
                <w:szCs w:val="32"/>
              </w:rPr>
              <w:t>井陉县信访服务中心</w:t>
            </w:r>
          </w:p>
        </w:tc>
        <w:tc>
          <w:tcPr>
            <w:tcW w:w="1512" w:type="dxa"/>
            <w:vAlign w:val="center"/>
          </w:tcPr>
          <w:p w14:paraId="6D7D7CFD">
            <w:pPr>
              <w:spacing w:line="600" w:lineRule="exact"/>
              <w:jc w:val="center"/>
              <w:rPr>
                <w:rFonts w:hint="eastAsia" w:ascii="仿宋" w:hAnsi="仿宋" w:eastAsia="仿宋" w:cs="仿宋"/>
                <w:sz w:val="32"/>
                <w:szCs w:val="32"/>
              </w:rPr>
            </w:pPr>
            <w:r>
              <w:rPr>
                <w:rFonts w:hint="eastAsia" w:ascii="仿宋" w:hAnsi="仿宋" w:eastAsia="仿宋" w:cs="仿宋"/>
                <w:sz w:val="32"/>
                <w:szCs w:val="32"/>
              </w:rPr>
              <w:t>事业</w:t>
            </w:r>
          </w:p>
        </w:tc>
        <w:tc>
          <w:tcPr>
            <w:tcW w:w="1584" w:type="dxa"/>
            <w:vAlign w:val="center"/>
          </w:tcPr>
          <w:p w14:paraId="25338325">
            <w:pPr>
              <w:spacing w:line="600" w:lineRule="exact"/>
              <w:jc w:val="center"/>
              <w:rPr>
                <w:rFonts w:hint="eastAsia" w:ascii="仿宋" w:hAnsi="仿宋" w:eastAsia="仿宋" w:cs="仿宋"/>
                <w:sz w:val="32"/>
                <w:szCs w:val="32"/>
              </w:rPr>
            </w:pPr>
            <w:r>
              <w:rPr>
                <w:rFonts w:hint="eastAsia" w:ascii="仿宋" w:hAnsi="仿宋" w:eastAsia="仿宋" w:cs="仿宋"/>
                <w:sz w:val="32"/>
                <w:szCs w:val="32"/>
              </w:rPr>
              <w:t>股级</w:t>
            </w:r>
          </w:p>
        </w:tc>
        <w:tc>
          <w:tcPr>
            <w:tcW w:w="2448" w:type="dxa"/>
            <w:vAlign w:val="center"/>
          </w:tcPr>
          <w:p w14:paraId="67A5A45E">
            <w:pPr>
              <w:spacing w:line="600" w:lineRule="exact"/>
              <w:jc w:val="center"/>
              <w:rPr>
                <w:rFonts w:hint="eastAsia" w:ascii="仿宋" w:hAnsi="仿宋" w:eastAsia="仿宋" w:cs="仿宋"/>
                <w:sz w:val="32"/>
                <w:szCs w:val="32"/>
              </w:rPr>
            </w:pPr>
            <w:r>
              <w:rPr>
                <w:rFonts w:hint="eastAsia" w:ascii="仿宋" w:hAnsi="仿宋" w:eastAsia="仿宋" w:cs="仿宋"/>
                <w:sz w:val="32"/>
                <w:szCs w:val="32"/>
              </w:rPr>
              <w:t>资金基本保证</w:t>
            </w:r>
          </w:p>
        </w:tc>
      </w:tr>
    </w:tbl>
    <w:p w14:paraId="0EBC8AEE">
      <w:pPr>
        <w:spacing w:line="600" w:lineRule="exact"/>
        <w:ind w:firstLine="640" w:firstLineChars="200"/>
        <w:rPr>
          <w:rFonts w:hint="eastAsia" w:ascii="仿宋" w:hAnsi="仿宋" w:eastAsia="仿宋" w:cs="仿宋"/>
          <w:sz w:val="32"/>
          <w:szCs w:val="32"/>
          <w:lang w:eastAsia="zh-CN"/>
        </w:rPr>
      </w:pPr>
      <w:r>
        <w:rPr>
          <w:rFonts w:hint="eastAsia" w:ascii="仿宋" w:hAnsi="仿宋" w:eastAsia="仿宋" w:cs="仿宋"/>
          <w:color w:val="000000"/>
          <w:sz w:val="32"/>
          <w:szCs w:val="32"/>
        </w:rPr>
        <w:t>我单位编制人数15人，年末实有人数</w:t>
      </w:r>
      <w:r>
        <w:rPr>
          <w:rFonts w:hint="eastAsia" w:ascii="仿宋" w:hAnsi="仿宋" w:eastAsia="仿宋" w:cs="仿宋"/>
          <w:color w:val="000000"/>
          <w:sz w:val="32"/>
          <w:szCs w:val="32"/>
          <w:lang w:val="en-US" w:eastAsia="zh-CN"/>
        </w:rPr>
        <w:t>14</w:t>
      </w:r>
      <w:r>
        <w:rPr>
          <w:rFonts w:hint="eastAsia" w:ascii="仿宋" w:hAnsi="仿宋" w:eastAsia="仿宋" w:cs="仿宋"/>
          <w:color w:val="000000"/>
          <w:sz w:val="32"/>
          <w:szCs w:val="32"/>
        </w:rPr>
        <w:t>人。</w:t>
      </w:r>
      <w:r>
        <w:rPr>
          <w:rFonts w:hint="eastAsia" w:ascii="仿宋" w:hAnsi="仿宋" w:eastAsia="仿宋" w:cs="仿宋"/>
          <w:sz w:val="32"/>
          <w:szCs w:val="32"/>
        </w:rPr>
        <w:t>截至</w:t>
      </w:r>
      <w:r>
        <w:rPr>
          <w:rFonts w:hint="eastAsia" w:ascii="仿宋" w:hAnsi="仿宋" w:eastAsia="仿宋" w:cs="仿宋"/>
          <w:sz w:val="32"/>
          <w:szCs w:val="32"/>
          <w:lang w:eastAsia="zh-CN"/>
        </w:rPr>
        <w:t>2025</w:t>
      </w:r>
      <w:r>
        <w:rPr>
          <w:rFonts w:hint="eastAsia" w:ascii="仿宋" w:hAnsi="仿宋" w:eastAsia="仿宋" w:cs="仿宋"/>
          <w:sz w:val="32"/>
          <w:szCs w:val="32"/>
        </w:rPr>
        <w:t>年12月31日，我部门/单位自用固定资产</w:t>
      </w:r>
      <w:r>
        <w:rPr>
          <w:rFonts w:hint="eastAsia" w:ascii="仿宋" w:hAnsi="仿宋" w:eastAsia="仿宋" w:cs="仿宋"/>
          <w:sz w:val="32"/>
          <w:szCs w:val="32"/>
          <w:lang w:val="en-US" w:eastAsia="zh-CN"/>
        </w:rPr>
        <w:t>240.82</w:t>
      </w:r>
      <w:r>
        <w:rPr>
          <w:rFonts w:hint="eastAsia" w:ascii="仿宋" w:hAnsi="仿宋" w:eastAsia="仿宋" w:cs="仿宋"/>
          <w:sz w:val="32"/>
          <w:szCs w:val="32"/>
        </w:rPr>
        <w:t>万元，占账面固定资产总额的100%，其中，在用</w:t>
      </w:r>
      <w:r>
        <w:rPr>
          <w:rFonts w:hint="eastAsia" w:ascii="仿宋" w:hAnsi="仿宋" w:eastAsia="仿宋" w:cs="仿宋"/>
          <w:sz w:val="32"/>
          <w:szCs w:val="32"/>
          <w:lang w:val="en-US" w:eastAsia="zh-CN"/>
        </w:rPr>
        <w:t>240.82</w:t>
      </w:r>
      <w:r>
        <w:rPr>
          <w:rFonts w:hint="eastAsia" w:ascii="仿宋" w:hAnsi="仿宋" w:eastAsia="仿宋" w:cs="仿宋"/>
          <w:sz w:val="32"/>
          <w:szCs w:val="32"/>
        </w:rPr>
        <w:t>万元，占账面固定资产总额的</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eastAsia="zh-CN"/>
        </w:rPr>
        <w:t>。</w:t>
      </w:r>
    </w:p>
    <w:p w14:paraId="74D2FC49">
      <w:pPr>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（二）部门收支预决算情况</w:t>
      </w:r>
    </w:p>
    <w:p w14:paraId="66ACEBBB">
      <w:pPr>
        <w:spacing w:line="60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 </w:t>
      </w:r>
      <w:r>
        <w:rPr>
          <w:rFonts w:hint="eastAsia" w:ascii="仿宋" w:hAnsi="仿宋" w:eastAsia="仿宋" w:cs="仿宋"/>
          <w:sz w:val="32"/>
          <w:szCs w:val="32"/>
          <w:lang w:eastAsia="zh-CN"/>
        </w:rPr>
        <w:t>2025</w:t>
      </w:r>
      <w:r>
        <w:rPr>
          <w:rFonts w:hint="eastAsia" w:ascii="仿宋" w:hAnsi="仿宋" w:eastAsia="仿宋" w:cs="仿宋"/>
          <w:sz w:val="32"/>
          <w:szCs w:val="32"/>
        </w:rPr>
        <w:t>年部门收支预决算为</w:t>
      </w:r>
      <w:r>
        <w:rPr>
          <w:rFonts w:hint="eastAsia" w:ascii="仿宋" w:hAnsi="仿宋" w:eastAsia="仿宋" w:cs="仿宋"/>
          <w:sz w:val="32"/>
          <w:szCs w:val="32"/>
          <w:lang w:val="en-US" w:eastAsia="zh-CN"/>
        </w:rPr>
        <w:t>402.53</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208.44</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192.71</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15.73</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194.09</w:t>
      </w:r>
      <w:r>
        <w:rPr>
          <w:rFonts w:hint="eastAsia" w:ascii="仿宋" w:hAnsi="仿宋" w:eastAsia="仿宋" w:cs="仿宋"/>
          <w:sz w:val="32"/>
          <w:szCs w:val="32"/>
        </w:rPr>
        <w:t>万元，主要为</w:t>
      </w:r>
      <w:r>
        <w:rPr>
          <w:rFonts w:hint="eastAsia" w:ascii="仿宋" w:hAnsi="仿宋" w:eastAsia="仿宋" w:cs="仿宋"/>
          <w:sz w:val="32"/>
          <w:szCs w:val="32"/>
          <w:lang w:val="en-US" w:eastAsia="zh-CN"/>
        </w:rPr>
        <w:t>2025年</w:t>
      </w:r>
      <w:r>
        <w:rPr>
          <w:rFonts w:hint="eastAsia" w:ascii="仿宋" w:hAnsi="仿宋" w:eastAsia="仿宋" w:cs="仿宋"/>
          <w:sz w:val="32"/>
          <w:szCs w:val="32"/>
        </w:rPr>
        <w:t>信访防范</w:t>
      </w:r>
      <w:r>
        <w:rPr>
          <w:rFonts w:hint="eastAsia" w:ascii="仿宋" w:hAnsi="仿宋" w:eastAsia="仿宋" w:cs="仿宋"/>
          <w:sz w:val="32"/>
          <w:szCs w:val="32"/>
          <w:lang w:eastAsia="zh-CN"/>
        </w:rPr>
        <w:t>经费</w:t>
      </w:r>
      <w:r>
        <w:rPr>
          <w:rFonts w:hint="eastAsia" w:ascii="仿宋" w:hAnsi="仿宋" w:eastAsia="仿宋" w:cs="仿宋"/>
          <w:sz w:val="32"/>
          <w:szCs w:val="32"/>
        </w:rPr>
        <w:t>支出</w:t>
      </w:r>
      <w:r>
        <w:rPr>
          <w:rFonts w:hint="eastAsia" w:ascii="仿宋" w:hAnsi="仿宋" w:eastAsia="仿宋" w:cs="仿宋"/>
          <w:sz w:val="32"/>
          <w:szCs w:val="32"/>
          <w:lang w:val="en-US" w:eastAsia="zh-CN"/>
        </w:rPr>
        <w:t>169.40</w:t>
      </w:r>
      <w:r>
        <w:rPr>
          <w:rFonts w:hint="eastAsia" w:ascii="仿宋" w:hAnsi="仿宋" w:eastAsia="仿宋" w:cs="仿宋"/>
          <w:sz w:val="32"/>
          <w:szCs w:val="32"/>
        </w:rPr>
        <w:t>万元，</w:t>
      </w:r>
      <w:r>
        <w:rPr>
          <w:rFonts w:hint="eastAsia" w:ascii="仿宋" w:hAnsi="仿宋" w:eastAsia="仿宋" w:cs="仿宋"/>
          <w:sz w:val="32"/>
          <w:szCs w:val="32"/>
          <w:lang w:val="en-US" w:eastAsia="zh-CN"/>
        </w:rPr>
        <w:t>2025年</w:t>
      </w:r>
      <w:r>
        <w:rPr>
          <w:rFonts w:hint="eastAsia" w:ascii="仿宋" w:hAnsi="仿宋" w:eastAsia="仿宋" w:cs="仿宋"/>
          <w:sz w:val="32"/>
          <w:szCs w:val="32"/>
        </w:rPr>
        <w:t>群众工作中心正常运转支出</w:t>
      </w:r>
      <w:r>
        <w:rPr>
          <w:rFonts w:hint="eastAsia" w:ascii="仿宋" w:hAnsi="仿宋" w:eastAsia="仿宋" w:cs="仿宋"/>
          <w:sz w:val="32"/>
          <w:szCs w:val="32"/>
          <w:lang w:val="en-US" w:eastAsia="zh-CN"/>
        </w:rPr>
        <w:t>12</w:t>
      </w:r>
      <w:r>
        <w:rPr>
          <w:rFonts w:hint="eastAsia" w:ascii="仿宋" w:hAnsi="仿宋" w:eastAsia="仿宋" w:cs="仿宋"/>
          <w:sz w:val="32"/>
          <w:szCs w:val="32"/>
        </w:rPr>
        <w:t>万元；</w:t>
      </w:r>
      <w:r>
        <w:rPr>
          <w:rFonts w:hint="eastAsia" w:ascii="仿宋" w:hAnsi="仿宋" w:eastAsia="仿宋" w:cs="仿宋"/>
          <w:sz w:val="32"/>
          <w:szCs w:val="32"/>
          <w:lang w:eastAsia="zh-CN"/>
        </w:rPr>
        <w:t>信访局办公室修缮费</w:t>
      </w:r>
      <w:r>
        <w:rPr>
          <w:rFonts w:hint="eastAsia" w:ascii="仿宋" w:hAnsi="仿宋" w:eastAsia="仿宋" w:cs="仿宋"/>
          <w:sz w:val="32"/>
          <w:szCs w:val="32"/>
          <w:lang w:val="en-US" w:eastAsia="zh-CN"/>
        </w:rPr>
        <w:t>12.69</w:t>
      </w:r>
      <w:r>
        <w:rPr>
          <w:rFonts w:hint="eastAsia" w:ascii="仿宋" w:hAnsi="仿宋" w:eastAsia="仿宋" w:cs="仿宋"/>
          <w:sz w:val="32"/>
          <w:szCs w:val="32"/>
        </w:rPr>
        <w:t>万元。</w:t>
      </w:r>
    </w:p>
    <w:p w14:paraId="65EA75F9">
      <w:pPr>
        <w:numPr>
          <w:ilvl w:val="0"/>
          <w:numId w:val="1"/>
        </w:numPr>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部门整体支出绩效目标、指标</w:t>
      </w:r>
    </w:p>
    <w:p w14:paraId="093F116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继续深入贯彻落实信访体制改革，进一步提高信访干部业务能力，提升信访事务管理水平；畅通信访渠道，减少信访案件，化解社会矛盾，维护群众权益、密切党群干群关系、推动科学发展、维护社会和谐稳定</w:t>
      </w:r>
    </w:p>
    <w:p w14:paraId="0EF15F21">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绩效指标：信访事项“三率”（及时受理率、按期答复率、群众满意率）综合得分在全市名列前茅，曾连续六个月排名全市第一，多次受到市信访联席办通报表扬及县相关会议表扬。</w:t>
      </w:r>
    </w:p>
    <w:p w14:paraId="242DA14E">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二、自评工作开展情况</w:t>
      </w:r>
    </w:p>
    <w:p w14:paraId="69A57F5B">
      <w:pPr>
        <w:spacing w:line="560" w:lineRule="exact"/>
        <w:ind w:firstLine="642"/>
        <w:rPr>
          <w:rFonts w:hint="eastAsia" w:ascii="仿宋" w:hAnsi="仿宋" w:eastAsia="仿宋" w:cs="仿宋"/>
          <w:bCs/>
          <w:sz w:val="32"/>
          <w:szCs w:val="32"/>
        </w:rPr>
      </w:pPr>
      <w:r>
        <w:rPr>
          <w:rFonts w:hint="eastAsia" w:ascii="仿宋" w:hAnsi="仿宋" w:eastAsia="仿宋" w:cs="仿宋"/>
          <w:bCs/>
          <w:sz w:val="32"/>
          <w:szCs w:val="32"/>
        </w:rPr>
        <w:t>（一）自评的组织工作</w:t>
      </w:r>
    </w:p>
    <w:p w14:paraId="4E2531EA">
      <w:pPr>
        <w:spacing w:line="560" w:lineRule="exact"/>
        <w:ind w:firstLine="642"/>
        <w:rPr>
          <w:rFonts w:hint="eastAsia" w:ascii="仿宋" w:hAnsi="仿宋" w:eastAsia="仿宋" w:cs="仿宋"/>
          <w:sz w:val="32"/>
          <w:szCs w:val="32"/>
        </w:rPr>
      </w:pPr>
      <w:r>
        <w:rPr>
          <w:rFonts w:hint="eastAsia" w:ascii="仿宋" w:hAnsi="仿宋" w:eastAsia="仿宋" w:cs="仿宋"/>
          <w:bCs/>
          <w:sz w:val="32"/>
          <w:szCs w:val="32"/>
        </w:rPr>
        <w:t>信访局</w:t>
      </w:r>
      <w:r>
        <w:rPr>
          <w:rFonts w:hint="eastAsia" w:ascii="仿宋" w:hAnsi="仿宋" w:eastAsia="仿宋" w:cs="仿宋"/>
          <w:color w:val="242424"/>
          <w:sz w:val="32"/>
          <w:szCs w:val="32"/>
          <w:shd w:val="clear" w:color="auto" w:fill="FFFFFF"/>
        </w:rPr>
        <w:t>为加强整体支出绩效评价工作，成立了绩效评价工作领导小组，负责绩效评价的具体工作。工作组构成如下：组长：副局长；副组长：办公室主任;成员：督查室主任、办案室主任、会计。领导小组负责领导、组织和协调项目支出绩效自评和整体支出绩效自评工作。</w:t>
      </w:r>
    </w:p>
    <w:p w14:paraId="00A4FE71">
      <w:pPr>
        <w:numPr>
          <w:ilvl w:val="0"/>
          <w:numId w:val="2"/>
        </w:numPr>
        <w:spacing w:line="560" w:lineRule="exact"/>
        <w:rPr>
          <w:rFonts w:hint="eastAsia" w:ascii="仿宋" w:hAnsi="仿宋" w:eastAsia="仿宋" w:cs="仿宋"/>
          <w:bCs/>
          <w:sz w:val="32"/>
          <w:szCs w:val="32"/>
        </w:rPr>
      </w:pPr>
      <w:r>
        <w:rPr>
          <w:rFonts w:hint="eastAsia" w:ascii="仿宋" w:hAnsi="仿宋" w:eastAsia="仿宋" w:cs="仿宋"/>
          <w:bCs/>
          <w:sz w:val="32"/>
          <w:szCs w:val="32"/>
        </w:rPr>
        <w:t>自评的方法和过程</w:t>
      </w:r>
    </w:p>
    <w:p w14:paraId="65C51A73">
      <w:pPr>
        <w:pStyle w:val="4"/>
        <w:shd w:val="clear" w:color="auto" w:fill="FFFFFF"/>
        <w:spacing w:before="0" w:beforeAutospacing="0" w:after="0" w:afterAutospacing="0" w:line="60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 </w:t>
      </w:r>
      <w:r>
        <w:rPr>
          <w:rFonts w:hint="eastAsia" w:ascii="仿宋" w:hAnsi="仿宋" w:eastAsia="仿宋" w:cs="仿宋"/>
          <w:color w:val="333333"/>
          <w:spacing w:val="8"/>
          <w:sz w:val="32"/>
          <w:szCs w:val="32"/>
          <w:shd w:val="clear" w:color="auto" w:fill="FFFFFF"/>
        </w:rPr>
        <w:t>通过开展部门预算绩效评价，了解部门预算是否达到了预期目标，资金管理是否规范、资金使用是否有效，分析存在的问题及原因，及时总结经验，改进管理措施，不断增强和落实绩效管理，提高财政资金的运行效率。</w:t>
      </w:r>
    </w:p>
    <w:p w14:paraId="62AB73FE">
      <w:pPr>
        <w:spacing w:line="560" w:lineRule="exact"/>
        <w:rPr>
          <w:rFonts w:hint="eastAsia" w:ascii="仿宋" w:hAnsi="仿宋" w:eastAsia="仿宋" w:cs="仿宋"/>
          <w:b/>
          <w:bCs/>
          <w:sz w:val="32"/>
          <w:szCs w:val="32"/>
        </w:rPr>
      </w:pPr>
      <w:r>
        <w:rPr>
          <w:rFonts w:hint="eastAsia" w:ascii="仿宋" w:hAnsi="仿宋" w:eastAsia="仿宋" w:cs="仿宋"/>
          <w:sz w:val="32"/>
          <w:szCs w:val="32"/>
        </w:rPr>
        <w:t xml:space="preserve">    三、部门整体支出绩效目标实现情况及指标分析</w:t>
      </w:r>
    </w:p>
    <w:p w14:paraId="01E8EEE5">
      <w:pPr>
        <w:numPr>
          <w:ilvl w:val="0"/>
          <w:numId w:val="3"/>
        </w:num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总体绩效目标实现情况</w:t>
      </w:r>
    </w:p>
    <w:p w14:paraId="738308A5">
      <w:pPr>
        <w:spacing w:line="600" w:lineRule="exact"/>
        <w:ind w:firstLine="640" w:firstLineChars="200"/>
        <w:rPr>
          <w:rFonts w:hint="eastAsia" w:ascii="仿宋" w:hAnsi="仿宋" w:eastAsia="仿宋" w:cs="仿宋"/>
          <w:sz w:val="32"/>
          <w:szCs w:val="32"/>
        </w:rPr>
      </w:pPr>
      <w:bookmarkStart w:id="0" w:name="OLE_LINK1"/>
      <w:r>
        <w:rPr>
          <w:rFonts w:hint="eastAsia" w:ascii="仿宋" w:hAnsi="仿宋" w:eastAsia="仿宋" w:cs="仿宋"/>
          <w:color w:val="000000"/>
          <w:sz w:val="32"/>
          <w:szCs w:val="32"/>
          <w:lang w:val="en-US" w:eastAsia="zh-CN"/>
        </w:rPr>
        <w:t>2025年</w:t>
      </w:r>
      <w:bookmarkEnd w:id="0"/>
      <w:r>
        <w:rPr>
          <w:rFonts w:hint="eastAsia" w:ascii="仿宋" w:hAnsi="仿宋" w:eastAsia="仿宋" w:cs="仿宋"/>
          <w:color w:val="000000"/>
          <w:sz w:val="32"/>
          <w:szCs w:val="32"/>
        </w:rPr>
        <w:t>信访防范经费项目绩效自评得分85.5分；</w:t>
      </w:r>
      <w:r>
        <w:rPr>
          <w:rFonts w:hint="eastAsia" w:ascii="仿宋" w:hAnsi="仿宋" w:eastAsia="仿宋" w:cs="仿宋"/>
          <w:color w:val="000000"/>
          <w:sz w:val="32"/>
          <w:szCs w:val="32"/>
          <w:lang w:val="en-US" w:eastAsia="zh-CN"/>
        </w:rPr>
        <w:t>2025年</w:t>
      </w:r>
      <w:r>
        <w:rPr>
          <w:rFonts w:hint="eastAsia" w:ascii="仿宋" w:hAnsi="仿宋" w:eastAsia="仿宋" w:cs="仿宋"/>
          <w:color w:val="000000"/>
          <w:sz w:val="32"/>
          <w:szCs w:val="32"/>
        </w:rPr>
        <w:t>群众工作中心运转经费项目绩效自评得分</w:t>
      </w:r>
      <w:r>
        <w:rPr>
          <w:rFonts w:hint="eastAsia" w:ascii="仿宋" w:hAnsi="仿宋" w:eastAsia="仿宋" w:cs="仿宋"/>
          <w:color w:val="000000"/>
          <w:sz w:val="32"/>
          <w:szCs w:val="32"/>
          <w:lang w:val="en-US" w:eastAsia="zh-CN"/>
        </w:rPr>
        <w:t>84</w:t>
      </w:r>
      <w:r>
        <w:rPr>
          <w:rFonts w:hint="eastAsia" w:ascii="仿宋" w:hAnsi="仿宋" w:eastAsia="仿宋" w:cs="仿宋"/>
          <w:color w:val="000000"/>
          <w:sz w:val="32"/>
          <w:szCs w:val="32"/>
        </w:rPr>
        <w:t>分；信访局办公室修缮费</w:t>
      </w:r>
      <w:r>
        <w:rPr>
          <w:rFonts w:hint="eastAsia" w:ascii="仿宋" w:hAnsi="仿宋" w:eastAsia="仿宋" w:cs="仿宋"/>
          <w:color w:val="000000"/>
          <w:sz w:val="32"/>
          <w:szCs w:val="32"/>
          <w:lang w:val="en-US" w:eastAsia="zh-CN"/>
        </w:rPr>
        <w:t>82</w:t>
      </w:r>
      <w:r>
        <w:rPr>
          <w:rFonts w:hint="eastAsia" w:ascii="仿宋" w:hAnsi="仿宋" w:eastAsia="仿宋" w:cs="仿宋"/>
          <w:color w:val="000000"/>
          <w:sz w:val="32"/>
          <w:szCs w:val="32"/>
        </w:rPr>
        <w:t>分</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各个项目自评得分级别均达到“良好”以上。</w:t>
      </w:r>
    </w:p>
    <w:p w14:paraId="7BF70597">
      <w:pPr>
        <w:spacing w:line="560" w:lineRule="exact"/>
        <w:rPr>
          <w:rFonts w:hint="eastAsia" w:ascii="仿宋" w:hAnsi="仿宋" w:eastAsia="仿宋" w:cs="仿宋"/>
          <w:bCs/>
          <w:sz w:val="32"/>
          <w:szCs w:val="32"/>
        </w:rPr>
      </w:pPr>
      <w:r>
        <w:rPr>
          <w:rFonts w:hint="eastAsia" w:ascii="仿宋" w:hAnsi="仿宋" w:eastAsia="仿宋" w:cs="仿宋"/>
          <w:b/>
          <w:bCs/>
          <w:sz w:val="32"/>
          <w:szCs w:val="32"/>
        </w:rPr>
        <w:t xml:space="preserve">    </w:t>
      </w:r>
      <w:r>
        <w:rPr>
          <w:rFonts w:hint="eastAsia" w:ascii="仿宋" w:hAnsi="仿宋" w:eastAsia="仿宋" w:cs="仿宋"/>
          <w:bCs/>
          <w:sz w:val="32"/>
          <w:szCs w:val="32"/>
        </w:rPr>
        <w:t>（二）分项绩效目标实现情况及指标分析</w:t>
      </w:r>
    </w:p>
    <w:p w14:paraId="55F5C80F">
      <w:pPr>
        <w:keepNext w:val="0"/>
        <w:keepLines w:val="0"/>
        <w:pageBreakBefore w:val="0"/>
        <w:widowControl w:val="0"/>
        <w:kinsoku/>
        <w:wordWrap/>
        <w:overflowPunct/>
        <w:topLinePunct w:val="0"/>
        <w:autoSpaceDE w:val="0"/>
        <w:autoSpaceDN/>
        <w:bidi w:val="0"/>
        <w:adjustRightInd/>
        <w:snapToGrid/>
        <w:spacing w:line="58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今年以来，井陉县坚持和发展新时代“枫桥经验”和“浦江经验”，全面推进信访工作法治化，大力进行进京访治理，</w:t>
      </w:r>
    </w:p>
    <w:p w14:paraId="1C794CE4">
      <w:pPr>
        <w:keepNext w:val="0"/>
        <w:keepLines w:val="0"/>
        <w:pageBreakBefore w:val="0"/>
        <w:widowControl w:val="0"/>
        <w:kinsoku/>
        <w:wordWrap/>
        <w:overflowPunct/>
        <w:topLinePunct w:val="0"/>
        <w:autoSpaceDN/>
        <w:bidi w:val="0"/>
        <w:adjustRightInd/>
        <w:snapToGrid/>
        <w:spacing w:line="600"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将</w:t>
      </w:r>
      <w:r>
        <w:rPr>
          <w:rFonts w:hint="eastAsia" w:ascii="仿宋" w:hAnsi="仿宋" w:eastAsia="仿宋" w:cs="仿宋"/>
          <w:b w:val="0"/>
          <w:bCs w:val="0"/>
          <w:sz w:val="32"/>
          <w:szCs w:val="32"/>
        </w:rPr>
        <w:t>绝大多数隐患消灭在萌芽状态，牢牢把握信访工作主动权</w:t>
      </w:r>
      <w:r>
        <w:rPr>
          <w:rFonts w:hint="eastAsia" w:ascii="仿宋" w:hAnsi="仿宋" w:eastAsia="仿宋" w:cs="仿宋"/>
          <w:b w:val="0"/>
          <w:bCs w:val="0"/>
          <w:sz w:val="32"/>
          <w:szCs w:val="32"/>
          <w:lang w:eastAsia="zh-CN"/>
        </w:rPr>
        <w:t>。截至</w:t>
      </w:r>
      <w:r>
        <w:rPr>
          <w:rFonts w:hint="eastAsia" w:ascii="仿宋" w:hAnsi="仿宋" w:eastAsia="仿宋" w:cs="仿宋"/>
          <w:b w:val="0"/>
          <w:bCs w:val="0"/>
          <w:sz w:val="32"/>
          <w:szCs w:val="32"/>
          <w:lang w:val="en-US" w:eastAsia="zh-CN"/>
        </w:rPr>
        <w:t>2025年底，</w:t>
      </w:r>
      <w:r>
        <w:rPr>
          <w:rFonts w:hint="eastAsia" w:ascii="仿宋" w:hAnsi="仿宋" w:eastAsia="仿宋" w:cs="仿宋"/>
          <w:b w:val="0"/>
          <w:bCs w:val="0"/>
          <w:sz w:val="32"/>
          <w:szCs w:val="32"/>
        </w:rPr>
        <w:t>发生进京访</w:t>
      </w:r>
      <w:r>
        <w:rPr>
          <w:rFonts w:hint="eastAsia" w:ascii="仿宋" w:hAnsi="仿宋" w:eastAsia="仿宋" w:cs="仿宋"/>
          <w:b w:val="0"/>
          <w:bCs w:val="0"/>
          <w:sz w:val="32"/>
          <w:szCs w:val="32"/>
          <w:lang w:val="en-US" w:eastAsia="zh-CN"/>
        </w:rPr>
        <w:t>11</w:t>
      </w:r>
      <w:r>
        <w:rPr>
          <w:rFonts w:hint="eastAsia" w:ascii="仿宋" w:hAnsi="仿宋" w:eastAsia="仿宋" w:cs="仿宋"/>
          <w:b w:val="0"/>
          <w:bCs w:val="0"/>
          <w:sz w:val="32"/>
          <w:szCs w:val="32"/>
        </w:rPr>
        <w:t>批</w:t>
      </w:r>
      <w:r>
        <w:rPr>
          <w:rFonts w:hint="eastAsia" w:ascii="仿宋" w:hAnsi="仿宋" w:eastAsia="仿宋" w:cs="仿宋"/>
          <w:b w:val="0"/>
          <w:bCs w:val="0"/>
          <w:sz w:val="32"/>
          <w:szCs w:val="32"/>
          <w:lang w:val="en-US" w:eastAsia="zh-CN"/>
        </w:rPr>
        <w:t>12</w:t>
      </w:r>
      <w:r>
        <w:rPr>
          <w:rFonts w:hint="eastAsia" w:ascii="仿宋" w:hAnsi="仿宋" w:eastAsia="仿宋" w:cs="仿宋"/>
          <w:b w:val="0"/>
          <w:bCs w:val="0"/>
          <w:sz w:val="32"/>
          <w:szCs w:val="32"/>
        </w:rPr>
        <w:t>人次，批次</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人次</w:t>
      </w:r>
      <w:r>
        <w:rPr>
          <w:rFonts w:hint="eastAsia" w:ascii="仿宋" w:hAnsi="仿宋" w:eastAsia="仿宋" w:cs="仿宋"/>
          <w:b w:val="0"/>
          <w:bCs w:val="0"/>
          <w:sz w:val="32"/>
          <w:szCs w:val="32"/>
          <w:lang w:eastAsia="zh-CN"/>
        </w:rPr>
        <w:t>同比分别</w:t>
      </w:r>
      <w:r>
        <w:rPr>
          <w:rFonts w:hint="eastAsia" w:ascii="仿宋" w:hAnsi="仿宋" w:eastAsia="仿宋" w:cs="仿宋"/>
          <w:b w:val="0"/>
          <w:bCs w:val="0"/>
          <w:sz w:val="32"/>
          <w:szCs w:val="32"/>
        </w:rPr>
        <w:t>下降</w:t>
      </w:r>
      <w:r>
        <w:rPr>
          <w:rFonts w:hint="eastAsia" w:ascii="仿宋" w:hAnsi="仿宋" w:eastAsia="仿宋" w:cs="仿宋"/>
          <w:b w:val="0"/>
          <w:bCs w:val="0"/>
          <w:sz w:val="32"/>
          <w:szCs w:val="32"/>
          <w:lang w:val="en-US" w:eastAsia="zh-CN"/>
        </w:rPr>
        <w:t>27.3</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25.0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2024年1月1日至12月31日为14批15人次</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进京访</w:t>
      </w:r>
      <w:bookmarkStart w:id="1" w:name="_GoBack"/>
      <w:bookmarkEnd w:id="1"/>
      <w:r>
        <w:rPr>
          <w:rFonts w:hint="eastAsia" w:ascii="仿宋" w:hAnsi="仿宋" w:eastAsia="仿宋" w:cs="仿宋"/>
          <w:b w:val="0"/>
          <w:bCs w:val="0"/>
          <w:sz w:val="32"/>
          <w:szCs w:val="32"/>
          <w:lang w:eastAsia="zh-CN"/>
        </w:rPr>
        <w:t>下降，全</w:t>
      </w:r>
      <w:r>
        <w:rPr>
          <w:rFonts w:hint="eastAsia" w:ascii="仿宋" w:hAnsi="仿宋" w:eastAsia="仿宋" w:cs="仿宋"/>
          <w:b w:val="0"/>
          <w:bCs w:val="0"/>
          <w:sz w:val="32"/>
          <w:szCs w:val="32"/>
        </w:rPr>
        <w:t>县信访形势总体平稳可控，信访工作法治化和进京访治理效果初显。</w:t>
      </w:r>
    </w:p>
    <w:p w14:paraId="10301BD7">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四、评价结论和评价等级</w:t>
      </w:r>
    </w:p>
    <w:p w14:paraId="165F9D7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部门整体支出综合绩效评价得分87.5分，等级优秀。</w:t>
      </w:r>
    </w:p>
    <w:p w14:paraId="3FBFB224">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五、存在的问题及改进措施</w:t>
      </w:r>
    </w:p>
    <w:p w14:paraId="4CD1C518">
      <w:p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（一）存在的主要问题</w:t>
      </w:r>
    </w:p>
    <w:p w14:paraId="6F646E44">
      <w:pPr>
        <w:spacing w:line="600" w:lineRule="exact"/>
        <w:ind w:firstLine="640" w:firstLineChars="200"/>
        <w:rPr>
          <w:rFonts w:hint="eastAsia" w:ascii="仿宋" w:hAnsi="仿宋" w:eastAsia="仿宋" w:cs="仿宋"/>
          <w:bCs/>
          <w:sz w:val="32"/>
          <w:szCs w:val="32"/>
        </w:rPr>
      </w:pPr>
      <w:r>
        <w:rPr>
          <w:rFonts w:hint="eastAsia" w:ascii="仿宋" w:hAnsi="仿宋" w:eastAsia="仿宋" w:cs="仿宋"/>
          <w:sz w:val="32"/>
          <w:szCs w:val="32"/>
        </w:rPr>
        <w:t>一是提高政治站位，强化责任意识。深入贯彻落实县财政局关于全面实施预算绩效管理精神，严格按照《县级部门绩效运行监控管理暂行办法》的通知要求，牢固树立“我要有绩效”的理念，夯实预算执行主体责任。二是发挥部门职责与项目相结合，构建部门整体监控体系。建立以部门监控为基础、紧盯重点项目的监控机制，对部门整体支出和重点项目支出同时实施监控，提高绩效监控的针对性和有效性。与业务部门协商沟通，分析偏离原因，及时调整预算及目标。</w:t>
      </w:r>
    </w:p>
    <w:p w14:paraId="6FB5BD31">
      <w:pPr>
        <w:numPr>
          <w:ilvl w:val="0"/>
          <w:numId w:val="3"/>
        </w:numPr>
        <w:spacing w:line="560" w:lineRule="exact"/>
        <w:ind w:left="0" w:leftChars="0" w:firstLine="640" w:firstLineChars="200"/>
        <w:rPr>
          <w:rFonts w:hint="eastAsia" w:ascii="仿宋" w:hAnsi="仿宋" w:eastAsia="仿宋" w:cs="仿宋"/>
          <w:bCs/>
          <w:sz w:val="32"/>
          <w:szCs w:val="32"/>
        </w:rPr>
      </w:pPr>
      <w:r>
        <w:rPr>
          <w:rFonts w:hint="eastAsia" w:ascii="仿宋" w:hAnsi="仿宋" w:eastAsia="仿宋" w:cs="仿宋"/>
          <w:bCs/>
          <w:sz w:val="32"/>
          <w:szCs w:val="32"/>
        </w:rPr>
        <w:t>针对问题提出具体的改进措施或建议</w:t>
      </w:r>
    </w:p>
    <w:p w14:paraId="2607CBFA">
      <w:pPr>
        <w:spacing w:line="60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 </w:t>
      </w:r>
      <w:r>
        <w:rPr>
          <w:rFonts w:hint="eastAsia" w:ascii="仿宋" w:hAnsi="仿宋" w:eastAsia="仿宋" w:cs="仿宋"/>
          <w:sz w:val="32"/>
          <w:szCs w:val="32"/>
        </w:rPr>
        <w:t>加强对项目工作的全面领导和监督，便于及时发现项目运行过程中出现的问题并加以改进，防止在项目执行过程中出现偏差。专款专用，严格按项目规范要求，做到专款专用，确保项目工作顺利开展。</w:t>
      </w:r>
    </w:p>
    <w:p w14:paraId="587D0F55">
      <w:pPr>
        <w:numPr>
          <w:ilvl w:val="0"/>
          <w:numId w:val="4"/>
        </w:num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评价工作组人员名单及签字（姓名、工作单位、职务、职称）</w:t>
      </w:r>
    </w:p>
    <w:tbl>
      <w:tblPr>
        <w:tblStyle w:val="5"/>
        <w:tblpPr w:leftFromText="180" w:rightFromText="180" w:vertAnchor="text" w:horzAnchor="page" w:tblpXSpec="center" w:tblpY="327"/>
        <w:tblOverlap w:val="never"/>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14:paraId="066AA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30" w:type="dxa"/>
            <w:vAlign w:val="center"/>
          </w:tcPr>
          <w:p w14:paraId="61AC37A3">
            <w:pPr>
              <w:pStyle w:val="4"/>
              <w:spacing w:before="0" w:beforeAutospacing="0" w:after="0" w:afterAutospacing="0" w:line="600" w:lineRule="exact"/>
              <w:ind w:firstLine="675" w:firstLineChars="200"/>
              <w:jc w:val="both"/>
              <w:rPr>
                <w:rFonts w:hint="eastAsia" w:ascii="仿宋" w:hAnsi="仿宋" w:eastAsia="仿宋" w:cs="仿宋"/>
                <w:b/>
                <w:bCs/>
                <w:color w:val="333333"/>
                <w:spacing w:val="8"/>
                <w:sz w:val="32"/>
                <w:szCs w:val="32"/>
                <w:shd w:val="clear" w:color="auto" w:fill="FFFFFF"/>
              </w:rPr>
            </w:pPr>
            <w:r>
              <w:rPr>
                <w:rFonts w:hint="eastAsia" w:ascii="仿宋" w:hAnsi="仿宋" w:eastAsia="仿宋" w:cs="仿宋"/>
                <w:b/>
                <w:bCs/>
                <w:color w:val="333333"/>
                <w:spacing w:val="8"/>
                <w:sz w:val="32"/>
                <w:szCs w:val="32"/>
                <w:shd w:val="clear" w:color="auto" w:fill="FFFFFF"/>
              </w:rPr>
              <w:t>姓名</w:t>
            </w:r>
          </w:p>
        </w:tc>
        <w:tc>
          <w:tcPr>
            <w:tcW w:w="2130" w:type="dxa"/>
            <w:vAlign w:val="center"/>
          </w:tcPr>
          <w:p w14:paraId="7F6D4582">
            <w:pPr>
              <w:pStyle w:val="4"/>
              <w:spacing w:before="0" w:beforeAutospacing="0" w:after="0" w:afterAutospacing="0" w:line="600" w:lineRule="exact"/>
              <w:ind w:firstLine="337" w:firstLineChars="100"/>
              <w:jc w:val="both"/>
              <w:rPr>
                <w:rFonts w:hint="eastAsia" w:ascii="仿宋" w:hAnsi="仿宋" w:eastAsia="仿宋" w:cs="仿宋"/>
                <w:b/>
                <w:bCs/>
                <w:color w:val="333333"/>
                <w:spacing w:val="8"/>
                <w:sz w:val="32"/>
                <w:szCs w:val="32"/>
                <w:shd w:val="clear" w:color="auto" w:fill="FFFFFF"/>
              </w:rPr>
            </w:pPr>
            <w:r>
              <w:rPr>
                <w:rFonts w:hint="eastAsia" w:ascii="仿宋" w:hAnsi="仿宋" w:eastAsia="仿宋" w:cs="仿宋"/>
                <w:b/>
                <w:bCs/>
                <w:color w:val="333333"/>
                <w:spacing w:val="8"/>
                <w:sz w:val="32"/>
                <w:szCs w:val="32"/>
                <w:shd w:val="clear" w:color="auto" w:fill="FFFFFF"/>
              </w:rPr>
              <w:t>工作单位</w:t>
            </w:r>
          </w:p>
        </w:tc>
        <w:tc>
          <w:tcPr>
            <w:tcW w:w="2131" w:type="dxa"/>
            <w:vAlign w:val="center"/>
          </w:tcPr>
          <w:p w14:paraId="21913F85">
            <w:pPr>
              <w:pStyle w:val="4"/>
              <w:spacing w:before="0" w:beforeAutospacing="0" w:after="0" w:afterAutospacing="0" w:line="600" w:lineRule="exact"/>
              <w:ind w:firstLine="675" w:firstLineChars="200"/>
              <w:jc w:val="both"/>
              <w:rPr>
                <w:rFonts w:hint="eastAsia" w:ascii="仿宋" w:hAnsi="仿宋" w:eastAsia="仿宋" w:cs="仿宋"/>
                <w:b/>
                <w:bCs/>
                <w:color w:val="333333"/>
                <w:spacing w:val="8"/>
                <w:sz w:val="32"/>
                <w:szCs w:val="32"/>
                <w:shd w:val="clear" w:color="auto" w:fill="FFFFFF"/>
              </w:rPr>
            </w:pPr>
            <w:r>
              <w:rPr>
                <w:rFonts w:hint="eastAsia" w:ascii="仿宋" w:hAnsi="仿宋" w:eastAsia="仿宋" w:cs="仿宋"/>
                <w:b/>
                <w:bCs/>
                <w:color w:val="333333"/>
                <w:spacing w:val="8"/>
                <w:sz w:val="32"/>
                <w:szCs w:val="32"/>
                <w:shd w:val="clear" w:color="auto" w:fill="FFFFFF"/>
              </w:rPr>
              <w:t>职务</w:t>
            </w:r>
          </w:p>
        </w:tc>
        <w:tc>
          <w:tcPr>
            <w:tcW w:w="2131" w:type="dxa"/>
            <w:vAlign w:val="center"/>
          </w:tcPr>
          <w:p w14:paraId="1BB8402C">
            <w:pPr>
              <w:pStyle w:val="4"/>
              <w:spacing w:before="0" w:beforeAutospacing="0" w:after="0" w:afterAutospacing="0" w:line="600" w:lineRule="exact"/>
              <w:ind w:firstLine="675" w:firstLineChars="200"/>
              <w:jc w:val="both"/>
              <w:rPr>
                <w:rFonts w:hint="eastAsia" w:ascii="仿宋" w:hAnsi="仿宋" w:eastAsia="仿宋" w:cs="仿宋"/>
                <w:b/>
                <w:bCs/>
                <w:color w:val="333333"/>
                <w:spacing w:val="8"/>
                <w:sz w:val="32"/>
                <w:szCs w:val="32"/>
                <w:shd w:val="clear" w:color="auto" w:fill="FFFFFF"/>
              </w:rPr>
            </w:pPr>
            <w:r>
              <w:rPr>
                <w:rFonts w:hint="eastAsia" w:ascii="仿宋" w:hAnsi="仿宋" w:eastAsia="仿宋" w:cs="仿宋"/>
                <w:b/>
                <w:bCs/>
                <w:color w:val="333333"/>
                <w:spacing w:val="8"/>
                <w:sz w:val="32"/>
                <w:szCs w:val="32"/>
                <w:shd w:val="clear" w:color="auto" w:fill="FFFFFF"/>
              </w:rPr>
              <w:t>签字</w:t>
            </w:r>
          </w:p>
        </w:tc>
      </w:tr>
      <w:tr w14:paraId="65389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30" w:type="dxa"/>
            <w:vAlign w:val="center"/>
          </w:tcPr>
          <w:p w14:paraId="0354833F">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lang w:eastAsia="zh-CN"/>
              </w:rPr>
            </w:pPr>
            <w:r>
              <w:rPr>
                <w:rFonts w:hint="eastAsia" w:ascii="仿宋" w:hAnsi="仿宋" w:eastAsia="仿宋" w:cs="仿宋"/>
                <w:color w:val="333333"/>
                <w:spacing w:val="8"/>
                <w:sz w:val="32"/>
                <w:szCs w:val="32"/>
                <w:shd w:val="clear" w:color="auto" w:fill="FFFFFF"/>
              </w:rPr>
              <w:t>吴江</w:t>
            </w:r>
            <w:r>
              <w:rPr>
                <w:rFonts w:hint="eastAsia" w:ascii="仿宋" w:hAnsi="仿宋" w:eastAsia="仿宋" w:cs="仿宋"/>
                <w:color w:val="333333"/>
                <w:spacing w:val="8"/>
                <w:sz w:val="32"/>
                <w:szCs w:val="32"/>
                <w:shd w:val="clear" w:color="auto" w:fill="FFFFFF"/>
                <w:lang w:eastAsia="zh-CN"/>
              </w:rPr>
              <w:t>华</w:t>
            </w:r>
          </w:p>
        </w:tc>
        <w:tc>
          <w:tcPr>
            <w:tcW w:w="2130" w:type="dxa"/>
            <w:vAlign w:val="center"/>
          </w:tcPr>
          <w:p w14:paraId="4E1D0F33">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rPr>
            </w:pPr>
            <w:r>
              <w:rPr>
                <w:rFonts w:hint="eastAsia" w:ascii="仿宋" w:hAnsi="仿宋" w:eastAsia="仿宋" w:cs="仿宋"/>
                <w:color w:val="333333"/>
                <w:spacing w:val="8"/>
                <w:sz w:val="32"/>
                <w:szCs w:val="32"/>
                <w:shd w:val="clear" w:color="auto" w:fill="FFFFFF"/>
              </w:rPr>
              <w:t>信访局</w:t>
            </w:r>
          </w:p>
        </w:tc>
        <w:tc>
          <w:tcPr>
            <w:tcW w:w="2131" w:type="dxa"/>
            <w:vAlign w:val="center"/>
          </w:tcPr>
          <w:p w14:paraId="5B77061D">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rPr>
            </w:pPr>
            <w:r>
              <w:rPr>
                <w:rFonts w:hint="eastAsia" w:ascii="仿宋" w:hAnsi="仿宋" w:eastAsia="仿宋" w:cs="仿宋"/>
                <w:color w:val="333333"/>
                <w:spacing w:val="8"/>
                <w:sz w:val="32"/>
                <w:szCs w:val="32"/>
                <w:shd w:val="clear" w:color="auto" w:fill="FFFFFF"/>
              </w:rPr>
              <w:t>局长</w:t>
            </w:r>
          </w:p>
        </w:tc>
        <w:tc>
          <w:tcPr>
            <w:tcW w:w="2131" w:type="dxa"/>
            <w:vAlign w:val="center"/>
          </w:tcPr>
          <w:p w14:paraId="6E999897">
            <w:pPr>
              <w:pStyle w:val="4"/>
              <w:spacing w:before="0" w:beforeAutospacing="0" w:after="0" w:afterAutospacing="0" w:line="600" w:lineRule="exact"/>
              <w:ind w:firstLine="672" w:firstLineChars="200"/>
              <w:jc w:val="center"/>
              <w:rPr>
                <w:rFonts w:hint="eastAsia" w:ascii="仿宋" w:hAnsi="仿宋" w:eastAsia="仿宋" w:cs="仿宋"/>
                <w:color w:val="333333"/>
                <w:spacing w:val="8"/>
                <w:sz w:val="32"/>
                <w:szCs w:val="32"/>
                <w:shd w:val="clear" w:color="auto" w:fill="FFFFFF"/>
              </w:rPr>
            </w:pPr>
          </w:p>
        </w:tc>
      </w:tr>
      <w:tr w14:paraId="2EB34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30" w:type="dxa"/>
            <w:vAlign w:val="center"/>
          </w:tcPr>
          <w:p w14:paraId="30B55BC2">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rPr>
            </w:pPr>
            <w:r>
              <w:rPr>
                <w:rFonts w:hint="eastAsia" w:ascii="仿宋" w:hAnsi="仿宋" w:eastAsia="仿宋" w:cs="仿宋"/>
                <w:color w:val="333333"/>
                <w:spacing w:val="8"/>
                <w:sz w:val="32"/>
                <w:szCs w:val="32"/>
                <w:shd w:val="clear" w:color="auto" w:fill="FFFFFF"/>
              </w:rPr>
              <w:t>高志鹏</w:t>
            </w:r>
          </w:p>
        </w:tc>
        <w:tc>
          <w:tcPr>
            <w:tcW w:w="2130" w:type="dxa"/>
            <w:vAlign w:val="center"/>
          </w:tcPr>
          <w:p w14:paraId="454F1B01">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rPr>
            </w:pPr>
            <w:r>
              <w:rPr>
                <w:rFonts w:hint="eastAsia" w:ascii="仿宋" w:hAnsi="仿宋" w:eastAsia="仿宋" w:cs="仿宋"/>
                <w:color w:val="333333"/>
                <w:spacing w:val="8"/>
                <w:sz w:val="32"/>
                <w:szCs w:val="32"/>
                <w:shd w:val="clear" w:color="auto" w:fill="FFFFFF"/>
              </w:rPr>
              <w:t>信访局</w:t>
            </w:r>
          </w:p>
        </w:tc>
        <w:tc>
          <w:tcPr>
            <w:tcW w:w="2131" w:type="dxa"/>
            <w:vAlign w:val="center"/>
          </w:tcPr>
          <w:p w14:paraId="5A5F5608">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rPr>
            </w:pPr>
            <w:r>
              <w:rPr>
                <w:rFonts w:hint="eastAsia" w:ascii="仿宋" w:hAnsi="仿宋" w:eastAsia="仿宋" w:cs="仿宋"/>
                <w:color w:val="333333"/>
                <w:spacing w:val="8"/>
                <w:sz w:val="32"/>
                <w:szCs w:val="32"/>
                <w:shd w:val="clear" w:color="auto" w:fill="FFFFFF"/>
              </w:rPr>
              <w:t>副局长</w:t>
            </w:r>
          </w:p>
        </w:tc>
        <w:tc>
          <w:tcPr>
            <w:tcW w:w="2131" w:type="dxa"/>
            <w:vAlign w:val="center"/>
          </w:tcPr>
          <w:p w14:paraId="19E0C31C">
            <w:pPr>
              <w:pStyle w:val="4"/>
              <w:spacing w:before="0" w:beforeAutospacing="0" w:after="0" w:afterAutospacing="0" w:line="600" w:lineRule="exact"/>
              <w:ind w:firstLine="672" w:firstLineChars="200"/>
              <w:jc w:val="center"/>
              <w:rPr>
                <w:rFonts w:hint="eastAsia" w:ascii="仿宋" w:hAnsi="仿宋" w:eastAsia="仿宋" w:cs="仿宋"/>
                <w:color w:val="333333"/>
                <w:spacing w:val="8"/>
                <w:sz w:val="32"/>
                <w:szCs w:val="32"/>
                <w:shd w:val="clear" w:color="auto" w:fill="FFFFFF"/>
              </w:rPr>
            </w:pPr>
          </w:p>
        </w:tc>
      </w:tr>
      <w:tr w14:paraId="1A023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30" w:type="dxa"/>
            <w:vAlign w:val="center"/>
          </w:tcPr>
          <w:p w14:paraId="103C6C11">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lang w:val="en-US" w:eastAsia="zh-CN"/>
              </w:rPr>
            </w:pPr>
            <w:r>
              <w:rPr>
                <w:rFonts w:hint="eastAsia" w:ascii="仿宋" w:hAnsi="仿宋" w:eastAsia="仿宋" w:cs="仿宋"/>
                <w:color w:val="333333"/>
                <w:spacing w:val="8"/>
                <w:sz w:val="32"/>
                <w:szCs w:val="32"/>
                <w:shd w:val="clear" w:color="auto" w:fill="FFFFFF"/>
                <w:lang w:val="en-US" w:eastAsia="zh-CN"/>
              </w:rPr>
              <w:t>梅晓洁</w:t>
            </w:r>
          </w:p>
        </w:tc>
        <w:tc>
          <w:tcPr>
            <w:tcW w:w="2130" w:type="dxa"/>
            <w:vAlign w:val="center"/>
          </w:tcPr>
          <w:p w14:paraId="14A60072">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rPr>
            </w:pPr>
            <w:r>
              <w:rPr>
                <w:rFonts w:hint="eastAsia" w:ascii="仿宋" w:hAnsi="仿宋" w:eastAsia="仿宋" w:cs="仿宋"/>
                <w:color w:val="333333"/>
                <w:spacing w:val="8"/>
                <w:sz w:val="32"/>
                <w:szCs w:val="32"/>
                <w:shd w:val="clear" w:color="auto" w:fill="FFFFFF"/>
              </w:rPr>
              <w:t>信访局</w:t>
            </w:r>
          </w:p>
        </w:tc>
        <w:tc>
          <w:tcPr>
            <w:tcW w:w="2131" w:type="dxa"/>
            <w:vAlign w:val="center"/>
          </w:tcPr>
          <w:p w14:paraId="05AAE722">
            <w:pPr>
              <w:pStyle w:val="4"/>
              <w:spacing w:before="0" w:beforeAutospacing="0" w:after="0" w:afterAutospacing="0" w:line="600" w:lineRule="exact"/>
              <w:jc w:val="center"/>
              <w:rPr>
                <w:rFonts w:hint="eastAsia" w:ascii="仿宋" w:hAnsi="仿宋" w:eastAsia="仿宋" w:cs="仿宋"/>
                <w:color w:val="333333"/>
                <w:spacing w:val="8"/>
                <w:sz w:val="32"/>
                <w:szCs w:val="32"/>
                <w:shd w:val="clear" w:color="auto" w:fill="FFFFFF"/>
              </w:rPr>
            </w:pPr>
            <w:r>
              <w:rPr>
                <w:rFonts w:hint="eastAsia" w:ascii="仿宋" w:hAnsi="仿宋" w:eastAsia="仿宋" w:cs="仿宋"/>
                <w:color w:val="333333"/>
                <w:spacing w:val="8"/>
                <w:sz w:val="32"/>
                <w:szCs w:val="32"/>
                <w:shd w:val="clear" w:color="auto" w:fill="FFFFFF"/>
              </w:rPr>
              <w:t>会计</w:t>
            </w:r>
          </w:p>
        </w:tc>
        <w:tc>
          <w:tcPr>
            <w:tcW w:w="2131" w:type="dxa"/>
            <w:vAlign w:val="center"/>
          </w:tcPr>
          <w:p w14:paraId="7B6BC32D">
            <w:pPr>
              <w:pStyle w:val="4"/>
              <w:spacing w:before="0" w:beforeAutospacing="0" w:after="0" w:afterAutospacing="0" w:line="600" w:lineRule="exact"/>
              <w:ind w:firstLine="672" w:firstLineChars="200"/>
              <w:jc w:val="center"/>
              <w:rPr>
                <w:rFonts w:hint="eastAsia" w:ascii="仿宋" w:hAnsi="仿宋" w:eastAsia="仿宋" w:cs="仿宋"/>
                <w:color w:val="333333"/>
                <w:spacing w:val="8"/>
                <w:sz w:val="32"/>
                <w:szCs w:val="32"/>
                <w:shd w:val="clear" w:color="auto" w:fill="FFFFFF"/>
              </w:rPr>
            </w:pPr>
          </w:p>
        </w:tc>
      </w:tr>
    </w:tbl>
    <w:p w14:paraId="3494553B">
      <w:pPr>
        <w:numPr>
          <w:ilvl w:val="0"/>
          <w:numId w:val="0"/>
        </w:numPr>
        <w:adjustRightInd w:val="0"/>
        <w:snapToGrid w:val="0"/>
        <w:spacing w:line="560" w:lineRule="exact"/>
        <w:rPr>
          <w:rFonts w:hint="eastAsia" w:ascii="仿宋" w:hAnsi="仿宋" w:eastAsia="仿宋" w:cs="仿宋"/>
          <w:sz w:val="32"/>
          <w:szCs w:val="32"/>
        </w:rPr>
      </w:pPr>
    </w:p>
    <w:p w14:paraId="24D1BDD2">
      <w:pPr>
        <w:spacing w:line="560" w:lineRule="exact"/>
        <w:rPr>
          <w:rFonts w:hint="eastAsia" w:ascii="仿宋" w:hAnsi="仿宋" w:eastAsia="仿宋" w:cs="仿宋"/>
          <w:sz w:val="32"/>
          <w:szCs w:val="32"/>
        </w:rPr>
      </w:pPr>
    </w:p>
    <w:p w14:paraId="368D3A7A">
      <w:pPr>
        <w:spacing w:line="560" w:lineRule="exact"/>
        <w:rPr>
          <w:rFonts w:hint="eastAsia" w:ascii="仿宋" w:hAnsi="仿宋" w:eastAsia="仿宋" w:cs="仿宋"/>
          <w:sz w:val="32"/>
          <w:szCs w:val="32"/>
        </w:rPr>
      </w:pPr>
    </w:p>
    <w:p w14:paraId="484C4728">
      <w:pPr>
        <w:wordWrap w:val="0"/>
        <w:spacing w:line="600" w:lineRule="exact"/>
        <w:ind w:firstLine="640" w:firstLineChars="200"/>
        <w:jc w:val="center"/>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井陉县信访局  </w:t>
      </w:r>
    </w:p>
    <w:p w14:paraId="1B8DF1A3">
      <w:pPr>
        <w:spacing w:line="600" w:lineRule="exact"/>
        <w:ind w:firstLine="640" w:firstLineChars="200"/>
        <w:jc w:val="center"/>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4</w:t>
      </w:r>
      <w:r>
        <w:rPr>
          <w:rFonts w:hint="eastAsia" w:ascii="仿宋" w:hAnsi="仿宋" w:eastAsia="仿宋" w:cs="仿宋"/>
          <w:sz w:val="32"/>
          <w:szCs w:val="32"/>
        </w:rPr>
        <w:t>月</w:t>
      </w:r>
      <w:r>
        <w:rPr>
          <w:rFonts w:hint="eastAsia" w:ascii="仿宋" w:hAnsi="仿宋" w:eastAsia="仿宋" w:cs="仿宋"/>
          <w:sz w:val="32"/>
          <w:szCs w:val="32"/>
          <w:lang w:val="en-US" w:eastAsia="zh-CN"/>
        </w:rPr>
        <w:t>29</w:t>
      </w:r>
      <w:r>
        <w:rPr>
          <w:rFonts w:hint="eastAsia" w:ascii="仿宋" w:hAnsi="仿宋" w:eastAsia="仿宋" w:cs="仿宋"/>
          <w:sz w:val="32"/>
          <w:szCs w:val="32"/>
        </w:rPr>
        <w:t>日</w:t>
      </w:r>
    </w:p>
    <w:p w14:paraId="1902FBE8">
      <w:pPr>
        <w:spacing w:line="560" w:lineRule="exact"/>
        <w:rPr>
          <w:rFonts w:hint="eastAsia" w:ascii="仿宋" w:hAnsi="仿宋" w:eastAsia="仿宋" w:cs="仿宋"/>
          <w:sz w:val="32"/>
          <w:szCs w:val="32"/>
        </w:rPr>
      </w:pPr>
    </w:p>
    <w:p w14:paraId="75212C36">
      <w:pPr>
        <w:spacing w:line="560" w:lineRule="exact"/>
        <w:rPr>
          <w:rFonts w:hint="eastAsia" w:ascii="仿宋" w:hAnsi="仿宋" w:eastAsia="仿宋" w:cs="仿宋"/>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E7BB64">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5AA896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5AA896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F70CBFB"/>
    <w:multiLevelType w:val="singleLevel"/>
    <w:tmpl w:val="0F70CBFB"/>
    <w:lvl w:ilvl="0" w:tentative="0">
      <w:start w:val="3"/>
      <w:numFmt w:val="chineseCounting"/>
      <w:suff w:val="nothing"/>
      <w:lvlText w:val="（%1）"/>
      <w:lvlJc w:val="left"/>
      <w:rPr>
        <w:rFonts w:hint="eastAsia"/>
      </w:rPr>
    </w:lvl>
  </w:abstractNum>
  <w:abstractNum w:abstractNumId="2">
    <w:nsid w:val="468AB21A"/>
    <w:multiLevelType w:val="singleLevel"/>
    <w:tmpl w:val="468AB21A"/>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3A7752"/>
    <w:rsid w:val="046F331E"/>
    <w:rsid w:val="069802FD"/>
    <w:rsid w:val="06E71485"/>
    <w:rsid w:val="07956271"/>
    <w:rsid w:val="09721397"/>
    <w:rsid w:val="0BB63BED"/>
    <w:rsid w:val="0DB22F98"/>
    <w:rsid w:val="0EB97A43"/>
    <w:rsid w:val="0EBD2122"/>
    <w:rsid w:val="0F214EAE"/>
    <w:rsid w:val="11B71E6A"/>
    <w:rsid w:val="11EA0DC1"/>
    <w:rsid w:val="13E76756"/>
    <w:rsid w:val="160460C0"/>
    <w:rsid w:val="1AAF0063"/>
    <w:rsid w:val="1BE140DE"/>
    <w:rsid w:val="1CB47D1E"/>
    <w:rsid w:val="23FB7BC0"/>
    <w:rsid w:val="246E3468"/>
    <w:rsid w:val="248C197D"/>
    <w:rsid w:val="24965F49"/>
    <w:rsid w:val="252959AF"/>
    <w:rsid w:val="277A6671"/>
    <w:rsid w:val="2846536E"/>
    <w:rsid w:val="292D35B7"/>
    <w:rsid w:val="2D425732"/>
    <w:rsid w:val="2F566EEC"/>
    <w:rsid w:val="30ED63C7"/>
    <w:rsid w:val="31151E97"/>
    <w:rsid w:val="31A42DAA"/>
    <w:rsid w:val="32794BC1"/>
    <w:rsid w:val="32DF612E"/>
    <w:rsid w:val="33D5548D"/>
    <w:rsid w:val="33EB6CFF"/>
    <w:rsid w:val="355B4E4D"/>
    <w:rsid w:val="35864EFC"/>
    <w:rsid w:val="35A12947"/>
    <w:rsid w:val="37387040"/>
    <w:rsid w:val="38833809"/>
    <w:rsid w:val="3B0548E0"/>
    <w:rsid w:val="3B625C0A"/>
    <w:rsid w:val="3CEE1963"/>
    <w:rsid w:val="3EDE4C5C"/>
    <w:rsid w:val="436B78D3"/>
    <w:rsid w:val="44435882"/>
    <w:rsid w:val="477B0FB6"/>
    <w:rsid w:val="488856C1"/>
    <w:rsid w:val="48B60C1B"/>
    <w:rsid w:val="48CE6EA3"/>
    <w:rsid w:val="4C1D6C6B"/>
    <w:rsid w:val="4C9C27FE"/>
    <w:rsid w:val="4DFE68CC"/>
    <w:rsid w:val="512260B4"/>
    <w:rsid w:val="52877320"/>
    <w:rsid w:val="52BD6ACB"/>
    <w:rsid w:val="52F81F24"/>
    <w:rsid w:val="53967AF6"/>
    <w:rsid w:val="53DE5AA8"/>
    <w:rsid w:val="55450B8E"/>
    <w:rsid w:val="55537534"/>
    <w:rsid w:val="561A74F1"/>
    <w:rsid w:val="56C72C7C"/>
    <w:rsid w:val="58466AA3"/>
    <w:rsid w:val="597244E8"/>
    <w:rsid w:val="5C0A4AAC"/>
    <w:rsid w:val="5EB71C30"/>
    <w:rsid w:val="60F26FA7"/>
    <w:rsid w:val="66AF0CE5"/>
    <w:rsid w:val="6A0416EF"/>
    <w:rsid w:val="6AA27932"/>
    <w:rsid w:val="6AC537CF"/>
    <w:rsid w:val="6E5B14A6"/>
    <w:rsid w:val="6EF14083"/>
    <w:rsid w:val="711B255E"/>
    <w:rsid w:val="71EA0F83"/>
    <w:rsid w:val="762C20AE"/>
    <w:rsid w:val="7A7D7FE9"/>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100</Words>
  <Characters>570</Characters>
  <Lines>4</Lines>
  <Paragraphs>1</Paragraphs>
  <TotalTime>18</TotalTime>
  <ScaleCrop>false</ScaleCrop>
  <LinksUpToDate>false</LinksUpToDate>
  <CharactersWithSpaces>669</CharactersWithSpaces>
  <Application>WPS Office_12.8.2.17149_F1E327BC-269C-435d-A152-05C5408002CA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2024-03-06T07:40:00Z</cp:lastPrinted>
  <dcterms:modified xsi:type="dcterms:W3CDTF">2026-04-29T07:26:35Z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2052-12.8.2.17149</vt:lpwstr>
  </property>
  <property fmtid="{D5CDD505-2E9C-101B-9397-08002B2CF9AE}" pid="3" name="ICV">
    <vt:lpwstr>807859DDDB204D7484EDDFBB4E9D1D2E</vt:lpwstr>
  </property>
</Properties>
</file>