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75D16F">
      <w:pPr>
        <w:adjustRightInd w:val="0"/>
        <w:snapToGrid w:val="0"/>
        <w:spacing w:line="560" w:lineRule="exact"/>
        <w:rPr>
          <w:rFonts w:hint="eastAsia" w:ascii="黑体" w:hAnsi="黑体" w:eastAsia="黑体" w:cs="黑体"/>
          <w:sz w:val="32"/>
          <w:szCs w:val="32"/>
          <w:lang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14:paraId="196A9E66">
      <w:pPr>
        <w:spacing w:line="560" w:lineRule="exact"/>
        <w:jc w:val="center"/>
        <w:rPr>
          <w:rFonts w:ascii="宋体" w:hAnsi="宋体" w:cs="宋体"/>
          <w:b/>
          <w:bCs/>
          <w:sz w:val="44"/>
          <w:szCs w:val="44"/>
        </w:rPr>
      </w:pPr>
    </w:p>
    <w:p w14:paraId="1A6EDBC0">
      <w:pPr>
        <w:widowControl w:val="0"/>
        <w:wordWrap/>
        <w:spacing w:line="560" w:lineRule="exact"/>
        <w:ind w:left="0" w:leftChars="0" w:right="0"/>
        <w:jc w:val="center"/>
        <w:textAlignment w:val="auto"/>
        <w:outlineLvl w:val="9"/>
        <w:rPr>
          <w:rFonts w:hint="eastAsia" w:asciiTheme="minorEastAsia" w:hAnsiTheme="minorEastAsia" w:eastAsiaTheme="minorEastAsia" w:cstheme="minorEastAsia"/>
          <w:b/>
          <w:bCs/>
          <w:sz w:val="44"/>
          <w:szCs w:val="44"/>
          <w:lang w:eastAsia="zh-CN"/>
        </w:rPr>
      </w:pPr>
      <w:r>
        <w:rPr>
          <w:rFonts w:hint="eastAsia" w:asciiTheme="minorEastAsia" w:hAnsiTheme="minorEastAsia" w:eastAsiaTheme="minorEastAsia" w:cstheme="minorEastAsia"/>
          <w:b/>
          <w:bCs/>
          <w:sz w:val="44"/>
          <w:szCs w:val="44"/>
          <w:lang w:eastAsia="zh-CN"/>
        </w:rPr>
        <w:t>井陉县融媒体中心</w:t>
      </w:r>
    </w:p>
    <w:p w14:paraId="77AEEBB7">
      <w:pPr>
        <w:spacing w:line="560" w:lineRule="exact"/>
        <w:jc w:val="center"/>
        <w:rPr>
          <w:rFonts w:hint="eastAsia"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6</w:t>
      </w:r>
      <w:r>
        <w:rPr>
          <w:rFonts w:hint="eastAsia" w:ascii="宋体" w:hAnsi="宋体" w:cs="宋体"/>
          <w:b/>
          <w:bCs/>
          <w:sz w:val="44"/>
          <w:szCs w:val="44"/>
        </w:rPr>
        <w:t>年度整体支出绩效自评报告</w:t>
      </w:r>
    </w:p>
    <w:p w14:paraId="7B170810">
      <w:pPr>
        <w:spacing w:line="560" w:lineRule="exact"/>
        <w:jc w:val="center"/>
        <w:rPr>
          <w:rFonts w:hint="eastAsia" w:ascii="宋体" w:hAnsi="宋体" w:cs="宋体"/>
          <w:b/>
          <w:bCs/>
          <w:sz w:val="44"/>
          <w:szCs w:val="44"/>
        </w:rPr>
      </w:pPr>
    </w:p>
    <w:p w14:paraId="23ED364E">
      <w:pPr>
        <w:adjustRightInd w:val="0"/>
        <w:snapToGrid w:val="0"/>
        <w:spacing w:line="560" w:lineRule="exact"/>
        <w:ind w:firstLine="560" w:firstLineChars="200"/>
        <w:rPr>
          <w:rFonts w:ascii="仿宋" w:hAnsi="仿宋" w:eastAsia="仿宋"/>
          <w:sz w:val="28"/>
          <w:szCs w:val="28"/>
        </w:rPr>
      </w:pPr>
      <w:r>
        <w:rPr>
          <w:rFonts w:hint="eastAsia" w:asciiTheme="minorEastAsia" w:hAnsiTheme="minorEastAsia" w:eastAsiaTheme="minorEastAsia" w:cstheme="minorEastAsia"/>
          <w:sz w:val="28"/>
          <w:szCs w:val="28"/>
        </w:rPr>
        <w:t>贯彻落实市委市政府《关于全面落实预算绩效管理的实施意见》（石发﹝2019﹞8号）文件精神，遵循“科学性、规范性、客观性和公正性”的原则，对</w:t>
      </w:r>
      <w:r>
        <w:rPr>
          <w:rFonts w:hint="eastAsia" w:asciiTheme="minorEastAsia" w:hAnsiTheme="minorEastAsia" w:eastAsiaTheme="minorEastAsia" w:cstheme="minorEastAsia"/>
          <w:sz w:val="28"/>
          <w:szCs w:val="28"/>
          <w:lang w:eastAsia="zh-CN"/>
        </w:rPr>
        <w:t>井陉县融媒体中心</w:t>
      </w:r>
      <w:r>
        <w:rPr>
          <w:rFonts w:hint="eastAsia" w:asciiTheme="minorEastAsia" w:hAnsiTheme="minorEastAsia" w:eastAsiaTheme="minorEastAsia" w:cstheme="minorEastAsia"/>
          <w:sz w:val="28"/>
          <w:szCs w:val="28"/>
        </w:rPr>
        <w:t>部门202</w:t>
      </w:r>
      <w:r>
        <w:rPr>
          <w:rFonts w:hint="eastAsia" w:asciiTheme="minorEastAsia" w:hAnsiTheme="minorEastAsia" w:eastAsiaTheme="minorEastAsia" w:cstheme="minorEastAsia"/>
          <w:sz w:val="28"/>
          <w:szCs w:val="28"/>
          <w:lang w:val="en-US" w:eastAsia="zh-CN"/>
        </w:rPr>
        <w:t>5</w:t>
      </w:r>
      <w:r>
        <w:rPr>
          <w:rFonts w:hint="eastAsia" w:asciiTheme="minorEastAsia" w:hAnsiTheme="minorEastAsia" w:eastAsiaTheme="minorEastAsia" w:cstheme="minorEastAsia"/>
          <w:sz w:val="28"/>
          <w:szCs w:val="28"/>
        </w:rPr>
        <w:t>年整体支出情况实施了财政支出绩效自评价，形成本评价报告</w:t>
      </w:r>
      <w:r>
        <w:rPr>
          <w:rFonts w:hint="eastAsia" w:ascii="仿宋" w:hAnsi="仿宋" w:eastAsia="仿宋"/>
          <w:sz w:val="28"/>
          <w:szCs w:val="28"/>
        </w:rPr>
        <w:t>。</w:t>
      </w:r>
      <w:bookmarkStart w:id="0" w:name="_GoBack"/>
      <w:bookmarkEnd w:id="0"/>
    </w:p>
    <w:p w14:paraId="5C792C86">
      <w:pPr>
        <w:adjustRightInd w:val="0"/>
        <w:snapToGrid w:val="0"/>
        <w:spacing w:line="560" w:lineRule="exact"/>
        <w:rPr>
          <w:rFonts w:ascii="黑体" w:hAnsi="黑体" w:eastAsia="黑体"/>
          <w:b/>
          <w:bCs/>
          <w:sz w:val="28"/>
          <w:szCs w:val="28"/>
        </w:rPr>
      </w:pPr>
      <w:r>
        <w:rPr>
          <w:rFonts w:hint="eastAsia" w:ascii="黑体" w:hAnsi="黑体" w:eastAsia="黑体"/>
          <w:sz w:val="28"/>
          <w:szCs w:val="28"/>
        </w:rPr>
        <w:t xml:space="preserve">     一、部门基本情况</w:t>
      </w:r>
    </w:p>
    <w:p w14:paraId="2DB2CAD8">
      <w:pPr>
        <w:adjustRightInd w:val="0"/>
        <w:snapToGrid w:val="0"/>
        <w:spacing w:line="560" w:lineRule="exact"/>
        <w:ind w:firstLine="560" w:firstLineChars="200"/>
        <w:rPr>
          <w:rFonts w:ascii="楷体" w:hAnsi="楷体" w:eastAsia="楷体" w:cs="楷体_GB2312"/>
          <w:bCs/>
          <w:sz w:val="28"/>
          <w:szCs w:val="28"/>
        </w:rPr>
      </w:pPr>
      <w:r>
        <w:rPr>
          <w:rFonts w:hint="eastAsia" w:ascii="楷体" w:hAnsi="楷体" w:eastAsia="楷体" w:cs="楷体_GB2312"/>
          <w:bCs/>
          <w:sz w:val="28"/>
          <w:szCs w:val="28"/>
        </w:rPr>
        <w:t>（一）部门概况</w:t>
      </w:r>
    </w:p>
    <w:p w14:paraId="21461F04">
      <w:pPr>
        <w:widowControl w:val="0"/>
        <w:wordWrap/>
        <w:adjustRightInd w:val="0"/>
        <w:snapToGrid w:val="0"/>
        <w:spacing w:line="560" w:lineRule="exact"/>
        <w:ind w:right="0" w:firstLine="840" w:firstLineChars="300"/>
        <w:textAlignment w:val="auto"/>
        <w:outlineLvl w:val="9"/>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井陉县融媒体中心部门职能：</w:t>
      </w:r>
    </w:p>
    <w:p w14:paraId="0FF243CA">
      <w:pPr>
        <w:ind w:firstLine="560" w:firstLineChars="200"/>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lang w:val="en-US" w:eastAsia="zh-CN"/>
        </w:rPr>
        <w:t xml:space="preserve"> </w:t>
      </w:r>
      <w:r>
        <w:rPr>
          <w:rFonts w:hint="eastAsia" w:asciiTheme="minorEastAsia" w:hAnsiTheme="minorEastAsia" w:eastAsiaTheme="minorEastAsia" w:cstheme="minorEastAsia"/>
          <w:sz w:val="28"/>
          <w:szCs w:val="28"/>
        </w:rPr>
        <w:t>1.贯彻执行中央新闻宣传工作的路线、方针、政策，巩固宣传思想文化阵地，壮大主流思想舆论，把握正确舆论导向，不断提高新闻舆论传播力、引导力、影响力、竞争力。</w:t>
      </w:r>
    </w:p>
    <w:p w14:paraId="3625F387">
      <w:pPr>
        <w:ind w:firstLine="560" w:firstLineChars="200"/>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2.围绕县委、县政府中心工作和社会民生，充分利用广播、电视、报纸、网络和“两微一端”等媒体资源，组织实施全县新闻宣传工作和重大宣传报道活动，发挥建设性舆论监督作用。</w:t>
      </w:r>
    </w:p>
    <w:p w14:paraId="713AB595">
      <w:pPr>
        <w:ind w:firstLine="560" w:firstLineChars="200"/>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3.负责广播电视、报纸、网络、“两微一端”新媒体等传播媒介的科技工作，抓好新技术引进和开发，实施国家有关广播电视、新媒体技术政策和标准，开发广播电视和新媒体资源，增强综合发展能力。</w:t>
      </w:r>
    </w:p>
    <w:p w14:paraId="538FDC5D">
      <w:pPr>
        <w:ind w:firstLine="560" w:firstLineChars="200"/>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4.贯彻行业有关管理规定，加强广播电视节目的优质安全传输、播出以及报纸的安全出版、设备设施安全防范等工作。</w:t>
      </w:r>
    </w:p>
    <w:p w14:paraId="48CA7E7C">
      <w:pPr>
        <w:ind w:firstLine="560" w:firstLineChars="200"/>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5.立足媒体资源优势，拓展经营媒体广告、影视文化、教育培训、电子商务、节庆活动、会展经济等传媒衍生产业，强化自我造血功能,补充传媒业务发展所需经费。</w:t>
      </w:r>
    </w:p>
    <w:p w14:paraId="4043FFF0">
      <w:pPr>
        <w:ind w:firstLine="560" w:firstLineChars="200"/>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rPr>
        <w:t>6.加强队伍的思想政治建设、职业道德教育、技术业务培训和人才培养工作，研究和推进内部管理体制的改革。 </w:t>
      </w:r>
      <w:r>
        <w:rPr>
          <w:rFonts w:hint="eastAsia" w:asciiTheme="minorEastAsia" w:hAnsiTheme="minorEastAsia" w:eastAsiaTheme="minorEastAsia" w:cstheme="minorEastAsia"/>
          <w:sz w:val="28"/>
          <w:szCs w:val="28"/>
          <w:lang w:val="en-US" w:eastAsia="zh-CN"/>
        </w:rPr>
        <w:t xml:space="preserve">   </w:t>
      </w:r>
    </w:p>
    <w:p w14:paraId="514B37D0">
      <w:pPr>
        <w:ind w:firstLine="560" w:firstLineChars="200"/>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7.完成县委、县政府交办的其他工作任务。</w:t>
      </w:r>
    </w:p>
    <w:p w14:paraId="7A76F785">
      <w:pPr>
        <w:widowControl w:val="0"/>
        <w:wordWrap/>
        <w:adjustRightInd w:val="0"/>
        <w:snapToGrid w:val="0"/>
        <w:spacing w:line="560" w:lineRule="exact"/>
        <w:ind w:right="0" w:firstLine="560" w:firstLineChars="200"/>
        <w:textAlignment w:val="auto"/>
        <w:outlineLvl w:val="9"/>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井陉县融媒体中心机构及人员情况</w:t>
      </w:r>
      <w:r>
        <w:rPr>
          <w:rFonts w:hint="eastAsia" w:asciiTheme="minorEastAsia" w:hAnsiTheme="minorEastAsia" w:eastAsiaTheme="minorEastAsia" w:cstheme="minorEastAsia"/>
          <w:sz w:val="28"/>
          <w:szCs w:val="28"/>
          <w:lang w:val="en-US" w:eastAsia="zh-CN"/>
        </w:rPr>
        <w:t>:</w:t>
      </w:r>
    </w:p>
    <w:p w14:paraId="7F916FAA">
      <w:pPr>
        <w:ind w:firstLine="560" w:firstLineChars="200"/>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rPr>
        <w:t>井陉县</w:t>
      </w:r>
      <w:r>
        <w:rPr>
          <w:rFonts w:hint="eastAsia" w:asciiTheme="minorEastAsia" w:hAnsiTheme="minorEastAsia" w:eastAsiaTheme="minorEastAsia" w:cstheme="minorEastAsia"/>
          <w:sz w:val="28"/>
          <w:szCs w:val="28"/>
          <w:lang w:eastAsia="zh-CN"/>
        </w:rPr>
        <w:t>融媒体中心</w:t>
      </w:r>
      <w:r>
        <w:rPr>
          <w:rFonts w:hint="eastAsia" w:asciiTheme="minorEastAsia" w:hAnsiTheme="minorEastAsia" w:eastAsiaTheme="minorEastAsia" w:cstheme="minorEastAsia"/>
          <w:sz w:val="28"/>
          <w:szCs w:val="28"/>
        </w:rPr>
        <w:t>为县委直属正科级事业单位,归口县委宣传部管理。经费形式</w:t>
      </w:r>
      <w:r>
        <w:rPr>
          <w:rFonts w:hint="eastAsia" w:asciiTheme="minorEastAsia" w:hAnsiTheme="minorEastAsia" w:eastAsiaTheme="minorEastAsia" w:cstheme="minorEastAsia"/>
          <w:sz w:val="28"/>
          <w:szCs w:val="28"/>
          <w:lang w:eastAsia="zh-CN"/>
        </w:rPr>
        <w:t>为</w:t>
      </w:r>
      <w:r>
        <w:rPr>
          <w:rFonts w:hint="eastAsia" w:asciiTheme="minorEastAsia" w:hAnsiTheme="minorEastAsia" w:eastAsiaTheme="minorEastAsia" w:cstheme="minorEastAsia"/>
          <w:sz w:val="28"/>
          <w:szCs w:val="28"/>
        </w:rPr>
        <w:t>财政性资金定额或定项补助。</w:t>
      </w:r>
      <w:r>
        <w:rPr>
          <w:rFonts w:hint="eastAsia" w:asciiTheme="minorEastAsia" w:hAnsiTheme="minorEastAsia" w:eastAsiaTheme="minorEastAsia" w:cstheme="minorEastAsia"/>
          <w:sz w:val="28"/>
          <w:szCs w:val="28"/>
          <w:lang w:eastAsia="zh-CN"/>
        </w:rPr>
        <w:t>现有在职职工</w:t>
      </w:r>
      <w:r>
        <w:rPr>
          <w:rFonts w:hint="eastAsia" w:asciiTheme="minorEastAsia" w:hAnsiTheme="minorEastAsia" w:eastAsiaTheme="minorEastAsia" w:cstheme="minorEastAsia"/>
          <w:sz w:val="28"/>
          <w:szCs w:val="28"/>
          <w:lang w:val="en-US" w:eastAsia="zh-CN"/>
        </w:rPr>
        <w:t>31人，退休人员30人。</w:t>
      </w:r>
    </w:p>
    <w:p w14:paraId="2BA43890">
      <w:pPr>
        <w:ind w:firstLine="560" w:firstLineChars="200"/>
        <w:rPr>
          <w:rFonts w:ascii="仿宋" w:hAnsi="仿宋" w:eastAsia="仿宋"/>
          <w:sz w:val="28"/>
          <w:szCs w:val="28"/>
        </w:rPr>
      </w:pPr>
      <w:r>
        <w:rPr>
          <w:rFonts w:hint="eastAsia" w:asciiTheme="minorEastAsia" w:hAnsiTheme="minorEastAsia" w:eastAsiaTheme="minorEastAsia" w:cstheme="minorEastAsia"/>
          <w:sz w:val="28"/>
          <w:szCs w:val="28"/>
          <w:lang w:val="en-US" w:eastAsia="zh-CN"/>
        </w:rPr>
        <w:t>单位内设6个科室，分别是：办公室、总编室、新闻采访部、编辑制作部、传媒运营部、技术保障部。</w:t>
      </w:r>
    </w:p>
    <w:p w14:paraId="520D4D4E">
      <w:pPr>
        <w:numPr>
          <w:ilvl w:val="0"/>
          <w:numId w:val="1"/>
        </w:numPr>
        <w:adjustRightInd w:val="0"/>
        <w:snapToGrid w:val="0"/>
        <w:spacing w:line="560" w:lineRule="exact"/>
        <w:ind w:firstLine="560" w:firstLineChars="200"/>
        <w:rPr>
          <w:rFonts w:hint="eastAsia" w:ascii="楷体" w:hAnsi="楷体" w:eastAsia="楷体" w:cs="楷体_GB2312"/>
          <w:bCs/>
          <w:sz w:val="28"/>
          <w:szCs w:val="28"/>
        </w:rPr>
      </w:pPr>
      <w:r>
        <w:rPr>
          <w:rFonts w:hint="eastAsia" w:ascii="楷体" w:hAnsi="楷体" w:eastAsia="楷体" w:cs="楷体_GB2312"/>
          <w:bCs/>
          <w:sz w:val="28"/>
          <w:szCs w:val="28"/>
        </w:rPr>
        <w:t>部门收支预决算情况</w:t>
      </w:r>
    </w:p>
    <w:p w14:paraId="17C294AE">
      <w:pPr>
        <w:adjustRightInd w:val="0"/>
        <w:snapToGrid w:val="0"/>
        <w:spacing w:line="560" w:lineRule="exact"/>
        <w:ind w:firstLine="560" w:firstLineChars="200"/>
        <w:rPr>
          <w:rFonts w:hint="eastAsia" w:asciiTheme="minorEastAsia" w:hAnsiTheme="minorEastAsia" w:eastAsiaTheme="minorEastAsia" w:cstheme="minorEastAsia"/>
          <w:color w:val="000000" w:themeColor="text1"/>
          <w:sz w:val="28"/>
          <w:szCs w:val="28"/>
          <w:highlight w:val="none"/>
          <w:u w:val="single" w:color="FFFFFF"/>
          <w14:textFill>
            <w14:solidFill>
              <w14:schemeClr w14:val="tx1"/>
            </w14:solidFill>
          </w14:textFill>
        </w:rPr>
      </w:pPr>
      <w:r>
        <w:rPr>
          <w:rFonts w:hint="eastAsia" w:asciiTheme="minorEastAsia" w:hAnsiTheme="minorEastAsia" w:eastAsiaTheme="minorEastAsia" w:cstheme="minorEastAsia"/>
          <w:color w:val="000000" w:themeColor="text1"/>
          <w:sz w:val="28"/>
          <w:szCs w:val="28"/>
          <w:highlight w:val="none"/>
          <w:u w:val="single" w:color="FFFFFF"/>
          <w:lang w:eastAsia="zh-CN"/>
          <w14:textFill>
            <w14:solidFill>
              <w14:schemeClr w14:val="tx1"/>
            </w14:solidFill>
          </w14:textFill>
        </w:rPr>
        <w:t>202</w:t>
      </w:r>
      <w:r>
        <w:rPr>
          <w:rFonts w:hint="eastAsia" w:asciiTheme="minorEastAsia" w:hAnsiTheme="minorEastAsia" w:eastAsiaTheme="minorEastAsia" w:cstheme="minorEastAsia"/>
          <w:color w:val="000000" w:themeColor="text1"/>
          <w:sz w:val="28"/>
          <w:szCs w:val="28"/>
          <w:highlight w:val="none"/>
          <w:u w:val="single" w:color="FFFFFF"/>
          <w:lang w:val="en-US" w:eastAsia="zh-CN"/>
          <w14:textFill>
            <w14:solidFill>
              <w14:schemeClr w14:val="tx1"/>
            </w14:solidFill>
          </w14:textFill>
        </w:rPr>
        <w:t>5</w:t>
      </w:r>
      <w:r>
        <w:rPr>
          <w:rFonts w:hint="eastAsia" w:asciiTheme="minorEastAsia" w:hAnsiTheme="minorEastAsia" w:eastAsiaTheme="minorEastAsia" w:cstheme="minorEastAsia"/>
          <w:color w:val="000000" w:themeColor="text1"/>
          <w:sz w:val="28"/>
          <w:szCs w:val="28"/>
          <w:highlight w:val="none"/>
          <w:u w:val="single" w:color="FFFFFF"/>
          <w14:textFill>
            <w14:solidFill>
              <w14:schemeClr w14:val="tx1"/>
            </w14:solidFill>
          </w14:textFill>
        </w:rPr>
        <w:t>年</w:t>
      </w:r>
      <w:r>
        <w:rPr>
          <w:rFonts w:hint="eastAsia" w:asciiTheme="minorEastAsia" w:hAnsiTheme="minorEastAsia" w:eastAsiaTheme="minorEastAsia" w:cstheme="minorEastAsia"/>
          <w:color w:val="000000" w:themeColor="text1"/>
          <w:sz w:val="28"/>
          <w:szCs w:val="28"/>
          <w:highlight w:val="none"/>
          <w:u w:val="single" w:color="FFFFFF"/>
          <w:lang w:eastAsia="zh-CN"/>
          <w14:textFill>
            <w14:solidFill>
              <w14:schemeClr w14:val="tx1"/>
            </w14:solidFill>
          </w14:textFill>
        </w:rPr>
        <w:t>部门</w:t>
      </w:r>
      <w:r>
        <w:rPr>
          <w:rFonts w:hint="eastAsia" w:asciiTheme="minorEastAsia" w:hAnsiTheme="minorEastAsia" w:eastAsiaTheme="minorEastAsia" w:cstheme="minorEastAsia"/>
          <w:color w:val="000000" w:themeColor="text1"/>
          <w:sz w:val="28"/>
          <w:szCs w:val="28"/>
          <w:highlight w:val="none"/>
          <w:u w:val="single" w:color="FFFFFF"/>
          <w14:textFill>
            <w14:solidFill>
              <w14:schemeClr w14:val="tx1"/>
            </w14:solidFill>
          </w14:textFill>
        </w:rPr>
        <w:t>预算</w:t>
      </w:r>
      <w:r>
        <w:rPr>
          <w:rFonts w:hint="eastAsia" w:asciiTheme="minorEastAsia" w:hAnsiTheme="minorEastAsia" w:eastAsiaTheme="minorEastAsia" w:cstheme="minorEastAsia"/>
          <w:color w:val="000000" w:themeColor="text1"/>
          <w:sz w:val="28"/>
          <w:szCs w:val="28"/>
          <w:highlight w:val="none"/>
          <w:u w:val="single" w:color="FFFFFF"/>
          <w:lang w:eastAsia="zh-CN"/>
          <w14:textFill>
            <w14:solidFill>
              <w14:schemeClr w14:val="tx1"/>
            </w14:solidFill>
          </w14:textFill>
        </w:rPr>
        <w:t>收入</w:t>
      </w:r>
      <w:r>
        <w:rPr>
          <w:rFonts w:hint="eastAsia" w:asciiTheme="minorEastAsia" w:hAnsiTheme="minorEastAsia" w:eastAsiaTheme="minorEastAsia" w:cstheme="minorEastAsia"/>
          <w:color w:val="000000" w:themeColor="text1"/>
          <w:sz w:val="28"/>
          <w:szCs w:val="28"/>
          <w:highlight w:val="none"/>
          <w:u w:val="single" w:color="FFFFFF"/>
          <w14:textFill>
            <w14:solidFill>
              <w14:schemeClr w14:val="tx1"/>
            </w14:solidFill>
          </w14:textFill>
        </w:rPr>
        <w:t>支出</w:t>
      </w:r>
      <w:r>
        <w:rPr>
          <w:rFonts w:hint="eastAsia" w:asciiTheme="minorEastAsia" w:hAnsiTheme="minorEastAsia" w:eastAsiaTheme="minorEastAsia" w:cstheme="minorEastAsia"/>
          <w:color w:val="000000" w:themeColor="text1"/>
          <w:sz w:val="28"/>
          <w:szCs w:val="28"/>
          <w:highlight w:val="none"/>
          <w:u w:val="single" w:color="FFFFFF"/>
          <w:lang w:val="en-US" w:eastAsia="zh-CN"/>
          <w14:textFill>
            <w14:solidFill>
              <w14:schemeClr w14:val="tx1"/>
            </w14:solidFill>
          </w14:textFill>
        </w:rPr>
        <w:t>538.47万</w:t>
      </w:r>
      <w:r>
        <w:rPr>
          <w:rFonts w:hint="eastAsia" w:asciiTheme="minorEastAsia" w:hAnsiTheme="minorEastAsia" w:eastAsiaTheme="minorEastAsia" w:cstheme="minorEastAsia"/>
          <w:color w:val="000000" w:themeColor="text1"/>
          <w:sz w:val="28"/>
          <w:szCs w:val="28"/>
          <w:highlight w:val="none"/>
          <w:u w:val="single" w:color="FFFFFF"/>
          <w14:textFill>
            <w14:solidFill>
              <w14:schemeClr w14:val="tx1"/>
            </w14:solidFill>
          </w14:textFill>
        </w:rPr>
        <w:t>元，实际</w:t>
      </w:r>
      <w:r>
        <w:rPr>
          <w:rFonts w:hint="eastAsia" w:asciiTheme="minorEastAsia" w:hAnsiTheme="minorEastAsia" w:eastAsiaTheme="minorEastAsia" w:cstheme="minorEastAsia"/>
          <w:color w:val="000000" w:themeColor="text1"/>
          <w:sz w:val="28"/>
          <w:szCs w:val="28"/>
          <w:highlight w:val="none"/>
          <w:u w:val="single" w:color="FFFFFF"/>
          <w:lang w:eastAsia="zh-CN"/>
          <w14:textFill>
            <w14:solidFill>
              <w14:schemeClr w14:val="tx1"/>
            </w14:solidFill>
          </w14:textFill>
        </w:rPr>
        <w:t>执行</w:t>
      </w:r>
      <w:r>
        <w:rPr>
          <w:rFonts w:hint="eastAsia" w:asciiTheme="minorEastAsia" w:hAnsiTheme="minorEastAsia" w:eastAsiaTheme="minorEastAsia" w:cstheme="minorEastAsia"/>
          <w:color w:val="000000" w:themeColor="text1"/>
          <w:sz w:val="28"/>
          <w:szCs w:val="28"/>
          <w:highlight w:val="none"/>
          <w:u w:val="single" w:color="FFFFFF"/>
          <w:lang w:val="en-US" w:eastAsia="zh-CN"/>
          <w14:textFill>
            <w14:solidFill>
              <w14:schemeClr w14:val="tx1"/>
            </w14:solidFill>
          </w14:textFill>
        </w:rPr>
        <w:t>538.47万</w:t>
      </w:r>
      <w:r>
        <w:rPr>
          <w:rFonts w:hint="eastAsia" w:asciiTheme="minorEastAsia" w:hAnsiTheme="minorEastAsia" w:eastAsiaTheme="minorEastAsia" w:cstheme="minorEastAsia"/>
          <w:color w:val="000000" w:themeColor="text1"/>
          <w:sz w:val="28"/>
          <w:szCs w:val="28"/>
          <w:highlight w:val="none"/>
          <w:u w:val="single" w:color="FFFFFF"/>
          <w14:textFill>
            <w14:solidFill>
              <w14:schemeClr w14:val="tx1"/>
            </w14:solidFill>
          </w14:textFill>
        </w:rPr>
        <w:t>元。</w:t>
      </w:r>
    </w:p>
    <w:p w14:paraId="52F63A10">
      <w:pPr>
        <w:adjustRightInd w:val="0"/>
        <w:snapToGrid w:val="0"/>
        <w:spacing w:line="560" w:lineRule="exact"/>
        <w:ind w:firstLine="560" w:firstLineChars="200"/>
        <w:rPr>
          <w:rFonts w:ascii="楷体" w:hAnsi="楷体" w:eastAsia="楷体" w:cs="楷体_GB2312"/>
          <w:bCs/>
          <w:sz w:val="28"/>
          <w:szCs w:val="28"/>
        </w:rPr>
      </w:pPr>
      <w:r>
        <w:rPr>
          <w:rFonts w:hint="eastAsia" w:ascii="楷体" w:hAnsi="楷体" w:eastAsia="楷体" w:cs="楷体_GB2312"/>
          <w:bCs/>
          <w:sz w:val="28"/>
          <w:szCs w:val="28"/>
        </w:rPr>
        <w:t>（三）部门整体支出绩效目标、指标</w:t>
      </w:r>
    </w:p>
    <w:p w14:paraId="4BB3451A">
      <w:pPr>
        <w:autoSpaceDE w:val="0"/>
        <w:autoSpaceDN w:val="0"/>
        <w:adjustRightInd w:val="0"/>
        <w:ind w:left="420" w:leftChars="200" w:firstLine="280" w:firstLineChars="100"/>
        <w:jc w:val="left"/>
        <w:rPr>
          <w:rFonts w:hint="eastAsia" w:asciiTheme="minorEastAsia" w:hAnsiTheme="minorEastAsia" w:eastAsiaTheme="minorEastAsia" w:cstheme="minorEastAsia"/>
          <w:sz w:val="28"/>
          <w:szCs w:val="28"/>
          <w:lang w:val="zh-CN"/>
        </w:rPr>
      </w:pPr>
      <w:r>
        <w:rPr>
          <w:rFonts w:hint="eastAsia" w:asciiTheme="minorEastAsia" w:hAnsiTheme="minorEastAsia" w:eastAsiaTheme="minorEastAsia" w:cstheme="minorEastAsia"/>
          <w:b w:val="0"/>
          <w:bCs w:val="0"/>
          <w:sz w:val="28"/>
          <w:szCs w:val="28"/>
          <w:lang w:val="zh-CN"/>
        </w:rPr>
        <w:t>1.宣传制作职责：</w:t>
      </w:r>
      <w:r>
        <w:rPr>
          <w:rFonts w:hint="eastAsia" w:asciiTheme="minorEastAsia" w:hAnsiTheme="minorEastAsia" w:eastAsiaTheme="minorEastAsia" w:cstheme="minorEastAsia"/>
          <w:sz w:val="28"/>
          <w:szCs w:val="28"/>
          <w:lang w:val="zh-CN"/>
        </w:rPr>
        <w:t>宣传、贯彻、执行党和国家的路线、方针、政策，把握正确的舆论导向。职责目标：充分发挥党和政府的喉舌作用，围绕县委、县政府中心工作开展新闻宣传。</w:t>
      </w:r>
    </w:p>
    <w:p w14:paraId="3EF44403">
      <w:pPr>
        <w:autoSpaceDE w:val="0"/>
        <w:autoSpaceDN w:val="0"/>
        <w:spacing w:line="600" w:lineRule="exact"/>
        <w:ind w:firstLine="700" w:firstLineChars="250"/>
        <w:rPr>
          <w:rFonts w:hint="eastAsia" w:asciiTheme="minorEastAsia" w:hAnsiTheme="minorEastAsia" w:eastAsiaTheme="minorEastAsia" w:cstheme="minorEastAsia"/>
          <w:sz w:val="28"/>
          <w:szCs w:val="28"/>
          <w:lang w:val="zh-CN"/>
        </w:rPr>
      </w:pPr>
      <w:r>
        <w:rPr>
          <w:rFonts w:hint="eastAsia" w:asciiTheme="minorEastAsia" w:hAnsiTheme="minorEastAsia" w:eastAsiaTheme="minorEastAsia" w:cstheme="minorEastAsia"/>
          <w:b w:val="0"/>
          <w:bCs/>
          <w:sz w:val="28"/>
          <w:szCs w:val="28"/>
          <w:lang w:val="zh-CN"/>
        </w:rPr>
        <w:t>2.加强广播电视安全播出职责</w:t>
      </w:r>
      <w:r>
        <w:rPr>
          <w:rFonts w:hint="eastAsia" w:asciiTheme="minorEastAsia" w:hAnsiTheme="minorEastAsia" w:eastAsiaTheme="minorEastAsia" w:cstheme="minorEastAsia"/>
          <w:sz w:val="28"/>
          <w:szCs w:val="28"/>
          <w:lang w:val="zh-CN"/>
        </w:rPr>
        <w:t>：按照行业标准，保证技术播出安全。职责目标：确保播出安全。</w:t>
      </w:r>
    </w:p>
    <w:p w14:paraId="57A6A067">
      <w:pPr>
        <w:spacing w:line="500" w:lineRule="exact"/>
        <w:ind w:firstLine="560" w:firstLineChars="200"/>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3、设备更新维护管理职责：保证各节目的正常</w:t>
      </w:r>
    </w:p>
    <w:p w14:paraId="43C31546">
      <w:pPr>
        <w:spacing w:line="500" w:lineRule="exact"/>
        <w:ind w:firstLine="560"/>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职责目标：保证发射台各设备良好的运行，服务大众</w:t>
      </w:r>
    </w:p>
    <w:p w14:paraId="5E05F3A5">
      <w:pPr>
        <w:spacing w:line="500" w:lineRule="exact"/>
        <w:ind w:firstLine="560" w:firstLineChars="200"/>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4、新媒体建设与发展职责与目标：</w:t>
      </w:r>
    </w:p>
    <w:p w14:paraId="67F4A6D8">
      <w:pPr>
        <w:spacing w:line="500" w:lineRule="exact"/>
        <w:ind w:firstLine="560"/>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通过网络化手段，建成集综合信息服务和技术应用为一体的区域性强势媒体</w:t>
      </w:r>
    </w:p>
    <w:p w14:paraId="51B797ED">
      <w:pPr>
        <w:spacing w:line="500" w:lineRule="exact"/>
        <w:ind w:firstLine="560" w:firstLineChars="200"/>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5、广播电视播出职责与目标：</w:t>
      </w:r>
    </w:p>
    <w:p w14:paraId="143AFC8F">
      <w:pPr>
        <w:spacing w:line="500" w:lineRule="exact"/>
        <w:ind w:firstLine="560"/>
        <w:rPr>
          <w:rFonts w:ascii="仿宋" w:hAnsi="仿宋" w:eastAsia="仿宋"/>
          <w:sz w:val="28"/>
          <w:szCs w:val="28"/>
        </w:rPr>
      </w:pPr>
      <w:r>
        <w:rPr>
          <w:rFonts w:hint="eastAsia" w:asciiTheme="minorEastAsia" w:hAnsiTheme="minorEastAsia" w:eastAsiaTheme="minorEastAsia" w:cstheme="minorEastAsia"/>
          <w:sz w:val="28"/>
          <w:szCs w:val="28"/>
        </w:rPr>
        <w:t>为人民群众提供丰富多彩的广播电视节目</w:t>
      </w:r>
    </w:p>
    <w:p w14:paraId="16DB8F54">
      <w:pPr>
        <w:adjustRightInd w:val="0"/>
        <w:snapToGrid w:val="0"/>
        <w:spacing w:line="560" w:lineRule="exact"/>
        <w:ind w:firstLine="560" w:firstLineChars="200"/>
        <w:rPr>
          <w:rFonts w:ascii="黑体" w:hAnsi="黑体" w:eastAsia="黑体"/>
          <w:sz w:val="28"/>
          <w:szCs w:val="28"/>
        </w:rPr>
      </w:pPr>
      <w:r>
        <w:rPr>
          <w:rFonts w:hint="eastAsia" w:ascii="黑体" w:hAnsi="黑体" w:eastAsia="黑体"/>
          <w:sz w:val="28"/>
          <w:szCs w:val="28"/>
        </w:rPr>
        <w:t>二、自评工作开展情况</w:t>
      </w:r>
    </w:p>
    <w:p w14:paraId="736D267F">
      <w:pPr>
        <w:spacing w:line="560" w:lineRule="exact"/>
        <w:rPr>
          <w:rFonts w:ascii="楷体" w:hAnsi="楷体" w:eastAsia="楷体" w:cs="楷体_GB2312"/>
          <w:sz w:val="28"/>
          <w:szCs w:val="28"/>
        </w:rPr>
      </w:pPr>
      <w:r>
        <w:rPr>
          <w:rFonts w:hint="eastAsia" w:ascii="仿宋" w:hAnsi="仿宋" w:eastAsia="仿宋" w:cs="楷体_GB2312"/>
          <w:b/>
          <w:bCs/>
          <w:sz w:val="28"/>
          <w:szCs w:val="28"/>
        </w:rPr>
        <w:t xml:space="preserve">    </w:t>
      </w:r>
      <w:r>
        <w:rPr>
          <w:rFonts w:hint="eastAsia" w:ascii="楷体" w:hAnsi="楷体" w:eastAsia="楷体" w:cs="楷体_GB2312"/>
          <w:bCs/>
          <w:sz w:val="28"/>
          <w:szCs w:val="28"/>
        </w:rPr>
        <w:t>（一）自评的组织工作</w:t>
      </w:r>
    </w:p>
    <w:p w14:paraId="14A55F49">
      <w:pPr>
        <w:numPr>
          <w:ilvl w:val="0"/>
          <w:numId w:val="0"/>
        </w:numPr>
        <w:ind w:firstLine="560" w:firstLineChars="200"/>
        <w:rPr>
          <w:rFonts w:ascii="仿宋" w:hAnsi="仿宋" w:eastAsia="仿宋"/>
          <w:sz w:val="28"/>
          <w:szCs w:val="28"/>
        </w:rPr>
      </w:pPr>
      <w:r>
        <w:rPr>
          <w:rFonts w:hint="eastAsia" w:asciiTheme="minorEastAsia" w:hAnsiTheme="minorEastAsia" w:eastAsiaTheme="minorEastAsia" w:cstheme="minorEastAsia"/>
          <w:sz w:val="28"/>
          <w:szCs w:val="28"/>
          <w:lang w:eastAsia="zh-CN"/>
        </w:rPr>
        <w:t>井陉县融媒体中心</w:t>
      </w:r>
      <w:r>
        <w:rPr>
          <w:rFonts w:hint="eastAsia" w:asciiTheme="minorEastAsia" w:hAnsiTheme="minorEastAsia" w:eastAsiaTheme="minorEastAsia" w:cstheme="minorEastAsia"/>
          <w:sz w:val="28"/>
          <w:szCs w:val="28"/>
          <w:lang w:val="en-US" w:eastAsia="zh-CN"/>
        </w:rPr>
        <w:t>领导非常重视2025年度项目绩效自评工作，成立了绩效评价工作小组，由一把手高靖华同志担任组长，副主任刘亚军同志担任副组长，由办公室主任，财务人员、新闻、广告、等人员共同组成绩效工作领导小组。</w:t>
      </w:r>
    </w:p>
    <w:p w14:paraId="20C44711">
      <w:pPr>
        <w:numPr>
          <w:ilvl w:val="0"/>
          <w:numId w:val="2"/>
        </w:numPr>
        <w:spacing w:line="560" w:lineRule="exact"/>
        <w:rPr>
          <w:rFonts w:ascii="楷体" w:hAnsi="楷体" w:eastAsia="楷体" w:cs="楷体_GB2312"/>
          <w:bCs/>
          <w:sz w:val="28"/>
          <w:szCs w:val="28"/>
        </w:rPr>
      </w:pPr>
      <w:r>
        <w:rPr>
          <w:rFonts w:hint="eastAsia" w:ascii="楷体" w:hAnsi="楷体" w:eastAsia="楷体" w:cs="楷体_GB2312"/>
          <w:bCs/>
          <w:sz w:val="28"/>
          <w:szCs w:val="28"/>
        </w:rPr>
        <w:t>自评的方法和过程</w:t>
      </w:r>
    </w:p>
    <w:p w14:paraId="700FF2D4">
      <w:pPr>
        <w:widowControl w:val="0"/>
        <w:numPr>
          <w:ilvl w:val="0"/>
          <w:numId w:val="0"/>
        </w:numPr>
        <w:wordWrap/>
        <w:spacing w:line="560" w:lineRule="exact"/>
        <w:ind w:right="0" w:rightChars="0" w:firstLine="560" w:firstLineChars="200"/>
        <w:textAlignment w:val="auto"/>
        <w:outlineLvl w:val="9"/>
        <w:rPr>
          <w:rFonts w:ascii="楷体" w:hAnsi="楷体" w:eastAsia="楷体" w:cs="楷体_GB2312"/>
          <w:bCs/>
          <w:sz w:val="28"/>
          <w:szCs w:val="28"/>
        </w:rPr>
      </w:pPr>
      <w:r>
        <w:rPr>
          <w:rFonts w:hint="eastAsia" w:asciiTheme="minorEastAsia" w:hAnsiTheme="minorEastAsia" w:eastAsiaTheme="minorEastAsia" w:cstheme="minorEastAsia"/>
          <w:b w:val="0"/>
          <w:bCs w:val="0"/>
          <w:sz w:val="28"/>
          <w:szCs w:val="28"/>
          <w:lang w:val="en-US" w:eastAsia="zh-CN"/>
        </w:rPr>
        <w:t>对于资金的使用，我们采取点位结合，实时监督，做到事前预算、事中核算、事后监督的资金使用，对财务出纳拨出的每一笔项目资金都对照绩效评价标准进行检查，发现问题及时纠正，基本做到了笔笔资金用在刀刃上。</w:t>
      </w:r>
    </w:p>
    <w:p w14:paraId="6CA1F83F">
      <w:pPr>
        <w:spacing w:line="560" w:lineRule="exact"/>
        <w:rPr>
          <w:rFonts w:ascii="黑体" w:hAnsi="黑体" w:eastAsia="黑体"/>
          <w:b/>
          <w:bCs/>
          <w:sz w:val="28"/>
          <w:szCs w:val="28"/>
        </w:rPr>
      </w:pPr>
      <w:r>
        <w:rPr>
          <w:rFonts w:hint="eastAsia" w:ascii="黑体" w:hAnsi="黑体" w:eastAsia="黑体"/>
          <w:sz w:val="28"/>
          <w:szCs w:val="28"/>
        </w:rPr>
        <w:t xml:space="preserve">    三、部门整体支出绩效目标实现情况及指标分析</w:t>
      </w:r>
    </w:p>
    <w:p w14:paraId="4ABD2C8C">
      <w:pPr>
        <w:numPr>
          <w:ilvl w:val="0"/>
          <w:numId w:val="3"/>
        </w:numPr>
        <w:spacing w:line="560" w:lineRule="exact"/>
        <w:ind w:firstLine="560" w:firstLineChars="200"/>
        <w:rPr>
          <w:rFonts w:ascii="楷体" w:hAnsi="楷体" w:eastAsia="楷体" w:cs="楷体_GB2312"/>
          <w:bCs/>
          <w:sz w:val="28"/>
          <w:szCs w:val="28"/>
        </w:rPr>
      </w:pPr>
      <w:r>
        <w:rPr>
          <w:rFonts w:hint="eastAsia" w:ascii="楷体" w:hAnsi="楷体" w:eastAsia="楷体" w:cs="楷体_GB2312"/>
          <w:bCs/>
          <w:sz w:val="28"/>
          <w:szCs w:val="28"/>
        </w:rPr>
        <w:t>总体绩效目标实现情况</w:t>
      </w:r>
    </w:p>
    <w:p w14:paraId="135020A2">
      <w:pPr>
        <w:widowControl w:val="0"/>
        <w:numPr>
          <w:ilvl w:val="0"/>
          <w:numId w:val="0"/>
        </w:numPr>
        <w:wordWrap/>
        <w:spacing w:line="560" w:lineRule="exact"/>
        <w:ind w:right="0" w:rightChars="0" w:firstLine="560" w:firstLineChars="200"/>
        <w:textAlignment w:val="auto"/>
        <w:outlineLvl w:val="9"/>
        <w:rPr>
          <w:rFonts w:hint="eastAsia" w:asciiTheme="minorEastAsia" w:hAnsiTheme="minorEastAsia" w:eastAsiaTheme="minorEastAsia" w:cstheme="minorEastAsia"/>
          <w:b/>
          <w:bCs/>
          <w:sz w:val="28"/>
          <w:szCs w:val="28"/>
          <w:lang w:eastAsia="zh-CN"/>
        </w:rPr>
      </w:pPr>
      <w:r>
        <w:rPr>
          <w:rFonts w:hint="eastAsia" w:asciiTheme="minorEastAsia" w:hAnsiTheme="minorEastAsia" w:eastAsiaTheme="minorEastAsia" w:cstheme="minorEastAsia"/>
          <w:bCs/>
          <w:sz w:val="28"/>
          <w:szCs w:val="28"/>
          <w:u w:val="single" w:color="FFFFFF"/>
          <w:lang w:val="en-US"/>
        </w:rPr>
        <w:t xml:space="preserve"> </w:t>
      </w:r>
      <w:r>
        <w:rPr>
          <w:rFonts w:hint="eastAsia" w:asciiTheme="minorEastAsia" w:hAnsiTheme="minorEastAsia" w:eastAsiaTheme="minorEastAsia" w:cstheme="minorEastAsia"/>
          <w:bCs/>
          <w:sz w:val="28"/>
          <w:szCs w:val="28"/>
          <w:u w:val="single" w:color="FFFFFF"/>
          <w:lang w:eastAsia="zh-CN"/>
        </w:rPr>
        <w:t>202</w:t>
      </w:r>
      <w:r>
        <w:rPr>
          <w:rFonts w:hint="eastAsia" w:asciiTheme="minorEastAsia" w:hAnsiTheme="minorEastAsia" w:eastAsiaTheme="minorEastAsia" w:cstheme="minorEastAsia"/>
          <w:bCs/>
          <w:sz w:val="28"/>
          <w:szCs w:val="28"/>
          <w:u w:val="single" w:color="FFFFFF"/>
          <w:lang w:val="en-US" w:eastAsia="zh-CN"/>
        </w:rPr>
        <w:t>5</w:t>
      </w:r>
      <w:r>
        <w:rPr>
          <w:rFonts w:hint="eastAsia" w:asciiTheme="minorEastAsia" w:hAnsiTheme="minorEastAsia" w:eastAsiaTheme="minorEastAsia" w:cstheme="minorEastAsia"/>
          <w:bCs/>
          <w:sz w:val="28"/>
          <w:szCs w:val="28"/>
          <w:u w:val="single" w:color="FFFFFF"/>
        </w:rPr>
        <w:t>年度井陉县融媒体中心部门圆满完成了年初制定的工作任务和年初制定的项目绩效任务，将</w:t>
      </w:r>
      <w:r>
        <w:rPr>
          <w:rFonts w:hint="eastAsia" w:asciiTheme="minorEastAsia" w:hAnsiTheme="minorEastAsia" w:eastAsiaTheme="minorEastAsia" w:cstheme="minorEastAsia"/>
          <w:bCs/>
          <w:sz w:val="28"/>
          <w:szCs w:val="28"/>
          <w:u w:val="single" w:color="FFFFFF"/>
          <w:lang w:eastAsia="zh-CN"/>
        </w:rPr>
        <w:t>中央</w:t>
      </w:r>
      <w:r>
        <w:rPr>
          <w:rFonts w:hint="eastAsia" w:asciiTheme="minorEastAsia" w:hAnsiTheme="minorEastAsia" w:eastAsiaTheme="minorEastAsia" w:cstheme="minorEastAsia"/>
          <w:bCs/>
          <w:sz w:val="28"/>
          <w:szCs w:val="28"/>
          <w:u w:val="single" w:color="FFFFFF"/>
        </w:rPr>
        <w:t>无线覆盖资金实时运用在电视转播维修及运行中，及时将党中央的政策及声音转播给当地人民群众；制作了适合当地百姓的文化娱乐节目，并且将本土文化以专栏形式转播宣传出去，大大提升了我县知名度。</w:t>
      </w:r>
    </w:p>
    <w:p w14:paraId="74DEB0B8">
      <w:pPr>
        <w:spacing w:line="560" w:lineRule="exact"/>
        <w:rPr>
          <w:rFonts w:ascii="楷体" w:hAnsi="楷体" w:eastAsia="楷体"/>
          <w:bCs/>
          <w:sz w:val="28"/>
          <w:szCs w:val="28"/>
        </w:rPr>
      </w:pPr>
      <w:r>
        <w:rPr>
          <w:rFonts w:hint="eastAsia" w:ascii="仿宋" w:hAnsi="仿宋" w:eastAsia="仿宋" w:cs="楷体_GB2312"/>
          <w:b/>
          <w:bCs/>
          <w:sz w:val="28"/>
          <w:szCs w:val="28"/>
        </w:rPr>
        <w:t xml:space="preserve">    </w:t>
      </w:r>
      <w:r>
        <w:rPr>
          <w:rFonts w:hint="eastAsia" w:ascii="楷体" w:hAnsi="楷体" w:eastAsia="楷体" w:cs="楷体_GB2312"/>
          <w:bCs/>
          <w:sz w:val="28"/>
          <w:szCs w:val="28"/>
        </w:rPr>
        <w:t>（二）分项绩效目标实现情况及指标分析</w:t>
      </w:r>
    </w:p>
    <w:p w14:paraId="34B59F53">
      <w:pPr>
        <w:spacing w:line="560" w:lineRule="exact"/>
        <w:ind w:firstLine="640"/>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val="en-US" w:eastAsia="zh-CN"/>
        </w:rPr>
        <w:t>预算执行情况：</w:t>
      </w:r>
    </w:p>
    <w:p w14:paraId="7151E09B">
      <w:pPr>
        <w:numPr>
          <w:ilvl w:val="0"/>
          <w:numId w:val="4"/>
        </w:numPr>
        <w:spacing w:line="560" w:lineRule="exact"/>
        <w:ind w:left="-10" w:leftChars="0" w:firstLine="640" w:firstLineChars="0"/>
        <w:rPr>
          <w:rFonts w:hint="eastAsia" w:asciiTheme="minorEastAsia" w:hAnsiTheme="minorEastAsia" w:eastAsiaTheme="minorEastAsia" w:cstheme="minorEastAsia"/>
          <w:sz w:val="28"/>
          <w:szCs w:val="28"/>
          <w:highlight w:val="none"/>
          <w:lang w:val="en-US" w:eastAsia="zh-CN"/>
        </w:rPr>
      </w:pPr>
      <w:r>
        <w:rPr>
          <w:rFonts w:hint="eastAsia" w:asciiTheme="minorEastAsia" w:hAnsiTheme="minorEastAsia" w:eastAsiaTheme="minorEastAsia" w:cstheme="minorEastAsia"/>
          <w:sz w:val="28"/>
          <w:szCs w:val="28"/>
          <w:highlight w:val="none"/>
          <w:lang w:val="en-US" w:eastAsia="zh-CN"/>
        </w:rPr>
        <w:t>中央补助地方公共文化服务体系建设专项资金项目年初预算安排23.7万元，年末实际执行23.7万元，执行率100%。</w:t>
      </w:r>
    </w:p>
    <w:p w14:paraId="3C96CF01">
      <w:pPr>
        <w:numPr>
          <w:ilvl w:val="0"/>
          <w:numId w:val="4"/>
        </w:numPr>
        <w:spacing w:line="560" w:lineRule="exact"/>
        <w:ind w:left="-10" w:leftChars="0" w:firstLine="640" w:firstLineChars="0"/>
        <w:rPr>
          <w:rFonts w:hint="eastAsia" w:asciiTheme="minorEastAsia" w:hAnsiTheme="minorEastAsia" w:eastAsiaTheme="minorEastAsia" w:cstheme="minorEastAsia"/>
          <w:sz w:val="28"/>
          <w:szCs w:val="28"/>
          <w:highlight w:val="none"/>
          <w:lang w:val="en-US" w:eastAsia="zh-CN"/>
        </w:rPr>
      </w:pPr>
      <w:r>
        <w:rPr>
          <w:rFonts w:hint="eastAsia" w:asciiTheme="minorEastAsia" w:hAnsiTheme="minorEastAsia" w:eastAsiaTheme="minorEastAsia" w:cstheme="minorEastAsia"/>
          <w:sz w:val="28"/>
          <w:szCs w:val="28"/>
          <w:highlight w:val="none"/>
          <w:lang w:val="en-US" w:eastAsia="zh-CN"/>
        </w:rPr>
        <w:t>2025年融媒体运行经费，预算安排340万元，年末实际执行340万元，执行率100%。</w:t>
      </w:r>
    </w:p>
    <w:p w14:paraId="13513003">
      <w:pPr>
        <w:numPr>
          <w:ilvl w:val="0"/>
          <w:numId w:val="4"/>
        </w:numPr>
        <w:spacing w:line="560" w:lineRule="exact"/>
        <w:ind w:left="-10" w:leftChars="0" w:firstLine="640" w:firstLineChars="0"/>
        <w:rPr>
          <w:rFonts w:hint="eastAsia" w:asciiTheme="minorEastAsia" w:hAnsiTheme="minorEastAsia" w:eastAsiaTheme="minorEastAsia" w:cstheme="minorEastAsia"/>
          <w:color w:val="auto"/>
          <w:sz w:val="28"/>
          <w:szCs w:val="28"/>
          <w:highlight w:val="none"/>
          <w:lang w:val="en-US" w:eastAsia="zh-CN"/>
        </w:rPr>
      </w:pPr>
      <w:r>
        <w:rPr>
          <w:rFonts w:hint="eastAsia" w:asciiTheme="minorEastAsia" w:hAnsiTheme="minorEastAsia" w:eastAsiaTheme="minorEastAsia" w:cstheme="minorEastAsia"/>
          <w:sz w:val="28"/>
          <w:szCs w:val="28"/>
          <w:highlight w:val="none"/>
          <w:lang w:val="en-US" w:eastAsia="zh-CN"/>
        </w:rPr>
        <w:t>2025年农村应急广播主动发布终端建设，预算安排45万元，年末实际执行45万元，执行率100%。</w:t>
      </w:r>
    </w:p>
    <w:p w14:paraId="32B98051">
      <w:pPr>
        <w:numPr>
          <w:ilvl w:val="0"/>
          <w:numId w:val="4"/>
        </w:numPr>
        <w:spacing w:line="560" w:lineRule="exact"/>
        <w:ind w:left="-10" w:leftChars="0" w:firstLine="640" w:firstLineChars="0"/>
        <w:rPr>
          <w:rFonts w:hint="eastAsia" w:asciiTheme="minorEastAsia" w:hAnsiTheme="minorEastAsia" w:eastAsiaTheme="minorEastAsia" w:cstheme="minorEastAsia"/>
          <w:color w:val="auto"/>
          <w:sz w:val="28"/>
          <w:szCs w:val="28"/>
          <w:highlight w:val="none"/>
          <w:lang w:val="en-US" w:eastAsia="zh-CN"/>
        </w:rPr>
      </w:pPr>
      <w:r>
        <w:rPr>
          <w:rFonts w:hint="eastAsia" w:asciiTheme="minorEastAsia" w:hAnsiTheme="minorEastAsia" w:eastAsiaTheme="minorEastAsia" w:cstheme="minorEastAsia"/>
          <w:color w:val="auto"/>
          <w:sz w:val="28"/>
          <w:szCs w:val="28"/>
          <w:highlight w:val="none"/>
          <w:lang w:val="en-US" w:eastAsia="zh-CN"/>
        </w:rPr>
        <w:t>井陉县融媒体中心2025年劳务派遣人员经费，预算安排22.59万元，年末实际执行22.59万元，执行率100%。</w:t>
      </w:r>
    </w:p>
    <w:p w14:paraId="3D90E502">
      <w:pPr>
        <w:spacing w:line="560" w:lineRule="exact"/>
        <w:ind w:firstLine="640"/>
        <w:rPr>
          <w:rFonts w:hint="eastAsia" w:asciiTheme="minorEastAsia" w:hAnsiTheme="minorEastAsia" w:eastAsiaTheme="minorEastAsia" w:cstheme="minorEastAsia"/>
          <w:sz w:val="28"/>
          <w:szCs w:val="28"/>
          <w:highlight w:val="none"/>
          <w:lang w:val="en-US" w:eastAsia="zh-CN"/>
        </w:rPr>
      </w:pPr>
      <w:r>
        <w:rPr>
          <w:rFonts w:hint="eastAsia" w:asciiTheme="minorEastAsia" w:hAnsiTheme="minorEastAsia" w:eastAsiaTheme="minorEastAsia" w:cstheme="minorEastAsia"/>
          <w:sz w:val="28"/>
          <w:szCs w:val="28"/>
          <w:highlight w:val="none"/>
          <w:lang w:val="en-US" w:eastAsia="zh-CN"/>
        </w:rPr>
        <w:t>指标分析：</w:t>
      </w:r>
    </w:p>
    <w:p w14:paraId="6A2043A1">
      <w:pPr>
        <w:widowControl w:val="0"/>
        <w:wordWrap/>
        <w:spacing w:line="560" w:lineRule="exact"/>
        <w:ind w:left="0" w:leftChars="0" w:right="0" w:firstLine="560" w:firstLineChars="200"/>
        <w:textAlignment w:val="auto"/>
        <w:outlineLvl w:val="9"/>
        <w:rPr>
          <w:rFonts w:hint="default" w:asciiTheme="minorEastAsia" w:hAnsiTheme="minorEastAsia" w:eastAsiaTheme="minorEastAsia" w:cstheme="minorEastAsia"/>
          <w:sz w:val="28"/>
          <w:szCs w:val="28"/>
          <w:highlight w:val="none"/>
          <w:lang w:val="en-US" w:eastAsia="zh-CN"/>
        </w:rPr>
      </w:pPr>
      <w:r>
        <w:rPr>
          <w:rFonts w:hint="eastAsia" w:asciiTheme="minorEastAsia" w:hAnsiTheme="minorEastAsia" w:eastAsiaTheme="minorEastAsia" w:cstheme="minorEastAsia"/>
          <w:sz w:val="28"/>
          <w:szCs w:val="28"/>
          <w:highlight w:val="none"/>
          <w:lang w:val="en-US" w:eastAsia="zh-CN"/>
        </w:rPr>
        <w:t>预算项目安排4个，实际完成数量4个，其项目产出，项目效益及满意度</w:t>
      </w:r>
      <w:r>
        <w:rPr>
          <w:rFonts w:hint="eastAsia" w:asciiTheme="minorEastAsia" w:hAnsiTheme="minorEastAsia" w:eastAsiaTheme="minorEastAsia" w:cstheme="minorEastAsia"/>
          <w:sz w:val="28"/>
          <w:szCs w:val="28"/>
          <w:highlight w:val="none"/>
        </w:rPr>
        <w:t>，</w:t>
      </w:r>
      <w:r>
        <w:rPr>
          <w:rFonts w:hint="eastAsia" w:asciiTheme="minorEastAsia" w:hAnsiTheme="minorEastAsia" w:eastAsiaTheme="minorEastAsia" w:cstheme="minorEastAsia"/>
          <w:sz w:val="28"/>
          <w:szCs w:val="28"/>
          <w:highlight w:val="none"/>
          <w:lang w:eastAsia="zh-CN"/>
        </w:rPr>
        <w:t>均已达到年初安排。</w:t>
      </w:r>
    </w:p>
    <w:p w14:paraId="52D655BC">
      <w:pPr>
        <w:spacing w:line="560" w:lineRule="exact"/>
        <w:ind w:firstLine="640"/>
        <w:rPr>
          <w:rFonts w:ascii="黑体" w:hAnsi="黑体" w:eastAsia="黑体"/>
          <w:sz w:val="28"/>
          <w:szCs w:val="28"/>
        </w:rPr>
      </w:pPr>
      <w:r>
        <w:rPr>
          <w:rFonts w:hint="eastAsia" w:ascii="黑体" w:hAnsi="黑体" w:eastAsia="黑体"/>
          <w:sz w:val="28"/>
          <w:szCs w:val="28"/>
        </w:rPr>
        <w:t>四、评价结论和评价等级</w:t>
      </w:r>
    </w:p>
    <w:p w14:paraId="7F6D726D">
      <w:pPr>
        <w:spacing w:line="560" w:lineRule="exact"/>
        <w:ind w:firstLine="560" w:firstLineChars="200"/>
        <w:rPr>
          <w:rFonts w:hint="eastAsia" w:ascii="仿宋" w:hAnsi="仿宋" w:eastAsia="仿宋"/>
          <w:sz w:val="28"/>
          <w:szCs w:val="28"/>
        </w:rPr>
      </w:pPr>
      <w:r>
        <w:rPr>
          <w:rFonts w:hint="eastAsia" w:ascii="仿宋" w:hAnsi="仿宋" w:eastAsia="仿宋"/>
          <w:sz w:val="28"/>
          <w:szCs w:val="28"/>
        </w:rPr>
        <w:t>根据部门职责定位和各项工作履职情况进行综合评价，给出总得分，满分100分，得出综合绩效评价等级。部门整体支出综合绩效评价分为4个等级：得分</w:t>
      </w:r>
      <w:r>
        <w:rPr>
          <w:rFonts w:ascii="仿宋" w:hAnsi="仿宋" w:eastAsia="仿宋" w:cs="Arial"/>
          <w:sz w:val="28"/>
          <w:szCs w:val="28"/>
        </w:rPr>
        <w:t>≥</w:t>
      </w:r>
      <w:r>
        <w:rPr>
          <w:rFonts w:hint="eastAsia" w:ascii="仿宋" w:hAnsi="仿宋" w:eastAsia="仿宋"/>
          <w:sz w:val="28"/>
          <w:szCs w:val="28"/>
        </w:rPr>
        <w:t>85分为优秀；75</w:t>
      </w:r>
      <w:r>
        <w:rPr>
          <w:rFonts w:ascii="仿宋" w:hAnsi="仿宋" w:eastAsia="仿宋" w:cs="Arial"/>
          <w:sz w:val="28"/>
          <w:szCs w:val="28"/>
        </w:rPr>
        <w:t>≤</w:t>
      </w:r>
      <w:r>
        <w:rPr>
          <w:rFonts w:hint="eastAsia" w:ascii="仿宋" w:hAnsi="仿宋" w:eastAsia="仿宋"/>
          <w:sz w:val="28"/>
          <w:szCs w:val="28"/>
        </w:rPr>
        <w:t>得分＜85分为良好；60</w:t>
      </w:r>
      <w:r>
        <w:rPr>
          <w:rFonts w:ascii="仿宋" w:hAnsi="仿宋" w:eastAsia="仿宋" w:cs="Arial"/>
          <w:sz w:val="28"/>
          <w:szCs w:val="28"/>
        </w:rPr>
        <w:t>≤</w:t>
      </w:r>
      <w:r>
        <w:rPr>
          <w:rFonts w:hint="eastAsia" w:ascii="仿宋" w:hAnsi="仿宋" w:eastAsia="仿宋"/>
          <w:sz w:val="28"/>
          <w:szCs w:val="28"/>
        </w:rPr>
        <w:t>得分＜75分为一般；得分＜60分为较差。</w:t>
      </w:r>
    </w:p>
    <w:p w14:paraId="573624A2">
      <w:pPr>
        <w:widowControl w:val="0"/>
        <w:wordWrap/>
        <w:spacing w:line="560" w:lineRule="exact"/>
        <w:ind w:left="0" w:leftChars="0" w:right="0" w:firstLine="560" w:firstLineChars="200"/>
        <w:textAlignment w:val="auto"/>
        <w:outlineLvl w:val="9"/>
        <w:rPr>
          <w:rFonts w:hint="eastAsia" w:ascii="仿宋" w:hAnsi="仿宋" w:eastAsia="仿宋"/>
          <w:sz w:val="28"/>
          <w:szCs w:val="28"/>
        </w:rPr>
      </w:pPr>
      <w:r>
        <w:rPr>
          <w:rFonts w:hint="eastAsia" w:asciiTheme="minorEastAsia" w:hAnsiTheme="minorEastAsia" w:eastAsiaTheme="minorEastAsia" w:cstheme="minorEastAsia"/>
          <w:sz w:val="28"/>
          <w:szCs w:val="28"/>
          <w:lang w:val="en-US" w:eastAsia="zh-CN"/>
        </w:rPr>
        <w:t>中央补助地方公共文化服务体系建设专项资金项目</w:t>
      </w:r>
      <w:r>
        <w:rPr>
          <w:rFonts w:hint="eastAsia" w:asciiTheme="minorEastAsia" w:hAnsiTheme="minorEastAsia" w:eastAsiaTheme="minorEastAsia" w:cstheme="minorEastAsia"/>
          <w:sz w:val="28"/>
          <w:szCs w:val="28"/>
        </w:rPr>
        <w:t>总得分</w:t>
      </w:r>
      <w:r>
        <w:rPr>
          <w:rFonts w:hint="eastAsia" w:asciiTheme="minorEastAsia" w:hAnsiTheme="minorEastAsia" w:eastAsiaTheme="minorEastAsia" w:cstheme="minorEastAsia"/>
          <w:sz w:val="28"/>
          <w:szCs w:val="28"/>
          <w:lang w:val="en-US" w:eastAsia="zh-CN"/>
        </w:rPr>
        <w:t>98分。</w:t>
      </w:r>
    </w:p>
    <w:p w14:paraId="21CB2968">
      <w:pPr>
        <w:spacing w:line="560" w:lineRule="exact"/>
        <w:ind w:firstLine="560" w:firstLineChars="200"/>
        <w:rPr>
          <w:rFonts w:ascii="黑体" w:hAnsi="黑体" w:eastAsia="黑体"/>
          <w:sz w:val="28"/>
          <w:szCs w:val="28"/>
        </w:rPr>
      </w:pPr>
      <w:r>
        <w:rPr>
          <w:rFonts w:hint="eastAsia" w:ascii="黑体" w:hAnsi="黑体" w:eastAsia="黑体"/>
          <w:sz w:val="28"/>
          <w:szCs w:val="28"/>
        </w:rPr>
        <w:t>五、存在的问题及改进措施</w:t>
      </w:r>
    </w:p>
    <w:p w14:paraId="3FBB554B">
      <w:pPr>
        <w:spacing w:line="560" w:lineRule="exact"/>
        <w:ind w:firstLine="560" w:firstLineChars="200"/>
        <w:rPr>
          <w:rFonts w:hint="eastAsia" w:ascii="楷体" w:hAnsi="楷体" w:eastAsia="楷体"/>
          <w:bCs/>
          <w:sz w:val="28"/>
          <w:szCs w:val="28"/>
        </w:rPr>
      </w:pPr>
      <w:r>
        <w:rPr>
          <w:rFonts w:hint="eastAsia" w:ascii="楷体" w:hAnsi="楷体" w:eastAsia="楷体"/>
          <w:bCs/>
          <w:sz w:val="28"/>
          <w:szCs w:val="28"/>
        </w:rPr>
        <w:t>（一）存在的主要问题</w:t>
      </w:r>
    </w:p>
    <w:p w14:paraId="4CC378AB">
      <w:pPr>
        <w:spacing w:line="560" w:lineRule="exact"/>
        <w:ind w:firstLine="560" w:firstLineChars="200"/>
        <w:rPr>
          <w:rFonts w:hint="eastAsia" w:ascii="楷体" w:hAnsi="楷体" w:eastAsia="楷体"/>
          <w:bCs/>
          <w:sz w:val="28"/>
          <w:szCs w:val="28"/>
        </w:rPr>
      </w:pPr>
      <w:r>
        <w:rPr>
          <w:rFonts w:hint="eastAsia" w:asciiTheme="minorEastAsia" w:hAnsiTheme="minorEastAsia" w:eastAsiaTheme="minorEastAsia" w:cstheme="minorEastAsia"/>
          <w:b w:val="0"/>
          <w:bCs w:val="0"/>
          <w:sz w:val="28"/>
          <w:szCs w:val="28"/>
          <w:lang w:val="en-US" w:eastAsia="zh-CN"/>
        </w:rPr>
        <w:t>2025年绩效</w:t>
      </w:r>
      <w:r>
        <w:rPr>
          <w:rFonts w:hint="eastAsia" w:asciiTheme="minorEastAsia" w:hAnsiTheme="minorEastAsia" w:eastAsiaTheme="minorEastAsia" w:cstheme="minorEastAsia"/>
          <w:b w:val="0"/>
          <w:bCs w:val="0"/>
          <w:sz w:val="28"/>
          <w:szCs w:val="28"/>
        </w:rPr>
        <w:t>项目</w:t>
      </w:r>
      <w:r>
        <w:rPr>
          <w:rFonts w:hint="eastAsia" w:asciiTheme="minorEastAsia" w:hAnsiTheme="minorEastAsia" w:eastAsiaTheme="minorEastAsia" w:cstheme="minorEastAsia"/>
          <w:b w:val="0"/>
          <w:bCs w:val="0"/>
          <w:sz w:val="28"/>
          <w:szCs w:val="28"/>
          <w:lang w:val="en-US" w:eastAsia="zh-CN"/>
        </w:rPr>
        <w:t>实施过程中我们发现有些地方计划不够周密，好在绩效评价领导小组及给予意见，才避免了资金损失。</w:t>
      </w:r>
    </w:p>
    <w:p w14:paraId="7524BE97">
      <w:pPr>
        <w:numPr>
          <w:ilvl w:val="0"/>
          <w:numId w:val="3"/>
        </w:numPr>
        <w:spacing w:line="560" w:lineRule="exact"/>
        <w:ind w:left="0" w:leftChars="0" w:firstLine="560" w:firstLineChars="200"/>
        <w:rPr>
          <w:rFonts w:hint="eastAsia" w:ascii="楷体" w:hAnsi="楷体" w:eastAsia="楷体"/>
          <w:bCs/>
          <w:sz w:val="28"/>
          <w:szCs w:val="28"/>
        </w:rPr>
      </w:pPr>
      <w:r>
        <w:rPr>
          <w:rFonts w:hint="eastAsia" w:ascii="楷体" w:hAnsi="楷体" w:eastAsia="楷体"/>
          <w:bCs/>
          <w:sz w:val="28"/>
          <w:szCs w:val="28"/>
        </w:rPr>
        <w:t>针对问题提出具体的改进措施或建议</w:t>
      </w:r>
    </w:p>
    <w:p w14:paraId="78CFAF92">
      <w:pPr>
        <w:numPr>
          <w:ilvl w:val="0"/>
          <w:numId w:val="0"/>
        </w:numPr>
        <w:ind w:firstLine="560" w:firstLineChars="200"/>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b w:val="0"/>
          <w:bCs w:val="0"/>
          <w:sz w:val="28"/>
          <w:szCs w:val="28"/>
          <w:lang w:val="en-US" w:eastAsia="zh-CN"/>
        </w:rPr>
        <w:t>通过对2025年度项目绩效自评，使我们认识到，财政资金要想用好每一分钱，使其价值效益最大化，必须确定单位年度预算目标，细化预算指标，科学合理编制部门预算，推进预算半只科学化。今后我们加强预算绩效管理制度学习，统一思想，提高认识，树立资金使用要有效率及有效益的理念，加强内部控制建设与评价内部管理制度，高标准做好本单位支出预算资金安排工作。使项目中的每笔资金效益最大化。</w:t>
      </w:r>
    </w:p>
    <w:p w14:paraId="6BBF1BAB">
      <w:pPr>
        <w:adjustRightInd w:val="0"/>
        <w:snapToGrid w:val="0"/>
        <w:spacing w:line="560" w:lineRule="exact"/>
        <w:ind w:firstLine="560" w:firstLineChars="200"/>
        <w:rPr>
          <w:rFonts w:ascii="黑体" w:hAnsi="黑体" w:eastAsia="黑体"/>
          <w:sz w:val="28"/>
          <w:szCs w:val="28"/>
        </w:rPr>
      </w:pPr>
      <w:r>
        <w:rPr>
          <w:rFonts w:hint="eastAsia" w:ascii="黑体" w:hAnsi="黑体" w:eastAsia="黑体"/>
          <w:sz w:val="28"/>
          <w:szCs w:val="28"/>
        </w:rPr>
        <w:t>六、评价工作组人员名单及签字（姓名、工作单位、职务、职称）</w:t>
      </w:r>
    </w:p>
    <w:tbl>
      <w:tblPr>
        <w:tblStyle w:val="5"/>
        <w:tblpPr w:leftFromText="180" w:rightFromText="180" w:vertAnchor="text" w:horzAnchor="page" w:tblpX="1558" w:tblpY="136"/>
        <w:tblOverlap w:val="never"/>
        <w:tblW w:w="863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27"/>
        <w:gridCol w:w="1727"/>
        <w:gridCol w:w="1826"/>
        <w:gridCol w:w="1769"/>
        <w:gridCol w:w="1588"/>
      </w:tblGrid>
      <w:tr w14:paraId="02F127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 w:hRule="atLeast"/>
        </w:trPr>
        <w:tc>
          <w:tcPr>
            <w:tcW w:w="1727" w:type="dxa"/>
          </w:tcPr>
          <w:p w14:paraId="736E4D71">
            <w:pPr>
              <w:widowControl w:val="0"/>
              <w:wordWrap/>
              <w:spacing w:line="560" w:lineRule="exact"/>
              <w:ind w:right="0"/>
              <w:jc w:val="center"/>
              <w:textAlignment w:val="auto"/>
              <w:outlineLvl w:val="9"/>
              <w:rPr>
                <w:rFonts w:hint="eastAsia" w:ascii="仿宋" w:hAnsi="仿宋" w:eastAsia="仿宋"/>
                <w:sz w:val="28"/>
                <w:szCs w:val="28"/>
                <w:vertAlign w:val="baseline"/>
                <w:lang w:eastAsia="zh-CN"/>
              </w:rPr>
            </w:pPr>
            <w:r>
              <w:rPr>
                <w:rFonts w:hint="eastAsia" w:ascii="仿宋" w:hAnsi="仿宋" w:eastAsia="仿宋"/>
                <w:sz w:val="28"/>
                <w:szCs w:val="28"/>
                <w:vertAlign w:val="baseline"/>
                <w:lang w:eastAsia="zh-CN"/>
              </w:rPr>
              <w:t>小组成员</w:t>
            </w:r>
          </w:p>
        </w:tc>
        <w:tc>
          <w:tcPr>
            <w:tcW w:w="1727" w:type="dxa"/>
          </w:tcPr>
          <w:p w14:paraId="08B9C52A">
            <w:pPr>
              <w:widowControl w:val="0"/>
              <w:wordWrap/>
              <w:spacing w:line="560" w:lineRule="exact"/>
              <w:ind w:right="0"/>
              <w:jc w:val="center"/>
              <w:textAlignment w:val="auto"/>
              <w:outlineLvl w:val="9"/>
              <w:rPr>
                <w:rFonts w:hint="eastAsia" w:ascii="仿宋" w:hAnsi="仿宋" w:eastAsia="仿宋"/>
                <w:sz w:val="28"/>
                <w:szCs w:val="28"/>
                <w:vertAlign w:val="baseline"/>
                <w:lang w:eastAsia="zh-CN"/>
              </w:rPr>
            </w:pPr>
            <w:r>
              <w:rPr>
                <w:rFonts w:hint="eastAsia" w:ascii="仿宋" w:hAnsi="仿宋" w:eastAsia="仿宋"/>
                <w:sz w:val="28"/>
                <w:szCs w:val="28"/>
                <w:vertAlign w:val="baseline"/>
                <w:lang w:eastAsia="zh-CN"/>
              </w:rPr>
              <w:t>姓名</w:t>
            </w:r>
          </w:p>
        </w:tc>
        <w:tc>
          <w:tcPr>
            <w:tcW w:w="1826" w:type="dxa"/>
          </w:tcPr>
          <w:p w14:paraId="6E516A4B">
            <w:pPr>
              <w:widowControl w:val="0"/>
              <w:wordWrap/>
              <w:spacing w:line="560" w:lineRule="exact"/>
              <w:ind w:right="0"/>
              <w:jc w:val="center"/>
              <w:textAlignment w:val="auto"/>
              <w:outlineLvl w:val="9"/>
              <w:rPr>
                <w:rFonts w:hint="eastAsia" w:ascii="仿宋" w:hAnsi="仿宋" w:eastAsia="仿宋"/>
                <w:sz w:val="28"/>
                <w:szCs w:val="28"/>
                <w:vertAlign w:val="baseline"/>
                <w:lang w:eastAsia="zh-CN"/>
              </w:rPr>
            </w:pPr>
            <w:r>
              <w:rPr>
                <w:rFonts w:hint="eastAsia" w:ascii="仿宋" w:hAnsi="仿宋" w:eastAsia="仿宋"/>
                <w:sz w:val="28"/>
                <w:szCs w:val="28"/>
                <w:vertAlign w:val="baseline"/>
                <w:lang w:eastAsia="zh-CN"/>
              </w:rPr>
              <w:t>工作单位</w:t>
            </w:r>
          </w:p>
        </w:tc>
        <w:tc>
          <w:tcPr>
            <w:tcW w:w="1769" w:type="dxa"/>
          </w:tcPr>
          <w:p w14:paraId="52806995">
            <w:pPr>
              <w:widowControl w:val="0"/>
              <w:wordWrap/>
              <w:spacing w:line="560" w:lineRule="exact"/>
              <w:ind w:right="0"/>
              <w:jc w:val="center"/>
              <w:textAlignment w:val="auto"/>
              <w:outlineLvl w:val="9"/>
              <w:rPr>
                <w:rFonts w:hint="eastAsia" w:ascii="仿宋" w:hAnsi="仿宋" w:eastAsia="仿宋"/>
                <w:sz w:val="28"/>
                <w:szCs w:val="28"/>
                <w:vertAlign w:val="baseline"/>
                <w:lang w:eastAsia="zh-CN"/>
              </w:rPr>
            </w:pPr>
            <w:r>
              <w:rPr>
                <w:rFonts w:hint="eastAsia" w:ascii="仿宋" w:hAnsi="仿宋" w:eastAsia="仿宋"/>
                <w:sz w:val="28"/>
                <w:szCs w:val="28"/>
                <w:vertAlign w:val="baseline"/>
                <w:lang w:eastAsia="zh-CN"/>
              </w:rPr>
              <w:t>职务</w:t>
            </w:r>
          </w:p>
        </w:tc>
        <w:tc>
          <w:tcPr>
            <w:tcW w:w="1588" w:type="dxa"/>
          </w:tcPr>
          <w:p w14:paraId="1AFD3750">
            <w:pPr>
              <w:widowControl w:val="0"/>
              <w:wordWrap/>
              <w:spacing w:line="560" w:lineRule="exact"/>
              <w:ind w:right="0"/>
              <w:jc w:val="center"/>
              <w:textAlignment w:val="auto"/>
              <w:outlineLvl w:val="9"/>
              <w:rPr>
                <w:rFonts w:hint="eastAsia" w:ascii="仿宋" w:hAnsi="仿宋" w:eastAsia="仿宋"/>
                <w:sz w:val="28"/>
                <w:szCs w:val="28"/>
                <w:vertAlign w:val="baseline"/>
                <w:lang w:eastAsia="zh-CN"/>
              </w:rPr>
            </w:pPr>
            <w:r>
              <w:rPr>
                <w:rFonts w:hint="eastAsia" w:ascii="仿宋" w:hAnsi="仿宋" w:eastAsia="仿宋"/>
                <w:sz w:val="28"/>
                <w:szCs w:val="28"/>
                <w:vertAlign w:val="baseline"/>
                <w:lang w:eastAsia="zh-CN"/>
              </w:rPr>
              <w:t>备注</w:t>
            </w:r>
          </w:p>
        </w:tc>
      </w:tr>
      <w:tr w14:paraId="3BF666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6" w:hRule="atLeast"/>
        </w:trPr>
        <w:tc>
          <w:tcPr>
            <w:tcW w:w="1727" w:type="dxa"/>
          </w:tcPr>
          <w:p w14:paraId="775BA1BF">
            <w:pPr>
              <w:widowControl w:val="0"/>
              <w:wordWrap/>
              <w:spacing w:line="560" w:lineRule="exact"/>
              <w:ind w:right="0"/>
              <w:jc w:val="center"/>
              <w:textAlignment w:val="auto"/>
              <w:outlineLvl w:val="9"/>
              <w:rPr>
                <w:rFonts w:hint="eastAsia" w:ascii="仿宋" w:hAnsi="仿宋" w:eastAsia="仿宋"/>
                <w:sz w:val="28"/>
                <w:szCs w:val="28"/>
                <w:highlight w:val="none"/>
                <w:vertAlign w:val="baseline"/>
                <w:lang w:eastAsia="zh-CN"/>
              </w:rPr>
            </w:pPr>
            <w:r>
              <w:rPr>
                <w:rFonts w:hint="eastAsia" w:ascii="仿宋" w:hAnsi="仿宋" w:eastAsia="仿宋"/>
                <w:sz w:val="28"/>
                <w:szCs w:val="28"/>
                <w:highlight w:val="none"/>
                <w:vertAlign w:val="baseline"/>
                <w:lang w:eastAsia="zh-CN"/>
              </w:rPr>
              <w:t>组长</w:t>
            </w:r>
          </w:p>
        </w:tc>
        <w:tc>
          <w:tcPr>
            <w:tcW w:w="1727" w:type="dxa"/>
          </w:tcPr>
          <w:p w14:paraId="4B06ADFB">
            <w:pPr>
              <w:widowControl w:val="0"/>
              <w:wordWrap/>
              <w:spacing w:line="560" w:lineRule="exact"/>
              <w:ind w:right="0"/>
              <w:jc w:val="center"/>
              <w:textAlignment w:val="auto"/>
              <w:outlineLvl w:val="9"/>
              <w:rPr>
                <w:rFonts w:hint="eastAsia" w:ascii="仿宋" w:hAnsi="仿宋" w:eastAsia="仿宋"/>
                <w:sz w:val="28"/>
                <w:szCs w:val="28"/>
                <w:highlight w:val="none"/>
                <w:vertAlign w:val="baseline"/>
                <w:lang w:eastAsia="zh-CN"/>
              </w:rPr>
            </w:pPr>
            <w:r>
              <w:rPr>
                <w:rFonts w:hint="eastAsia" w:ascii="仿宋" w:hAnsi="仿宋" w:eastAsia="仿宋"/>
                <w:sz w:val="28"/>
                <w:szCs w:val="28"/>
                <w:highlight w:val="none"/>
                <w:vertAlign w:val="baseline"/>
                <w:lang w:eastAsia="zh-CN"/>
              </w:rPr>
              <w:t>高靖华</w:t>
            </w:r>
          </w:p>
        </w:tc>
        <w:tc>
          <w:tcPr>
            <w:tcW w:w="1826" w:type="dxa"/>
          </w:tcPr>
          <w:p w14:paraId="3D80B224">
            <w:pPr>
              <w:widowControl w:val="0"/>
              <w:wordWrap/>
              <w:spacing w:line="560" w:lineRule="exact"/>
              <w:ind w:right="0"/>
              <w:jc w:val="center"/>
              <w:textAlignment w:val="auto"/>
              <w:outlineLvl w:val="9"/>
              <w:rPr>
                <w:rFonts w:hint="eastAsia" w:ascii="仿宋" w:hAnsi="仿宋" w:eastAsia="仿宋"/>
                <w:sz w:val="28"/>
                <w:szCs w:val="28"/>
                <w:highlight w:val="none"/>
                <w:vertAlign w:val="baseline"/>
                <w:lang w:eastAsia="zh-CN"/>
              </w:rPr>
            </w:pPr>
            <w:r>
              <w:rPr>
                <w:rFonts w:hint="eastAsia" w:ascii="仿宋" w:hAnsi="仿宋" w:eastAsia="仿宋"/>
                <w:sz w:val="28"/>
                <w:szCs w:val="28"/>
                <w:highlight w:val="none"/>
                <w:vertAlign w:val="baseline"/>
                <w:lang w:eastAsia="zh-CN"/>
              </w:rPr>
              <w:t>井陉县融媒体中心</w:t>
            </w:r>
          </w:p>
        </w:tc>
        <w:tc>
          <w:tcPr>
            <w:tcW w:w="1769" w:type="dxa"/>
          </w:tcPr>
          <w:p w14:paraId="71FBB217">
            <w:pPr>
              <w:widowControl w:val="0"/>
              <w:wordWrap/>
              <w:spacing w:line="560" w:lineRule="exact"/>
              <w:ind w:right="0"/>
              <w:jc w:val="center"/>
              <w:textAlignment w:val="auto"/>
              <w:outlineLvl w:val="9"/>
              <w:rPr>
                <w:rFonts w:hint="eastAsia" w:ascii="仿宋" w:hAnsi="仿宋" w:eastAsia="仿宋"/>
                <w:sz w:val="28"/>
                <w:szCs w:val="28"/>
                <w:highlight w:val="none"/>
                <w:vertAlign w:val="baseline"/>
                <w:lang w:eastAsia="zh-CN"/>
              </w:rPr>
            </w:pPr>
            <w:r>
              <w:rPr>
                <w:rFonts w:hint="eastAsia" w:ascii="仿宋" w:hAnsi="仿宋" w:eastAsia="仿宋"/>
                <w:sz w:val="28"/>
                <w:szCs w:val="28"/>
                <w:highlight w:val="none"/>
                <w:vertAlign w:val="baseline"/>
                <w:lang w:eastAsia="zh-CN"/>
              </w:rPr>
              <w:t>宣传部副部长</w:t>
            </w:r>
          </w:p>
        </w:tc>
        <w:tc>
          <w:tcPr>
            <w:tcW w:w="1588" w:type="dxa"/>
          </w:tcPr>
          <w:p w14:paraId="6B2B90BF">
            <w:pPr>
              <w:widowControl w:val="0"/>
              <w:wordWrap/>
              <w:spacing w:line="560" w:lineRule="exact"/>
              <w:ind w:right="0"/>
              <w:jc w:val="center"/>
              <w:textAlignment w:val="auto"/>
              <w:outlineLvl w:val="9"/>
              <w:rPr>
                <w:rFonts w:hint="eastAsia" w:ascii="仿宋" w:hAnsi="仿宋" w:eastAsia="仿宋"/>
                <w:sz w:val="28"/>
                <w:szCs w:val="28"/>
                <w:highlight w:val="none"/>
                <w:vertAlign w:val="baseline"/>
                <w:lang w:eastAsia="zh-CN"/>
              </w:rPr>
            </w:pPr>
            <w:r>
              <w:rPr>
                <w:rFonts w:hint="eastAsia" w:ascii="仿宋" w:hAnsi="仿宋" w:eastAsia="仿宋"/>
                <w:sz w:val="28"/>
                <w:szCs w:val="28"/>
                <w:highlight w:val="none"/>
                <w:vertAlign w:val="baseline"/>
                <w:lang w:eastAsia="zh-CN"/>
              </w:rPr>
              <w:t>融媒体中心主任</w:t>
            </w:r>
          </w:p>
        </w:tc>
      </w:tr>
      <w:tr w14:paraId="073CD9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5" w:hRule="atLeast"/>
        </w:trPr>
        <w:tc>
          <w:tcPr>
            <w:tcW w:w="1727" w:type="dxa"/>
          </w:tcPr>
          <w:p w14:paraId="0F46F752">
            <w:pPr>
              <w:widowControl w:val="0"/>
              <w:wordWrap/>
              <w:spacing w:line="560" w:lineRule="exact"/>
              <w:ind w:right="0"/>
              <w:jc w:val="center"/>
              <w:textAlignment w:val="auto"/>
              <w:outlineLvl w:val="9"/>
              <w:rPr>
                <w:rFonts w:hint="eastAsia" w:ascii="仿宋" w:hAnsi="仿宋" w:eastAsia="仿宋"/>
                <w:sz w:val="28"/>
                <w:szCs w:val="28"/>
                <w:vertAlign w:val="baseline"/>
                <w:lang w:eastAsia="zh-CN"/>
              </w:rPr>
            </w:pPr>
            <w:r>
              <w:rPr>
                <w:rFonts w:hint="eastAsia" w:ascii="仿宋" w:hAnsi="仿宋" w:eastAsia="仿宋"/>
                <w:sz w:val="28"/>
                <w:szCs w:val="28"/>
                <w:vertAlign w:val="baseline"/>
                <w:lang w:eastAsia="zh-CN"/>
              </w:rPr>
              <w:t>副组长</w:t>
            </w:r>
          </w:p>
        </w:tc>
        <w:tc>
          <w:tcPr>
            <w:tcW w:w="1727" w:type="dxa"/>
          </w:tcPr>
          <w:p w14:paraId="35CF746B">
            <w:pPr>
              <w:widowControl w:val="0"/>
              <w:wordWrap/>
              <w:spacing w:line="560" w:lineRule="exact"/>
              <w:ind w:right="0"/>
              <w:jc w:val="center"/>
              <w:textAlignment w:val="auto"/>
              <w:outlineLvl w:val="9"/>
              <w:rPr>
                <w:rFonts w:ascii="仿宋" w:hAnsi="仿宋" w:eastAsia="仿宋"/>
                <w:sz w:val="28"/>
                <w:szCs w:val="28"/>
                <w:vertAlign w:val="baseline"/>
              </w:rPr>
            </w:pPr>
            <w:r>
              <w:rPr>
                <w:rFonts w:hint="eastAsia" w:ascii="仿宋" w:hAnsi="仿宋" w:eastAsia="仿宋"/>
                <w:sz w:val="28"/>
                <w:szCs w:val="28"/>
                <w:vertAlign w:val="baseline"/>
                <w:lang w:eastAsia="zh-CN"/>
              </w:rPr>
              <w:t>李贤科</w:t>
            </w:r>
          </w:p>
        </w:tc>
        <w:tc>
          <w:tcPr>
            <w:tcW w:w="1826" w:type="dxa"/>
          </w:tcPr>
          <w:p w14:paraId="2E70A3AE">
            <w:pPr>
              <w:widowControl w:val="0"/>
              <w:wordWrap/>
              <w:spacing w:line="560" w:lineRule="exact"/>
              <w:ind w:right="0"/>
              <w:jc w:val="center"/>
              <w:textAlignment w:val="auto"/>
              <w:outlineLvl w:val="9"/>
              <w:rPr>
                <w:rFonts w:ascii="仿宋" w:hAnsi="仿宋" w:eastAsia="仿宋"/>
                <w:sz w:val="28"/>
                <w:szCs w:val="28"/>
                <w:vertAlign w:val="baseline"/>
              </w:rPr>
            </w:pPr>
            <w:r>
              <w:rPr>
                <w:rFonts w:hint="eastAsia" w:ascii="仿宋" w:hAnsi="仿宋" w:eastAsia="仿宋"/>
                <w:sz w:val="28"/>
                <w:szCs w:val="28"/>
                <w:vertAlign w:val="baseline"/>
                <w:lang w:eastAsia="zh-CN"/>
              </w:rPr>
              <w:t>井陉县融媒体中心</w:t>
            </w:r>
          </w:p>
        </w:tc>
        <w:tc>
          <w:tcPr>
            <w:tcW w:w="1769" w:type="dxa"/>
          </w:tcPr>
          <w:p w14:paraId="4C4E5AFD">
            <w:pPr>
              <w:widowControl w:val="0"/>
              <w:wordWrap/>
              <w:spacing w:line="560" w:lineRule="exact"/>
              <w:ind w:right="0"/>
              <w:jc w:val="center"/>
              <w:textAlignment w:val="auto"/>
              <w:outlineLvl w:val="9"/>
              <w:rPr>
                <w:rFonts w:hint="eastAsia" w:ascii="仿宋" w:hAnsi="仿宋" w:eastAsia="仿宋"/>
                <w:sz w:val="28"/>
                <w:szCs w:val="28"/>
                <w:vertAlign w:val="baseline"/>
                <w:lang w:eastAsia="zh-CN"/>
              </w:rPr>
            </w:pPr>
            <w:r>
              <w:rPr>
                <w:rFonts w:hint="eastAsia" w:ascii="仿宋" w:hAnsi="仿宋" w:eastAsia="仿宋"/>
                <w:sz w:val="28"/>
                <w:szCs w:val="28"/>
                <w:vertAlign w:val="baseline"/>
                <w:lang w:eastAsia="zh-CN"/>
              </w:rPr>
              <w:t>融媒体中心副主任</w:t>
            </w:r>
          </w:p>
        </w:tc>
        <w:tc>
          <w:tcPr>
            <w:tcW w:w="1588" w:type="dxa"/>
          </w:tcPr>
          <w:p w14:paraId="5F88038C">
            <w:pPr>
              <w:widowControl w:val="0"/>
              <w:wordWrap/>
              <w:spacing w:line="560" w:lineRule="exact"/>
              <w:ind w:right="0"/>
              <w:jc w:val="center"/>
              <w:textAlignment w:val="auto"/>
              <w:outlineLvl w:val="9"/>
              <w:rPr>
                <w:rFonts w:ascii="仿宋" w:hAnsi="仿宋" w:eastAsia="仿宋"/>
                <w:sz w:val="28"/>
                <w:szCs w:val="28"/>
                <w:vertAlign w:val="baseline"/>
              </w:rPr>
            </w:pPr>
          </w:p>
        </w:tc>
      </w:tr>
      <w:tr w14:paraId="0CDDC6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trPr>
        <w:tc>
          <w:tcPr>
            <w:tcW w:w="1727" w:type="dxa"/>
          </w:tcPr>
          <w:p w14:paraId="061CB2B8">
            <w:pPr>
              <w:widowControl w:val="0"/>
              <w:wordWrap/>
              <w:spacing w:line="560" w:lineRule="exact"/>
              <w:ind w:right="0"/>
              <w:jc w:val="center"/>
              <w:textAlignment w:val="auto"/>
              <w:outlineLvl w:val="9"/>
              <w:rPr>
                <w:rFonts w:hint="eastAsia" w:ascii="仿宋" w:hAnsi="仿宋" w:eastAsia="仿宋"/>
                <w:sz w:val="28"/>
                <w:szCs w:val="28"/>
                <w:vertAlign w:val="baseline"/>
                <w:lang w:eastAsia="zh-CN"/>
              </w:rPr>
            </w:pPr>
            <w:r>
              <w:rPr>
                <w:rFonts w:hint="eastAsia" w:ascii="仿宋" w:hAnsi="仿宋" w:eastAsia="仿宋"/>
                <w:sz w:val="28"/>
                <w:szCs w:val="28"/>
                <w:vertAlign w:val="baseline"/>
                <w:lang w:eastAsia="zh-CN"/>
              </w:rPr>
              <w:t>成员</w:t>
            </w:r>
          </w:p>
        </w:tc>
        <w:tc>
          <w:tcPr>
            <w:tcW w:w="1727" w:type="dxa"/>
          </w:tcPr>
          <w:p w14:paraId="463B74F2">
            <w:pPr>
              <w:widowControl w:val="0"/>
              <w:wordWrap/>
              <w:spacing w:line="560" w:lineRule="exact"/>
              <w:ind w:right="0"/>
              <w:jc w:val="center"/>
              <w:textAlignment w:val="auto"/>
              <w:outlineLvl w:val="9"/>
              <w:rPr>
                <w:rFonts w:hint="eastAsia" w:ascii="仿宋" w:hAnsi="仿宋" w:eastAsia="仿宋"/>
                <w:sz w:val="28"/>
                <w:szCs w:val="28"/>
                <w:vertAlign w:val="baseline"/>
                <w:lang w:eastAsia="zh-CN"/>
              </w:rPr>
            </w:pPr>
            <w:r>
              <w:rPr>
                <w:rFonts w:hint="eastAsia" w:ascii="仿宋" w:hAnsi="仿宋" w:eastAsia="仿宋"/>
                <w:sz w:val="28"/>
                <w:szCs w:val="28"/>
                <w:vertAlign w:val="baseline"/>
                <w:lang w:eastAsia="zh-CN"/>
              </w:rPr>
              <w:t>许翔</w:t>
            </w:r>
          </w:p>
        </w:tc>
        <w:tc>
          <w:tcPr>
            <w:tcW w:w="1826" w:type="dxa"/>
          </w:tcPr>
          <w:p w14:paraId="53A9991D">
            <w:pPr>
              <w:widowControl w:val="0"/>
              <w:wordWrap/>
              <w:spacing w:line="560" w:lineRule="exact"/>
              <w:ind w:right="0"/>
              <w:jc w:val="center"/>
              <w:textAlignment w:val="auto"/>
              <w:outlineLvl w:val="9"/>
              <w:rPr>
                <w:rFonts w:ascii="仿宋" w:hAnsi="仿宋" w:eastAsia="仿宋"/>
                <w:sz w:val="28"/>
                <w:szCs w:val="28"/>
                <w:vertAlign w:val="baseline"/>
              </w:rPr>
            </w:pPr>
            <w:r>
              <w:rPr>
                <w:rFonts w:hint="eastAsia" w:ascii="仿宋" w:hAnsi="仿宋" w:eastAsia="仿宋"/>
                <w:sz w:val="28"/>
                <w:szCs w:val="28"/>
                <w:vertAlign w:val="baseline"/>
                <w:lang w:eastAsia="zh-CN"/>
              </w:rPr>
              <w:t>井陉县融媒体中心</w:t>
            </w:r>
          </w:p>
        </w:tc>
        <w:tc>
          <w:tcPr>
            <w:tcW w:w="1769" w:type="dxa"/>
          </w:tcPr>
          <w:p w14:paraId="77EB4644">
            <w:pPr>
              <w:widowControl w:val="0"/>
              <w:wordWrap/>
              <w:spacing w:line="560" w:lineRule="exact"/>
              <w:ind w:right="0"/>
              <w:jc w:val="center"/>
              <w:textAlignment w:val="auto"/>
              <w:outlineLvl w:val="9"/>
              <w:rPr>
                <w:rFonts w:hint="eastAsia" w:ascii="仿宋" w:hAnsi="仿宋" w:eastAsia="仿宋"/>
                <w:sz w:val="28"/>
                <w:szCs w:val="28"/>
                <w:vertAlign w:val="baseline"/>
                <w:lang w:eastAsia="zh-CN"/>
              </w:rPr>
            </w:pPr>
            <w:r>
              <w:rPr>
                <w:rFonts w:hint="eastAsia" w:ascii="仿宋" w:hAnsi="仿宋" w:eastAsia="仿宋"/>
                <w:sz w:val="28"/>
                <w:szCs w:val="28"/>
                <w:vertAlign w:val="baseline"/>
                <w:lang w:eastAsia="zh-CN"/>
              </w:rPr>
              <w:t>办公室主任</w:t>
            </w:r>
          </w:p>
        </w:tc>
        <w:tc>
          <w:tcPr>
            <w:tcW w:w="1588" w:type="dxa"/>
          </w:tcPr>
          <w:p w14:paraId="7D72A8B5">
            <w:pPr>
              <w:widowControl w:val="0"/>
              <w:wordWrap/>
              <w:spacing w:line="560" w:lineRule="exact"/>
              <w:ind w:right="0"/>
              <w:jc w:val="center"/>
              <w:textAlignment w:val="auto"/>
              <w:outlineLvl w:val="9"/>
              <w:rPr>
                <w:rFonts w:ascii="仿宋" w:hAnsi="仿宋" w:eastAsia="仿宋"/>
                <w:sz w:val="28"/>
                <w:szCs w:val="28"/>
                <w:vertAlign w:val="baseline"/>
              </w:rPr>
            </w:pPr>
          </w:p>
        </w:tc>
      </w:tr>
      <w:tr w14:paraId="0531CD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 w:hRule="atLeast"/>
        </w:trPr>
        <w:tc>
          <w:tcPr>
            <w:tcW w:w="1727" w:type="dxa"/>
          </w:tcPr>
          <w:p w14:paraId="1B84FD7C">
            <w:pPr>
              <w:widowControl w:val="0"/>
              <w:wordWrap/>
              <w:spacing w:line="560" w:lineRule="exact"/>
              <w:ind w:right="0"/>
              <w:jc w:val="center"/>
              <w:textAlignment w:val="auto"/>
              <w:outlineLvl w:val="9"/>
              <w:rPr>
                <w:rFonts w:hint="eastAsia" w:ascii="仿宋" w:hAnsi="仿宋" w:eastAsia="仿宋"/>
                <w:sz w:val="28"/>
                <w:szCs w:val="28"/>
                <w:vertAlign w:val="baseline"/>
                <w:lang w:eastAsia="zh-CN"/>
              </w:rPr>
            </w:pPr>
            <w:r>
              <w:rPr>
                <w:rFonts w:hint="eastAsia" w:ascii="仿宋" w:hAnsi="仿宋" w:eastAsia="仿宋"/>
                <w:sz w:val="28"/>
                <w:szCs w:val="28"/>
                <w:vertAlign w:val="baseline"/>
                <w:lang w:eastAsia="zh-CN"/>
              </w:rPr>
              <w:t>成员</w:t>
            </w:r>
          </w:p>
        </w:tc>
        <w:tc>
          <w:tcPr>
            <w:tcW w:w="1727" w:type="dxa"/>
          </w:tcPr>
          <w:p w14:paraId="306C05D2">
            <w:pPr>
              <w:widowControl w:val="0"/>
              <w:wordWrap/>
              <w:spacing w:line="560" w:lineRule="exact"/>
              <w:ind w:right="0"/>
              <w:jc w:val="center"/>
              <w:textAlignment w:val="auto"/>
              <w:outlineLvl w:val="9"/>
              <w:rPr>
                <w:rFonts w:hint="eastAsia" w:ascii="仿宋" w:hAnsi="仿宋" w:eastAsia="仿宋"/>
                <w:sz w:val="28"/>
                <w:szCs w:val="28"/>
                <w:vertAlign w:val="baseline"/>
                <w:lang w:eastAsia="zh-CN"/>
              </w:rPr>
            </w:pPr>
            <w:r>
              <w:rPr>
                <w:rFonts w:hint="eastAsia" w:ascii="仿宋" w:hAnsi="仿宋" w:eastAsia="仿宋"/>
                <w:sz w:val="28"/>
                <w:szCs w:val="28"/>
                <w:vertAlign w:val="baseline"/>
                <w:lang w:eastAsia="zh-CN"/>
              </w:rPr>
              <w:t>韩立军</w:t>
            </w:r>
          </w:p>
        </w:tc>
        <w:tc>
          <w:tcPr>
            <w:tcW w:w="1826" w:type="dxa"/>
          </w:tcPr>
          <w:p w14:paraId="2CFA9E97">
            <w:pPr>
              <w:widowControl w:val="0"/>
              <w:wordWrap/>
              <w:spacing w:line="560" w:lineRule="exact"/>
              <w:ind w:right="0"/>
              <w:jc w:val="center"/>
              <w:textAlignment w:val="auto"/>
              <w:outlineLvl w:val="9"/>
              <w:rPr>
                <w:rFonts w:ascii="仿宋" w:hAnsi="仿宋" w:eastAsia="仿宋"/>
                <w:sz w:val="28"/>
                <w:szCs w:val="28"/>
                <w:vertAlign w:val="baseline"/>
              </w:rPr>
            </w:pPr>
            <w:r>
              <w:rPr>
                <w:rFonts w:hint="eastAsia" w:ascii="仿宋" w:hAnsi="仿宋" w:eastAsia="仿宋"/>
                <w:sz w:val="28"/>
                <w:szCs w:val="28"/>
                <w:vertAlign w:val="baseline"/>
                <w:lang w:eastAsia="zh-CN"/>
              </w:rPr>
              <w:t>井陉县融媒体中心</w:t>
            </w:r>
          </w:p>
        </w:tc>
        <w:tc>
          <w:tcPr>
            <w:tcW w:w="1769" w:type="dxa"/>
          </w:tcPr>
          <w:p w14:paraId="7B5CE8B8">
            <w:pPr>
              <w:widowControl w:val="0"/>
              <w:wordWrap/>
              <w:spacing w:line="560" w:lineRule="exact"/>
              <w:ind w:right="0"/>
              <w:jc w:val="center"/>
              <w:textAlignment w:val="auto"/>
              <w:outlineLvl w:val="9"/>
              <w:rPr>
                <w:rFonts w:hint="eastAsia" w:ascii="仿宋" w:hAnsi="仿宋" w:eastAsia="仿宋"/>
                <w:sz w:val="28"/>
                <w:szCs w:val="28"/>
                <w:vertAlign w:val="baseline"/>
                <w:lang w:eastAsia="zh-CN"/>
              </w:rPr>
            </w:pPr>
            <w:r>
              <w:rPr>
                <w:rFonts w:hint="eastAsia" w:ascii="仿宋" w:hAnsi="仿宋" w:eastAsia="仿宋"/>
                <w:sz w:val="28"/>
                <w:szCs w:val="28"/>
                <w:vertAlign w:val="baseline"/>
                <w:lang w:eastAsia="zh-CN"/>
              </w:rPr>
              <w:t>新闻科科长</w:t>
            </w:r>
          </w:p>
        </w:tc>
        <w:tc>
          <w:tcPr>
            <w:tcW w:w="1588" w:type="dxa"/>
          </w:tcPr>
          <w:p w14:paraId="31F74485">
            <w:pPr>
              <w:widowControl w:val="0"/>
              <w:wordWrap/>
              <w:spacing w:line="560" w:lineRule="exact"/>
              <w:ind w:right="0"/>
              <w:jc w:val="center"/>
              <w:textAlignment w:val="auto"/>
              <w:outlineLvl w:val="9"/>
              <w:rPr>
                <w:rFonts w:ascii="仿宋" w:hAnsi="仿宋" w:eastAsia="仿宋"/>
                <w:sz w:val="28"/>
                <w:szCs w:val="28"/>
                <w:vertAlign w:val="baseline"/>
              </w:rPr>
            </w:pPr>
          </w:p>
        </w:tc>
      </w:tr>
      <w:tr w14:paraId="7F37E0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6" w:hRule="atLeast"/>
        </w:trPr>
        <w:tc>
          <w:tcPr>
            <w:tcW w:w="1727" w:type="dxa"/>
          </w:tcPr>
          <w:p w14:paraId="15A745A9">
            <w:pPr>
              <w:widowControl w:val="0"/>
              <w:wordWrap/>
              <w:spacing w:line="560" w:lineRule="exact"/>
              <w:ind w:right="0"/>
              <w:jc w:val="center"/>
              <w:textAlignment w:val="auto"/>
              <w:outlineLvl w:val="9"/>
              <w:rPr>
                <w:rFonts w:ascii="仿宋" w:hAnsi="仿宋" w:eastAsia="仿宋"/>
                <w:sz w:val="28"/>
                <w:szCs w:val="28"/>
                <w:vertAlign w:val="baseline"/>
              </w:rPr>
            </w:pPr>
            <w:r>
              <w:rPr>
                <w:rFonts w:hint="eastAsia" w:ascii="仿宋" w:hAnsi="仿宋" w:eastAsia="仿宋"/>
                <w:sz w:val="28"/>
                <w:szCs w:val="28"/>
                <w:vertAlign w:val="baseline"/>
                <w:lang w:eastAsia="zh-CN"/>
              </w:rPr>
              <w:t>成员</w:t>
            </w:r>
          </w:p>
        </w:tc>
        <w:tc>
          <w:tcPr>
            <w:tcW w:w="1727" w:type="dxa"/>
          </w:tcPr>
          <w:p w14:paraId="4616F069">
            <w:pPr>
              <w:widowControl w:val="0"/>
              <w:wordWrap/>
              <w:spacing w:line="560" w:lineRule="exact"/>
              <w:ind w:right="0"/>
              <w:jc w:val="center"/>
              <w:textAlignment w:val="auto"/>
              <w:outlineLvl w:val="9"/>
              <w:rPr>
                <w:rFonts w:hint="eastAsia" w:ascii="仿宋" w:hAnsi="仿宋" w:eastAsia="仿宋"/>
                <w:sz w:val="28"/>
                <w:szCs w:val="28"/>
                <w:vertAlign w:val="baseline"/>
                <w:lang w:eastAsia="zh-CN"/>
              </w:rPr>
            </w:pPr>
            <w:r>
              <w:rPr>
                <w:rFonts w:hint="eastAsia" w:ascii="仿宋" w:hAnsi="仿宋" w:eastAsia="仿宋"/>
                <w:sz w:val="28"/>
                <w:szCs w:val="28"/>
                <w:vertAlign w:val="baseline"/>
                <w:lang w:eastAsia="zh-CN"/>
              </w:rPr>
              <w:t>张志刚</w:t>
            </w:r>
          </w:p>
        </w:tc>
        <w:tc>
          <w:tcPr>
            <w:tcW w:w="1826" w:type="dxa"/>
          </w:tcPr>
          <w:p w14:paraId="26A8BE59">
            <w:pPr>
              <w:widowControl w:val="0"/>
              <w:wordWrap/>
              <w:spacing w:line="560" w:lineRule="exact"/>
              <w:ind w:right="0"/>
              <w:jc w:val="center"/>
              <w:textAlignment w:val="auto"/>
              <w:outlineLvl w:val="9"/>
              <w:rPr>
                <w:rFonts w:ascii="仿宋" w:hAnsi="仿宋" w:eastAsia="仿宋"/>
                <w:sz w:val="28"/>
                <w:szCs w:val="28"/>
                <w:vertAlign w:val="baseline"/>
              </w:rPr>
            </w:pPr>
            <w:r>
              <w:rPr>
                <w:rFonts w:hint="eastAsia" w:ascii="仿宋" w:hAnsi="仿宋" w:eastAsia="仿宋"/>
                <w:sz w:val="28"/>
                <w:szCs w:val="28"/>
                <w:vertAlign w:val="baseline"/>
                <w:lang w:eastAsia="zh-CN"/>
              </w:rPr>
              <w:t>井陉县融媒体中心</w:t>
            </w:r>
          </w:p>
        </w:tc>
        <w:tc>
          <w:tcPr>
            <w:tcW w:w="1769" w:type="dxa"/>
          </w:tcPr>
          <w:p w14:paraId="3E08BF43">
            <w:pPr>
              <w:widowControl w:val="0"/>
              <w:wordWrap/>
              <w:spacing w:line="560" w:lineRule="exact"/>
              <w:ind w:right="0"/>
              <w:jc w:val="center"/>
              <w:textAlignment w:val="auto"/>
              <w:outlineLvl w:val="9"/>
              <w:rPr>
                <w:rFonts w:hint="eastAsia" w:ascii="仿宋" w:hAnsi="仿宋" w:eastAsia="仿宋"/>
                <w:sz w:val="28"/>
                <w:szCs w:val="28"/>
                <w:vertAlign w:val="baseline"/>
                <w:lang w:eastAsia="zh-CN"/>
              </w:rPr>
            </w:pPr>
            <w:r>
              <w:rPr>
                <w:rFonts w:hint="eastAsia" w:ascii="仿宋" w:hAnsi="仿宋" w:eastAsia="仿宋"/>
                <w:sz w:val="28"/>
                <w:szCs w:val="28"/>
                <w:vertAlign w:val="baseline"/>
                <w:lang w:eastAsia="zh-CN"/>
              </w:rPr>
              <w:t>广告科科长</w:t>
            </w:r>
          </w:p>
        </w:tc>
        <w:tc>
          <w:tcPr>
            <w:tcW w:w="1588" w:type="dxa"/>
          </w:tcPr>
          <w:p w14:paraId="3000AB4C">
            <w:pPr>
              <w:widowControl w:val="0"/>
              <w:wordWrap/>
              <w:spacing w:line="560" w:lineRule="exact"/>
              <w:ind w:right="0"/>
              <w:jc w:val="center"/>
              <w:textAlignment w:val="auto"/>
              <w:outlineLvl w:val="9"/>
              <w:rPr>
                <w:rFonts w:ascii="仿宋" w:hAnsi="仿宋" w:eastAsia="仿宋"/>
                <w:sz w:val="28"/>
                <w:szCs w:val="28"/>
                <w:vertAlign w:val="baseline"/>
              </w:rPr>
            </w:pPr>
          </w:p>
        </w:tc>
      </w:tr>
      <w:tr w14:paraId="1577BA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3" w:hRule="atLeast"/>
        </w:trPr>
        <w:tc>
          <w:tcPr>
            <w:tcW w:w="1727" w:type="dxa"/>
          </w:tcPr>
          <w:p w14:paraId="6511E76B">
            <w:pPr>
              <w:widowControl w:val="0"/>
              <w:wordWrap/>
              <w:spacing w:line="560" w:lineRule="exact"/>
              <w:ind w:right="0"/>
              <w:jc w:val="center"/>
              <w:textAlignment w:val="auto"/>
              <w:outlineLvl w:val="9"/>
              <w:rPr>
                <w:rFonts w:ascii="仿宋" w:hAnsi="仿宋" w:eastAsia="仿宋"/>
                <w:sz w:val="28"/>
                <w:szCs w:val="28"/>
                <w:vertAlign w:val="baseline"/>
              </w:rPr>
            </w:pPr>
            <w:r>
              <w:rPr>
                <w:rFonts w:hint="eastAsia" w:ascii="仿宋" w:hAnsi="仿宋" w:eastAsia="仿宋"/>
                <w:sz w:val="28"/>
                <w:szCs w:val="28"/>
                <w:vertAlign w:val="baseline"/>
                <w:lang w:eastAsia="zh-CN"/>
              </w:rPr>
              <w:t>成员</w:t>
            </w:r>
          </w:p>
        </w:tc>
        <w:tc>
          <w:tcPr>
            <w:tcW w:w="1727" w:type="dxa"/>
          </w:tcPr>
          <w:p w14:paraId="5E118E33">
            <w:pPr>
              <w:widowControl w:val="0"/>
              <w:wordWrap/>
              <w:spacing w:line="560" w:lineRule="exact"/>
              <w:ind w:right="0"/>
              <w:jc w:val="center"/>
              <w:textAlignment w:val="auto"/>
              <w:outlineLvl w:val="9"/>
              <w:rPr>
                <w:rFonts w:hint="eastAsia" w:ascii="仿宋" w:hAnsi="仿宋" w:eastAsia="仿宋"/>
                <w:sz w:val="28"/>
                <w:szCs w:val="28"/>
                <w:vertAlign w:val="baseline"/>
                <w:lang w:eastAsia="zh-CN"/>
              </w:rPr>
            </w:pPr>
            <w:r>
              <w:rPr>
                <w:rFonts w:hint="eastAsia" w:ascii="仿宋" w:hAnsi="仿宋" w:eastAsia="仿宋"/>
                <w:sz w:val="28"/>
                <w:szCs w:val="28"/>
                <w:vertAlign w:val="baseline"/>
                <w:lang w:eastAsia="zh-CN"/>
              </w:rPr>
              <w:t>贾广斌</w:t>
            </w:r>
          </w:p>
        </w:tc>
        <w:tc>
          <w:tcPr>
            <w:tcW w:w="1826" w:type="dxa"/>
          </w:tcPr>
          <w:p w14:paraId="261C3199">
            <w:pPr>
              <w:widowControl w:val="0"/>
              <w:wordWrap/>
              <w:spacing w:line="560" w:lineRule="exact"/>
              <w:ind w:right="0"/>
              <w:jc w:val="center"/>
              <w:textAlignment w:val="auto"/>
              <w:outlineLvl w:val="9"/>
              <w:rPr>
                <w:rFonts w:ascii="仿宋" w:hAnsi="仿宋" w:eastAsia="仿宋"/>
                <w:sz w:val="28"/>
                <w:szCs w:val="28"/>
                <w:vertAlign w:val="baseline"/>
              </w:rPr>
            </w:pPr>
            <w:r>
              <w:rPr>
                <w:rFonts w:hint="eastAsia" w:ascii="仿宋" w:hAnsi="仿宋" w:eastAsia="仿宋"/>
                <w:sz w:val="28"/>
                <w:szCs w:val="28"/>
                <w:vertAlign w:val="baseline"/>
                <w:lang w:eastAsia="zh-CN"/>
              </w:rPr>
              <w:t>井陉县融媒体中心</w:t>
            </w:r>
          </w:p>
        </w:tc>
        <w:tc>
          <w:tcPr>
            <w:tcW w:w="1769" w:type="dxa"/>
          </w:tcPr>
          <w:p w14:paraId="17E8C75C">
            <w:pPr>
              <w:widowControl w:val="0"/>
              <w:wordWrap/>
              <w:spacing w:line="560" w:lineRule="exact"/>
              <w:ind w:right="0"/>
              <w:jc w:val="center"/>
              <w:textAlignment w:val="auto"/>
              <w:outlineLvl w:val="9"/>
              <w:rPr>
                <w:rFonts w:hint="eastAsia" w:ascii="仿宋" w:hAnsi="仿宋" w:eastAsia="仿宋"/>
                <w:sz w:val="28"/>
                <w:szCs w:val="28"/>
                <w:vertAlign w:val="baseline"/>
                <w:lang w:eastAsia="zh-CN"/>
              </w:rPr>
            </w:pPr>
            <w:r>
              <w:rPr>
                <w:rFonts w:hint="eastAsia" w:ascii="仿宋" w:hAnsi="仿宋" w:eastAsia="仿宋"/>
                <w:sz w:val="28"/>
                <w:szCs w:val="28"/>
                <w:vertAlign w:val="baseline"/>
                <w:lang w:eastAsia="zh-CN"/>
              </w:rPr>
              <w:t>财务科科长</w:t>
            </w:r>
          </w:p>
        </w:tc>
        <w:tc>
          <w:tcPr>
            <w:tcW w:w="1588" w:type="dxa"/>
          </w:tcPr>
          <w:p w14:paraId="39F3AE09">
            <w:pPr>
              <w:widowControl w:val="0"/>
              <w:wordWrap/>
              <w:spacing w:line="560" w:lineRule="exact"/>
              <w:ind w:right="0"/>
              <w:jc w:val="center"/>
              <w:textAlignment w:val="auto"/>
              <w:outlineLvl w:val="9"/>
              <w:rPr>
                <w:rFonts w:ascii="仿宋" w:hAnsi="仿宋" w:eastAsia="仿宋"/>
                <w:sz w:val="28"/>
                <w:szCs w:val="28"/>
                <w:vertAlign w:val="baseline"/>
              </w:rPr>
            </w:pPr>
          </w:p>
        </w:tc>
      </w:tr>
    </w:tbl>
    <w:p w14:paraId="2ED911EE">
      <w:pPr>
        <w:spacing w:line="560" w:lineRule="exact"/>
        <w:rPr>
          <w:rFonts w:ascii="仿宋" w:hAnsi="仿宋" w:eastAsia="仿宋"/>
          <w:sz w:val="28"/>
          <w:szCs w:val="28"/>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4B2ACC">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633C8A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0633C8A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642E069"/>
    <w:multiLevelType w:val="singleLevel"/>
    <w:tmpl w:val="E642E069"/>
    <w:lvl w:ilvl="0" w:tentative="0">
      <w:start w:val="1"/>
      <w:numFmt w:val="decimal"/>
      <w:suff w:val="nothing"/>
      <w:lvlText w:val="%1、"/>
      <w:lvlJc w:val="left"/>
      <w:pPr>
        <w:ind w:left="-10"/>
      </w:pPr>
    </w:lvl>
  </w:abstractNum>
  <w:abstractNum w:abstractNumId="1">
    <w:nsid w:val="EB146D42"/>
    <w:multiLevelType w:val="singleLevel"/>
    <w:tmpl w:val="EB146D42"/>
    <w:lvl w:ilvl="0" w:tentative="0">
      <w:start w:val="2"/>
      <w:numFmt w:val="chineseCounting"/>
      <w:suff w:val="nothing"/>
      <w:lvlText w:val="（%1）"/>
      <w:lvlJc w:val="left"/>
      <w:rPr>
        <w:rFonts w:hint="eastAsia"/>
      </w:rPr>
    </w:lvl>
  </w:abstractNum>
  <w:abstractNum w:abstractNumId="2">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3">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7"/>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11B71E6A"/>
    <w:rsid w:val="144B521C"/>
    <w:rsid w:val="1AAF0063"/>
    <w:rsid w:val="1BE140DE"/>
    <w:rsid w:val="248C197D"/>
    <w:rsid w:val="252959AF"/>
    <w:rsid w:val="277A6671"/>
    <w:rsid w:val="292D35B7"/>
    <w:rsid w:val="31151E97"/>
    <w:rsid w:val="33EB6CFF"/>
    <w:rsid w:val="35A12947"/>
    <w:rsid w:val="37387040"/>
    <w:rsid w:val="3B0548E0"/>
    <w:rsid w:val="3B625C0A"/>
    <w:rsid w:val="3CEE1963"/>
    <w:rsid w:val="436B78D3"/>
    <w:rsid w:val="46E43158"/>
    <w:rsid w:val="48B60C1B"/>
    <w:rsid w:val="4C9C27FE"/>
    <w:rsid w:val="4F666151"/>
    <w:rsid w:val="50D917BF"/>
    <w:rsid w:val="512260B4"/>
    <w:rsid w:val="52BD6ACB"/>
    <w:rsid w:val="55537534"/>
    <w:rsid w:val="561A74F1"/>
    <w:rsid w:val="597244E8"/>
    <w:rsid w:val="5EB71C30"/>
    <w:rsid w:val="66AF0CE5"/>
    <w:rsid w:val="68A23C96"/>
    <w:rsid w:val="6AA27932"/>
    <w:rsid w:val="6AC537CF"/>
    <w:rsid w:val="6E5B14A6"/>
    <w:rsid w:val="70C46410"/>
    <w:rsid w:val="711B255E"/>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578</Words>
  <Characters>593</Characters>
  <Lines>4</Lines>
  <Paragraphs>1</Paragraphs>
  <TotalTime>14</TotalTime>
  <ScaleCrop>false</ScaleCrop>
  <LinksUpToDate>false</LinksUpToDate>
  <CharactersWithSpaces>602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2026-04-14T08:02:04Z</cp:lastPrinted>
  <dcterms:modified xsi:type="dcterms:W3CDTF">2026-04-14T08:03:12Z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807859DDDB204D7484EDDFBB4E9D1D2E</vt:lpwstr>
  </property>
  <property fmtid="{D5CDD505-2E9C-101B-9397-08002B2CF9AE}" pid="4" name="KSOTemplateDocerSaveRecord">
    <vt:lpwstr>eyJoZGlkIjoiZmY3MGYwNzUwMGEwNzk2NmJlNWQ2MmU2YTAxMWQ3YWQifQ==</vt:lpwstr>
  </property>
</Properties>
</file>