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CD6B26">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F8ADA78">
      <w:pPr>
        <w:spacing w:line="560" w:lineRule="exact"/>
        <w:jc w:val="center"/>
        <w:rPr>
          <w:rFonts w:ascii="宋体" w:hAnsi="宋体" w:cs="宋体"/>
          <w:b/>
          <w:bCs/>
          <w:sz w:val="44"/>
          <w:szCs w:val="44"/>
        </w:rPr>
      </w:pPr>
    </w:p>
    <w:p w14:paraId="4F505026">
      <w:pPr>
        <w:spacing w:line="560" w:lineRule="exact"/>
        <w:jc w:val="center"/>
        <w:rPr>
          <w:rFonts w:ascii="宋体" w:hAnsi="宋体" w:cs="宋体"/>
          <w:b/>
          <w:bCs/>
          <w:sz w:val="44"/>
          <w:szCs w:val="44"/>
        </w:rPr>
      </w:pPr>
      <w:r>
        <w:rPr>
          <w:rFonts w:hint="eastAsia" w:ascii="宋体" w:hAnsi="宋体" w:cs="宋体"/>
          <w:b/>
          <w:bCs/>
          <w:sz w:val="44"/>
          <w:szCs w:val="44"/>
        </w:rPr>
        <w:t>井陉县自然资源和规划局</w:t>
      </w:r>
    </w:p>
    <w:p w14:paraId="7B10F443">
      <w:pPr>
        <w:spacing w:line="560" w:lineRule="exact"/>
        <w:jc w:val="center"/>
        <w:rPr>
          <w:rFonts w:ascii="宋体" w:hAnsi="宋体" w:cs="宋体"/>
          <w:sz w:val="32"/>
          <w:szCs w:val="32"/>
        </w:rPr>
      </w:pPr>
      <w:r>
        <w:rPr>
          <w:rFonts w:hint="eastAsia" w:ascii="宋体" w:hAnsi="宋体" w:cs="宋体"/>
          <w:b/>
          <w:bCs/>
          <w:sz w:val="44"/>
          <w:szCs w:val="44"/>
        </w:rPr>
        <w:t>2026年度整体支出绩效自评报告</w:t>
      </w:r>
    </w:p>
    <w:p w14:paraId="438D1EDF">
      <w:pPr>
        <w:spacing w:line="560" w:lineRule="exact"/>
        <w:jc w:val="center"/>
        <w:rPr>
          <w:rFonts w:ascii="华文楷体" w:eastAsia="华文楷体"/>
          <w:sz w:val="32"/>
          <w:szCs w:val="32"/>
        </w:rPr>
      </w:pPr>
    </w:p>
    <w:p w14:paraId="7ED43D1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井陉县自然资源和规划局2025年整体支出情况实施了财政支出绩效自评价，形成本评价报告。</w:t>
      </w:r>
    </w:p>
    <w:p w14:paraId="2F3379F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66A1CB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EFC2218">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部门职能：</w:t>
      </w:r>
    </w:p>
    <w:p w14:paraId="5F4A66D2">
      <w:pPr>
        <w:spacing w:line="560" w:lineRule="exact"/>
        <w:ind w:firstLine="640" w:firstLineChars="200"/>
        <w:jc w:val="left"/>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、贯彻实施国家土地资源管理、矿产资源管理法律法规，执行上级有关土地、矿产等自然资源管理技术标准、规程、规范和办法。</w:t>
      </w:r>
    </w:p>
    <w:p w14:paraId="00961D56">
      <w:pPr>
        <w:spacing w:line="560" w:lineRule="exact"/>
        <w:ind w:firstLine="640" w:firstLineChars="200"/>
        <w:jc w:val="left"/>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、组织编制和实施全县国土规划、土地利用总体规划和组织矿产资源调查评价，编制矿产资源保护与合理开发利用规划、地勘察规划、地质灾害防治和地质遗迹保护规划。</w:t>
      </w:r>
    </w:p>
    <w:p w14:paraId="18D9BFD2">
      <w:pPr>
        <w:spacing w:line="560" w:lineRule="exact"/>
        <w:ind w:firstLine="640" w:firstLineChars="200"/>
        <w:jc w:val="left"/>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、监督检查全县土地资源、矿产资源规划执行情况，依法保护土地、矿产资源所有者和使用者的合法权益，承办并组织调处单位之间的土地权属争议和矿山使用权争议，查处各类违法案件。</w:t>
      </w:r>
    </w:p>
    <w:p w14:paraId="1CC10F3D">
      <w:pPr>
        <w:spacing w:line="560" w:lineRule="exact"/>
        <w:ind w:firstLine="640" w:firstLineChars="200"/>
        <w:jc w:val="left"/>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、制定全县基本农田保护规划，组织基本农田保护和未利用土地开发、土地整理、土地复垦和耕地开发工作，确保耕地面积只能增加，不能减少。</w:t>
      </w:r>
    </w:p>
    <w:p w14:paraId="41543F4C">
      <w:pPr>
        <w:spacing w:line="560" w:lineRule="exact"/>
        <w:ind w:firstLine="640" w:firstLineChars="200"/>
        <w:jc w:val="left"/>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、管理全县城乡地籍工作，组织土地资源调查、地籍调查、土地统计和动态监测，负责土地确权、城乡地籍、土地定级和登记、发证等工作。</w:t>
      </w:r>
    </w:p>
    <w:p w14:paraId="460095BC">
      <w:pPr>
        <w:spacing w:line="560" w:lineRule="exact"/>
        <w:ind w:firstLine="640" w:firstLineChars="200"/>
        <w:jc w:val="left"/>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、组织实施土地使用权出让、租赁、作价出资、转让、交易和政府收购管理，组织制定基准地价，加强土地市场管理工作。</w:t>
      </w:r>
    </w:p>
    <w:p w14:paraId="02966E98">
      <w:pPr>
        <w:spacing w:line="560" w:lineRule="exact"/>
        <w:ind w:firstLine="640" w:firstLineChars="200"/>
        <w:jc w:val="left"/>
        <w:rPr>
          <w:rFonts w:ascii="仿宋" w:hAnsi="仿宋" w:eastAsia="仿宋"/>
          <w:sz w:val="32"/>
          <w:szCs w:val="32"/>
        </w:rPr>
      </w:pPr>
      <w:r>
        <w:rPr>
          <w:rFonts w:ascii="仿宋" w:hAnsi="仿宋" w:eastAsia="仿宋"/>
          <w:sz w:val="32"/>
          <w:szCs w:val="32"/>
        </w:rPr>
        <w:t>7</w:t>
      </w:r>
      <w:r>
        <w:rPr>
          <w:rFonts w:hint="eastAsia" w:ascii="仿宋" w:hAnsi="仿宋" w:eastAsia="仿宋" w:cs="宋体"/>
          <w:sz w:val="32"/>
          <w:szCs w:val="32"/>
        </w:rPr>
        <w:t>、负责全县各类非农业建设用地的审查批报；负责全县矿产资源采矿权的审查报批；对矿产资源开发、利用、保护实施监督管理；承担矿产资源储量管理工作，管理地质资料。</w:t>
      </w:r>
    </w:p>
    <w:p w14:paraId="4928A9CA">
      <w:pPr>
        <w:spacing w:line="560" w:lineRule="exact"/>
        <w:ind w:firstLine="640" w:firstLineChars="200"/>
        <w:jc w:val="left"/>
        <w:rPr>
          <w:rFonts w:ascii="仿宋" w:hAnsi="仿宋" w:eastAsia="仿宋"/>
          <w:sz w:val="32"/>
          <w:szCs w:val="32"/>
        </w:rPr>
      </w:pPr>
      <w:r>
        <w:rPr>
          <w:rFonts w:ascii="仿宋" w:hAnsi="仿宋" w:eastAsia="仿宋"/>
          <w:sz w:val="32"/>
          <w:szCs w:val="32"/>
        </w:rPr>
        <w:t>8</w:t>
      </w:r>
      <w:r>
        <w:rPr>
          <w:rFonts w:hint="eastAsia" w:ascii="仿宋" w:hAnsi="仿宋" w:eastAsia="仿宋" w:cs="宋体"/>
          <w:sz w:val="32"/>
          <w:szCs w:val="32"/>
        </w:rPr>
        <w:t>、组织开展全县地质灾害防治，保护地质环境。</w:t>
      </w:r>
    </w:p>
    <w:p w14:paraId="1D1F994F">
      <w:pPr>
        <w:spacing w:line="560" w:lineRule="exact"/>
        <w:ind w:firstLine="640" w:firstLineChars="200"/>
        <w:jc w:val="left"/>
        <w:rPr>
          <w:rFonts w:ascii="仿宋" w:hAnsi="仿宋" w:eastAsia="仿宋"/>
          <w:sz w:val="32"/>
          <w:szCs w:val="32"/>
        </w:rPr>
      </w:pPr>
      <w:r>
        <w:rPr>
          <w:rFonts w:ascii="仿宋" w:hAnsi="仿宋" w:eastAsia="仿宋"/>
          <w:sz w:val="32"/>
          <w:szCs w:val="32"/>
        </w:rPr>
        <w:t>9</w:t>
      </w:r>
      <w:r>
        <w:rPr>
          <w:rFonts w:hint="eastAsia" w:ascii="仿宋" w:hAnsi="仿宋" w:eastAsia="仿宋" w:cs="宋体"/>
          <w:sz w:val="32"/>
          <w:szCs w:val="32"/>
        </w:rPr>
        <w:t>、负责全县测绘行政管理工作，组织地形地籍测绘，管理测绘资料。</w:t>
      </w:r>
    </w:p>
    <w:p w14:paraId="6F1418D3">
      <w:pPr>
        <w:spacing w:line="560" w:lineRule="exact"/>
        <w:ind w:firstLine="640" w:firstLineChars="200"/>
        <w:jc w:val="left"/>
        <w:rPr>
          <w:rFonts w:ascii="仿宋" w:hAnsi="仿宋" w:eastAsia="仿宋"/>
          <w:sz w:val="32"/>
          <w:szCs w:val="32"/>
        </w:rPr>
      </w:pPr>
      <w:r>
        <w:rPr>
          <w:rFonts w:ascii="仿宋" w:hAnsi="仿宋" w:eastAsia="仿宋"/>
          <w:sz w:val="32"/>
          <w:szCs w:val="32"/>
        </w:rPr>
        <w:t>10</w:t>
      </w:r>
      <w:r>
        <w:rPr>
          <w:rFonts w:hint="eastAsia" w:ascii="仿宋" w:hAnsi="仿宋" w:eastAsia="仿宋" w:cs="宋体"/>
          <w:sz w:val="32"/>
          <w:szCs w:val="32"/>
        </w:rPr>
        <w:t>、依法征收各项规费；协助财政税务部门征缴有关税费。</w:t>
      </w:r>
    </w:p>
    <w:p w14:paraId="5162B311">
      <w:pPr>
        <w:spacing w:line="560" w:lineRule="exact"/>
        <w:ind w:firstLine="640" w:firstLineChars="200"/>
        <w:jc w:val="left"/>
        <w:rPr>
          <w:rFonts w:ascii="仿宋" w:hAnsi="仿宋" w:eastAsia="仿宋"/>
          <w:sz w:val="32"/>
          <w:szCs w:val="32"/>
        </w:rPr>
      </w:pPr>
      <w:r>
        <w:rPr>
          <w:rFonts w:ascii="仿宋" w:hAnsi="仿宋" w:eastAsia="仿宋"/>
          <w:sz w:val="32"/>
          <w:szCs w:val="32"/>
        </w:rPr>
        <w:t>11</w:t>
      </w:r>
      <w:r>
        <w:rPr>
          <w:rFonts w:hint="eastAsia" w:ascii="仿宋" w:hAnsi="仿宋" w:eastAsia="仿宋" w:cs="宋体"/>
          <w:sz w:val="32"/>
          <w:szCs w:val="32"/>
        </w:rPr>
        <w:t>、承办县政府交办的其它事项。</w:t>
      </w:r>
    </w:p>
    <w:p w14:paraId="0EB89B75">
      <w:pPr>
        <w:spacing w:line="560" w:lineRule="exact"/>
        <w:ind w:firstLine="640" w:firstLineChars="200"/>
        <w:jc w:val="left"/>
        <w:rPr>
          <w:rFonts w:ascii="仿宋" w:hAnsi="仿宋" w:eastAsia="仿宋"/>
          <w:sz w:val="32"/>
          <w:szCs w:val="32"/>
        </w:rPr>
      </w:pPr>
      <w:r>
        <w:rPr>
          <w:rFonts w:ascii="仿宋" w:hAnsi="仿宋" w:eastAsia="仿宋"/>
          <w:sz w:val="32"/>
          <w:szCs w:val="32"/>
        </w:rPr>
        <w:t>12</w:t>
      </w:r>
      <w:r>
        <w:rPr>
          <w:rFonts w:hint="eastAsia" w:ascii="仿宋" w:hAnsi="仿宋" w:eastAsia="仿宋" w:cs="宋体"/>
          <w:sz w:val="32"/>
          <w:szCs w:val="32"/>
        </w:rPr>
        <w:t>、负责全县建设项目选址、建设用地规划管理、建设工程规划管理、市政工程规划管理等相关工作；负责城乡规划设计的监督管理、规划勘察、测绘工作，指导全县村镇建设；负责组织编制、补充、修订、调整县城城镇体系规划、城市总体规划、分区规划、专项规划和详细规划和申报工作，并依法实施城乡规划管理工作；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w:t>
      </w:r>
    </w:p>
    <w:p w14:paraId="1EE2EFE1">
      <w:pPr>
        <w:pStyle w:val="9"/>
        <w:spacing w:after="0" w:line="560" w:lineRule="exact"/>
        <w:ind w:left="0" w:leftChars="0" w:firstLine="640"/>
        <w:rPr>
          <w:rFonts w:ascii="仿宋" w:hAnsi="仿宋" w:eastAsia="仿宋" w:cs="宋体"/>
          <w:sz w:val="32"/>
          <w:szCs w:val="32"/>
        </w:rPr>
      </w:pPr>
      <w:r>
        <w:rPr>
          <w:rFonts w:hint="eastAsia" w:ascii="仿宋" w:hAnsi="仿宋" w:eastAsia="仿宋" w:cs="宋体"/>
          <w:sz w:val="32"/>
          <w:szCs w:val="32"/>
        </w:rPr>
        <w:t>机构设置：</w:t>
      </w:r>
    </w:p>
    <w:p w14:paraId="639E7FF1">
      <w:pPr>
        <w:pStyle w:val="9"/>
        <w:spacing w:line="560" w:lineRule="exact"/>
        <w:ind w:left="0" w:leftChars="0" w:firstLine="640"/>
        <w:rPr>
          <w:rFonts w:ascii="仿宋" w:hAnsi="仿宋" w:eastAsia="仿宋" w:cs="宋体"/>
          <w:sz w:val="32"/>
          <w:szCs w:val="32"/>
        </w:rPr>
      </w:pPr>
      <w:r>
        <w:rPr>
          <w:rFonts w:hint="eastAsia" w:ascii="仿宋" w:hAnsi="仿宋" w:eastAsia="仿宋" w:cs="仿宋"/>
          <w:sz w:val="32"/>
          <w:szCs w:val="32"/>
        </w:rPr>
        <w:t>2025年井陉县自然资源和规划局公务员实有人数16人，井陉县不动产登记中心实有人数4人，井陉县国土资源局测绘队实有人数33人，井陉县土地储备中心实有人数15人，井陉县国土空间规划服务中心实有人数27人，井陉县矿产资源保护中心实有人数16人。</w:t>
      </w:r>
    </w:p>
    <w:tbl>
      <w:tblPr>
        <w:tblStyle w:val="7"/>
        <w:tblW w:w="8925" w:type="dxa"/>
        <w:tblInd w:w="135" w:type="dxa"/>
        <w:tblLayout w:type="fixed"/>
        <w:tblCellMar>
          <w:top w:w="0" w:type="dxa"/>
          <w:left w:w="15" w:type="dxa"/>
          <w:bottom w:w="0" w:type="dxa"/>
          <w:right w:w="15" w:type="dxa"/>
        </w:tblCellMar>
      </w:tblPr>
      <w:tblGrid>
        <w:gridCol w:w="3282"/>
        <w:gridCol w:w="1262"/>
        <w:gridCol w:w="781"/>
        <w:gridCol w:w="3600"/>
      </w:tblGrid>
      <w:tr w14:paraId="5E4F6544">
        <w:tblPrEx>
          <w:tblCellMar>
            <w:top w:w="0" w:type="dxa"/>
            <w:left w:w="15" w:type="dxa"/>
            <w:bottom w:w="0" w:type="dxa"/>
            <w:right w:w="15" w:type="dxa"/>
          </w:tblCellMar>
        </w:tblPrEx>
        <w:trPr>
          <w:trHeight w:val="1170" w:hRule="atLeast"/>
        </w:trPr>
        <w:tc>
          <w:tcPr>
            <w:tcW w:w="8925" w:type="dxa"/>
            <w:gridSpan w:val="4"/>
            <w:tcBorders>
              <w:top w:val="nil"/>
              <w:left w:val="nil"/>
              <w:bottom w:val="nil"/>
              <w:right w:val="nil"/>
            </w:tcBorders>
            <w:vAlign w:val="bottom"/>
          </w:tcPr>
          <w:p w14:paraId="4C1AA813">
            <w:pPr>
              <w:spacing w:line="560" w:lineRule="exact"/>
              <w:jc w:val="center"/>
              <w:textAlignment w:val="bottom"/>
              <w:rPr>
                <w:rFonts w:ascii="宋体" w:hAnsi="宋体"/>
                <w:color w:val="000000"/>
                <w:sz w:val="36"/>
                <w:szCs w:val="36"/>
              </w:rPr>
            </w:pPr>
            <w:r>
              <w:rPr>
                <w:rFonts w:hint="eastAsia" w:ascii="宋体" w:hAnsi="宋体"/>
                <w:color w:val="000000"/>
                <w:sz w:val="36"/>
                <w:szCs w:val="36"/>
              </w:rPr>
              <w:t>部门机构设置情况</w:t>
            </w:r>
          </w:p>
        </w:tc>
      </w:tr>
      <w:tr w14:paraId="7D9DA53A">
        <w:tblPrEx>
          <w:tblCellMar>
            <w:top w:w="0" w:type="dxa"/>
            <w:left w:w="15" w:type="dxa"/>
            <w:bottom w:w="0" w:type="dxa"/>
            <w:right w:w="15" w:type="dxa"/>
          </w:tblCellMar>
        </w:tblPrEx>
        <w:trPr>
          <w:trHeight w:val="1116"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5DDC41D2">
            <w:pPr>
              <w:spacing w:line="560" w:lineRule="exact"/>
              <w:ind w:firstLine="480"/>
              <w:jc w:val="center"/>
              <w:textAlignment w:val="bottom"/>
              <w:rPr>
                <w:rFonts w:ascii="仿宋" w:hAnsi="仿宋" w:eastAsia="仿宋"/>
                <w:b/>
                <w:bCs/>
                <w:color w:val="000000"/>
                <w:sz w:val="32"/>
                <w:szCs w:val="32"/>
              </w:rPr>
            </w:pPr>
            <w:r>
              <w:rPr>
                <w:rFonts w:hint="eastAsia" w:ascii="仿宋" w:hAnsi="仿宋" w:eastAsia="仿宋"/>
                <w:b/>
                <w:bCs/>
                <w:color w:val="000000"/>
                <w:sz w:val="32"/>
                <w:szCs w:val="32"/>
              </w:rPr>
              <w:t>单位名称</w:t>
            </w:r>
          </w:p>
        </w:tc>
        <w:tc>
          <w:tcPr>
            <w:tcW w:w="1262" w:type="dxa"/>
            <w:tcBorders>
              <w:top w:val="single" w:color="000000" w:sz="4" w:space="0"/>
              <w:left w:val="nil"/>
              <w:bottom w:val="single" w:color="000000" w:sz="4" w:space="0"/>
              <w:right w:val="single" w:color="000000" w:sz="4" w:space="0"/>
            </w:tcBorders>
            <w:vAlign w:val="bottom"/>
          </w:tcPr>
          <w:p w14:paraId="45D802FF">
            <w:pPr>
              <w:spacing w:line="560" w:lineRule="exact"/>
              <w:textAlignment w:val="bottom"/>
              <w:rPr>
                <w:rFonts w:ascii="仿宋" w:hAnsi="仿宋" w:eastAsia="仿宋"/>
                <w:b/>
                <w:bCs/>
                <w:color w:val="000000"/>
                <w:sz w:val="32"/>
                <w:szCs w:val="32"/>
              </w:rPr>
            </w:pPr>
            <w:r>
              <w:rPr>
                <w:rFonts w:hint="eastAsia" w:ascii="仿宋" w:hAnsi="仿宋" w:eastAsia="仿宋"/>
                <w:b/>
                <w:bCs/>
                <w:color w:val="000000"/>
                <w:sz w:val="32"/>
                <w:szCs w:val="32"/>
              </w:rPr>
              <w:t>单位性质</w:t>
            </w:r>
          </w:p>
        </w:tc>
        <w:tc>
          <w:tcPr>
            <w:tcW w:w="781" w:type="dxa"/>
            <w:tcBorders>
              <w:top w:val="single" w:color="000000" w:sz="4" w:space="0"/>
              <w:left w:val="nil"/>
              <w:bottom w:val="single" w:color="000000" w:sz="4" w:space="0"/>
              <w:right w:val="single" w:color="000000" w:sz="4" w:space="0"/>
            </w:tcBorders>
            <w:vAlign w:val="bottom"/>
          </w:tcPr>
          <w:p w14:paraId="001EF3D1">
            <w:pPr>
              <w:spacing w:line="560" w:lineRule="exact"/>
              <w:textAlignment w:val="bottom"/>
              <w:rPr>
                <w:rFonts w:ascii="仿宋" w:hAnsi="仿宋" w:eastAsia="仿宋"/>
                <w:b/>
                <w:bCs/>
                <w:color w:val="000000"/>
                <w:sz w:val="32"/>
                <w:szCs w:val="32"/>
              </w:rPr>
            </w:pPr>
            <w:r>
              <w:rPr>
                <w:rFonts w:hint="eastAsia" w:ascii="仿宋" w:hAnsi="仿宋" w:eastAsia="仿宋"/>
                <w:b/>
                <w:bCs/>
                <w:color w:val="000000"/>
                <w:sz w:val="32"/>
                <w:szCs w:val="32"/>
              </w:rPr>
              <w:t>单位规格</w:t>
            </w:r>
          </w:p>
        </w:tc>
        <w:tc>
          <w:tcPr>
            <w:tcW w:w="3600" w:type="dxa"/>
            <w:tcBorders>
              <w:top w:val="single" w:color="000000" w:sz="4" w:space="0"/>
              <w:left w:val="nil"/>
              <w:bottom w:val="single" w:color="000000" w:sz="4" w:space="0"/>
              <w:right w:val="single" w:color="000000" w:sz="4" w:space="0"/>
            </w:tcBorders>
            <w:vAlign w:val="bottom"/>
          </w:tcPr>
          <w:p w14:paraId="6F17436C">
            <w:pPr>
              <w:spacing w:line="560" w:lineRule="exact"/>
              <w:ind w:firstLine="480"/>
              <w:jc w:val="center"/>
              <w:textAlignment w:val="bottom"/>
              <w:rPr>
                <w:rFonts w:ascii="仿宋" w:hAnsi="仿宋" w:eastAsia="仿宋"/>
                <w:b/>
                <w:bCs/>
                <w:color w:val="000000"/>
                <w:sz w:val="32"/>
                <w:szCs w:val="32"/>
              </w:rPr>
            </w:pPr>
            <w:r>
              <w:rPr>
                <w:rFonts w:hint="eastAsia" w:ascii="仿宋" w:hAnsi="仿宋" w:eastAsia="仿宋"/>
                <w:b/>
                <w:bCs/>
                <w:color w:val="000000"/>
                <w:sz w:val="32"/>
                <w:szCs w:val="32"/>
              </w:rPr>
              <w:t>经费保障形式</w:t>
            </w:r>
          </w:p>
        </w:tc>
      </w:tr>
      <w:tr w14:paraId="1EB39BB0">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6970FD1E">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井陉县自然资源和规划局</w:t>
            </w:r>
          </w:p>
        </w:tc>
        <w:tc>
          <w:tcPr>
            <w:tcW w:w="1262" w:type="dxa"/>
            <w:tcBorders>
              <w:top w:val="single" w:color="000000" w:sz="4" w:space="0"/>
              <w:left w:val="nil"/>
              <w:bottom w:val="single" w:color="000000" w:sz="4" w:space="0"/>
              <w:right w:val="single" w:color="000000" w:sz="4" w:space="0"/>
            </w:tcBorders>
            <w:vAlign w:val="bottom"/>
          </w:tcPr>
          <w:p w14:paraId="43808798">
            <w:pPr>
              <w:spacing w:line="560" w:lineRule="exact"/>
              <w:textAlignment w:val="bottom"/>
              <w:rPr>
                <w:rFonts w:ascii="仿宋" w:hAnsi="仿宋" w:eastAsia="仿宋"/>
                <w:color w:val="000000"/>
                <w:sz w:val="28"/>
                <w:szCs w:val="28"/>
              </w:rPr>
            </w:pPr>
            <w:r>
              <w:rPr>
                <w:rFonts w:hint="eastAsia" w:ascii="仿宋" w:hAnsi="仿宋" w:eastAsia="仿宋"/>
                <w:color w:val="000000"/>
                <w:sz w:val="28"/>
                <w:szCs w:val="28"/>
              </w:rPr>
              <w:t xml:space="preserve">  行</w:t>
            </w:r>
            <w:r>
              <w:rPr>
                <w:rFonts w:hint="eastAsia" w:ascii="宋体" w:hAnsi="宋体" w:cs="宋体"/>
                <w:color w:val="000000"/>
                <w:sz w:val="28"/>
                <w:szCs w:val="28"/>
              </w:rPr>
              <w:t> </w:t>
            </w:r>
            <w:r>
              <w:rPr>
                <w:rFonts w:hint="eastAsia" w:ascii="仿宋" w:hAnsi="仿宋" w:eastAsia="仿宋"/>
                <w:color w:val="000000"/>
                <w:sz w:val="28"/>
                <w:szCs w:val="28"/>
              </w:rPr>
              <w:t>政</w:t>
            </w:r>
          </w:p>
        </w:tc>
        <w:tc>
          <w:tcPr>
            <w:tcW w:w="781" w:type="dxa"/>
            <w:tcBorders>
              <w:top w:val="single" w:color="000000" w:sz="4" w:space="0"/>
              <w:left w:val="nil"/>
              <w:bottom w:val="single" w:color="000000" w:sz="4" w:space="0"/>
              <w:right w:val="single" w:color="000000" w:sz="4" w:space="0"/>
            </w:tcBorders>
            <w:vAlign w:val="bottom"/>
          </w:tcPr>
          <w:p w14:paraId="645670A6">
            <w:pPr>
              <w:spacing w:line="560" w:lineRule="exact"/>
              <w:textAlignment w:val="bottom"/>
              <w:rPr>
                <w:rFonts w:ascii="仿宋" w:hAnsi="仿宋" w:eastAsia="仿宋"/>
                <w:color w:val="000000"/>
                <w:sz w:val="28"/>
                <w:szCs w:val="28"/>
              </w:rPr>
            </w:pPr>
            <w:r>
              <w:rPr>
                <w:rFonts w:hint="eastAsia" w:ascii="仿宋" w:hAnsi="仿宋" w:eastAsia="仿宋"/>
                <w:color w:val="000000"/>
                <w:sz w:val="28"/>
                <w:szCs w:val="28"/>
              </w:rPr>
              <w:t xml:space="preserve"> 正科</w:t>
            </w:r>
          </w:p>
        </w:tc>
        <w:tc>
          <w:tcPr>
            <w:tcW w:w="3600" w:type="dxa"/>
            <w:tcBorders>
              <w:top w:val="single" w:color="000000" w:sz="4" w:space="0"/>
              <w:left w:val="nil"/>
              <w:bottom w:val="single" w:color="000000" w:sz="4" w:space="0"/>
              <w:right w:val="single" w:color="000000" w:sz="4" w:space="0"/>
            </w:tcBorders>
            <w:vAlign w:val="bottom"/>
          </w:tcPr>
          <w:p w14:paraId="1341AEBC">
            <w:pPr>
              <w:spacing w:line="560" w:lineRule="exact"/>
              <w:ind w:firstLine="480"/>
              <w:jc w:val="left"/>
              <w:textAlignment w:val="bottom"/>
              <w:rPr>
                <w:rFonts w:ascii="仿宋" w:hAnsi="仿宋" w:eastAsia="仿宋"/>
                <w:color w:val="000000"/>
                <w:sz w:val="28"/>
                <w:szCs w:val="28"/>
              </w:rPr>
            </w:pPr>
            <w:r>
              <w:rPr>
                <w:rFonts w:hint="eastAsia" w:ascii="仿宋" w:hAnsi="仿宋" w:eastAsia="仿宋"/>
                <w:color w:val="000000"/>
                <w:sz w:val="28"/>
                <w:szCs w:val="28"/>
              </w:rPr>
              <w:t>财政拨款</w:t>
            </w:r>
          </w:p>
        </w:tc>
      </w:tr>
      <w:tr w14:paraId="17422D19">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4E420885">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井陉县不动产登记中心</w:t>
            </w:r>
          </w:p>
        </w:tc>
        <w:tc>
          <w:tcPr>
            <w:tcW w:w="1262" w:type="dxa"/>
            <w:tcBorders>
              <w:top w:val="single" w:color="000000" w:sz="4" w:space="0"/>
              <w:left w:val="nil"/>
              <w:bottom w:val="single" w:color="000000" w:sz="4" w:space="0"/>
              <w:right w:val="single" w:color="000000" w:sz="4" w:space="0"/>
            </w:tcBorders>
            <w:vAlign w:val="center"/>
          </w:tcPr>
          <w:p w14:paraId="130ACEEC">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324C79BA">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 xml:space="preserve"> 正科</w:t>
            </w:r>
          </w:p>
        </w:tc>
        <w:tc>
          <w:tcPr>
            <w:tcW w:w="3600" w:type="dxa"/>
            <w:tcBorders>
              <w:top w:val="single" w:color="000000" w:sz="4" w:space="0"/>
              <w:left w:val="nil"/>
              <w:bottom w:val="single" w:color="000000" w:sz="4" w:space="0"/>
              <w:right w:val="single" w:color="000000" w:sz="4" w:space="0"/>
            </w:tcBorders>
            <w:vAlign w:val="center"/>
          </w:tcPr>
          <w:p w14:paraId="56E3E317">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财政性资金基本保证</w:t>
            </w:r>
          </w:p>
        </w:tc>
      </w:tr>
      <w:tr w14:paraId="4ED48EA3">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6ABDBE74">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井陉县国土资源局测绘队</w:t>
            </w:r>
          </w:p>
        </w:tc>
        <w:tc>
          <w:tcPr>
            <w:tcW w:w="1262" w:type="dxa"/>
            <w:tcBorders>
              <w:top w:val="single" w:color="000000" w:sz="4" w:space="0"/>
              <w:left w:val="nil"/>
              <w:bottom w:val="single" w:color="000000" w:sz="4" w:space="0"/>
              <w:right w:val="single" w:color="000000" w:sz="4" w:space="0"/>
            </w:tcBorders>
            <w:vAlign w:val="center"/>
          </w:tcPr>
          <w:p w14:paraId="02744683">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381C4F13">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股级</w:t>
            </w:r>
          </w:p>
        </w:tc>
        <w:tc>
          <w:tcPr>
            <w:tcW w:w="3600" w:type="dxa"/>
            <w:tcBorders>
              <w:top w:val="single" w:color="000000" w:sz="4" w:space="0"/>
              <w:left w:val="nil"/>
              <w:bottom w:val="single" w:color="000000" w:sz="4" w:space="0"/>
              <w:right w:val="single" w:color="000000" w:sz="4" w:space="0"/>
            </w:tcBorders>
            <w:vAlign w:val="center"/>
          </w:tcPr>
          <w:p w14:paraId="6D4BEA9C">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财政性资金零补助</w:t>
            </w:r>
          </w:p>
        </w:tc>
      </w:tr>
      <w:tr w14:paraId="5B8041FC">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776C806F">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井陉县地价评估事务所</w:t>
            </w:r>
          </w:p>
        </w:tc>
        <w:tc>
          <w:tcPr>
            <w:tcW w:w="1262" w:type="dxa"/>
            <w:tcBorders>
              <w:top w:val="single" w:color="000000" w:sz="4" w:space="0"/>
              <w:left w:val="nil"/>
              <w:bottom w:val="single" w:color="000000" w:sz="4" w:space="0"/>
              <w:right w:val="single" w:color="000000" w:sz="4" w:space="0"/>
            </w:tcBorders>
            <w:vAlign w:val="center"/>
          </w:tcPr>
          <w:p w14:paraId="4FEFC267">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3B6B06B0">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股级</w:t>
            </w:r>
          </w:p>
        </w:tc>
        <w:tc>
          <w:tcPr>
            <w:tcW w:w="3600" w:type="dxa"/>
            <w:tcBorders>
              <w:top w:val="single" w:color="000000" w:sz="4" w:space="0"/>
              <w:left w:val="nil"/>
              <w:bottom w:val="single" w:color="000000" w:sz="4" w:space="0"/>
              <w:right w:val="single" w:color="000000" w:sz="4" w:space="0"/>
            </w:tcBorders>
            <w:vAlign w:val="center"/>
          </w:tcPr>
          <w:p w14:paraId="0EDE8088">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财政性资金零补助</w:t>
            </w:r>
          </w:p>
        </w:tc>
      </w:tr>
      <w:tr w14:paraId="0E705C9B">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0B89F4CC">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井陉县土地储备中心</w:t>
            </w:r>
          </w:p>
        </w:tc>
        <w:tc>
          <w:tcPr>
            <w:tcW w:w="1262" w:type="dxa"/>
            <w:tcBorders>
              <w:top w:val="single" w:color="000000" w:sz="4" w:space="0"/>
              <w:left w:val="nil"/>
              <w:bottom w:val="single" w:color="000000" w:sz="4" w:space="0"/>
              <w:right w:val="single" w:color="000000" w:sz="4" w:space="0"/>
            </w:tcBorders>
            <w:vAlign w:val="center"/>
          </w:tcPr>
          <w:p w14:paraId="1C2E99B9">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2F67B673">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股级</w:t>
            </w:r>
          </w:p>
        </w:tc>
        <w:tc>
          <w:tcPr>
            <w:tcW w:w="3600" w:type="dxa"/>
            <w:tcBorders>
              <w:top w:val="single" w:color="000000" w:sz="4" w:space="0"/>
              <w:left w:val="nil"/>
              <w:bottom w:val="single" w:color="000000" w:sz="4" w:space="0"/>
              <w:right w:val="single" w:color="000000" w:sz="4" w:space="0"/>
            </w:tcBorders>
            <w:vAlign w:val="center"/>
          </w:tcPr>
          <w:p w14:paraId="28FD2753">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财政性资金零补助</w:t>
            </w:r>
          </w:p>
        </w:tc>
      </w:tr>
      <w:tr w14:paraId="7FB95695">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3CF3747F">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井陉县国土空间规划服务中心</w:t>
            </w:r>
          </w:p>
        </w:tc>
        <w:tc>
          <w:tcPr>
            <w:tcW w:w="1262" w:type="dxa"/>
            <w:tcBorders>
              <w:top w:val="single" w:color="000000" w:sz="4" w:space="0"/>
              <w:left w:val="nil"/>
              <w:bottom w:val="single" w:color="000000" w:sz="4" w:space="0"/>
              <w:right w:val="single" w:color="000000" w:sz="4" w:space="0"/>
            </w:tcBorders>
            <w:vAlign w:val="center"/>
          </w:tcPr>
          <w:p w14:paraId="06258922">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53017B74">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股级</w:t>
            </w:r>
          </w:p>
        </w:tc>
        <w:tc>
          <w:tcPr>
            <w:tcW w:w="3600" w:type="dxa"/>
            <w:tcBorders>
              <w:top w:val="single" w:color="000000" w:sz="4" w:space="0"/>
              <w:left w:val="nil"/>
              <w:bottom w:val="single" w:color="000000" w:sz="4" w:space="0"/>
              <w:right w:val="single" w:color="000000" w:sz="4" w:space="0"/>
            </w:tcBorders>
            <w:vAlign w:val="center"/>
          </w:tcPr>
          <w:p w14:paraId="15138FFD">
            <w:pPr>
              <w:spacing w:line="560" w:lineRule="exact"/>
              <w:textAlignment w:val="center"/>
              <w:rPr>
                <w:rFonts w:ascii="仿宋" w:hAnsi="仿宋" w:eastAsia="仿宋" w:cs="仿宋"/>
                <w:sz w:val="28"/>
                <w:szCs w:val="28"/>
              </w:rPr>
            </w:pPr>
            <w:r>
              <w:rPr>
                <w:rFonts w:hint="eastAsia" w:ascii="仿宋" w:hAnsi="仿宋" w:eastAsia="仿宋" w:cs="仿宋"/>
                <w:sz w:val="28"/>
                <w:szCs w:val="28"/>
              </w:rPr>
              <w:t>财政性资金定额或定项补助</w:t>
            </w:r>
          </w:p>
        </w:tc>
      </w:tr>
      <w:tr w14:paraId="06A90F2F">
        <w:tblPrEx>
          <w:tblCellMar>
            <w:top w:w="0" w:type="dxa"/>
            <w:left w:w="15" w:type="dxa"/>
            <w:bottom w:w="0" w:type="dxa"/>
            <w:right w:w="15" w:type="dxa"/>
          </w:tblCellMar>
        </w:tblPrEx>
        <w:trPr>
          <w:trHeight w:val="570" w:hRule="atLeast"/>
        </w:trPr>
        <w:tc>
          <w:tcPr>
            <w:tcW w:w="3282" w:type="dxa"/>
            <w:tcBorders>
              <w:top w:val="single" w:color="000000" w:sz="4" w:space="0"/>
              <w:left w:val="single" w:color="000000" w:sz="4" w:space="0"/>
              <w:bottom w:val="single" w:color="000000" w:sz="4" w:space="0"/>
              <w:right w:val="single" w:color="000000" w:sz="4" w:space="0"/>
            </w:tcBorders>
            <w:vAlign w:val="bottom"/>
          </w:tcPr>
          <w:p w14:paraId="1E3CA23C">
            <w:pPr>
              <w:spacing w:line="560" w:lineRule="exact"/>
              <w:jc w:val="left"/>
              <w:textAlignment w:val="bottom"/>
              <w:rPr>
                <w:rFonts w:ascii="仿宋" w:hAnsi="仿宋" w:eastAsia="仿宋"/>
                <w:color w:val="000000"/>
                <w:sz w:val="28"/>
                <w:szCs w:val="28"/>
              </w:rPr>
            </w:pPr>
            <w:r>
              <w:rPr>
                <w:rFonts w:hint="eastAsia" w:ascii="仿宋" w:hAnsi="仿宋" w:eastAsia="仿宋"/>
                <w:color w:val="000000"/>
                <w:sz w:val="28"/>
                <w:szCs w:val="28"/>
              </w:rPr>
              <w:t>井陉县矿产资源保护中心</w:t>
            </w:r>
          </w:p>
        </w:tc>
        <w:tc>
          <w:tcPr>
            <w:tcW w:w="1262" w:type="dxa"/>
            <w:tcBorders>
              <w:top w:val="single" w:color="000000" w:sz="4" w:space="0"/>
              <w:left w:val="nil"/>
              <w:bottom w:val="single" w:color="000000" w:sz="4" w:space="0"/>
              <w:right w:val="single" w:color="000000" w:sz="4" w:space="0"/>
            </w:tcBorders>
            <w:vAlign w:val="center"/>
          </w:tcPr>
          <w:p w14:paraId="3D736244">
            <w:pPr>
              <w:spacing w:line="560" w:lineRule="exact"/>
              <w:jc w:val="center"/>
              <w:textAlignment w:val="center"/>
              <w:rPr>
                <w:rFonts w:ascii="仿宋" w:hAnsi="仿宋" w:eastAsia="仿宋"/>
                <w:color w:val="000000"/>
                <w:sz w:val="28"/>
                <w:szCs w:val="28"/>
              </w:rPr>
            </w:pPr>
            <w:r>
              <w:rPr>
                <w:rFonts w:hint="eastAsia" w:ascii="仿宋" w:hAnsi="仿宋" w:eastAsia="仿宋"/>
                <w:color w:val="000000"/>
                <w:sz w:val="28"/>
                <w:szCs w:val="28"/>
              </w:rPr>
              <w:t>事业</w:t>
            </w:r>
          </w:p>
        </w:tc>
        <w:tc>
          <w:tcPr>
            <w:tcW w:w="781" w:type="dxa"/>
            <w:tcBorders>
              <w:top w:val="single" w:color="000000" w:sz="4" w:space="0"/>
              <w:left w:val="nil"/>
              <w:bottom w:val="single" w:color="000000" w:sz="4" w:space="0"/>
              <w:right w:val="single" w:color="000000" w:sz="4" w:space="0"/>
            </w:tcBorders>
            <w:vAlign w:val="center"/>
          </w:tcPr>
          <w:p w14:paraId="2E0D6A21">
            <w:pPr>
              <w:spacing w:line="560" w:lineRule="exact"/>
              <w:textAlignment w:val="center"/>
              <w:rPr>
                <w:rFonts w:ascii="仿宋" w:hAnsi="仿宋" w:eastAsia="仿宋"/>
                <w:color w:val="000000"/>
                <w:sz w:val="28"/>
                <w:szCs w:val="28"/>
              </w:rPr>
            </w:pPr>
            <w:r>
              <w:rPr>
                <w:rFonts w:hint="eastAsia" w:ascii="仿宋" w:hAnsi="仿宋" w:eastAsia="仿宋"/>
                <w:color w:val="000000"/>
                <w:sz w:val="28"/>
                <w:szCs w:val="28"/>
              </w:rPr>
              <w:t>正科</w:t>
            </w:r>
          </w:p>
        </w:tc>
        <w:tc>
          <w:tcPr>
            <w:tcW w:w="3600" w:type="dxa"/>
            <w:tcBorders>
              <w:top w:val="single" w:color="000000" w:sz="4" w:space="0"/>
              <w:left w:val="nil"/>
              <w:bottom w:val="single" w:color="000000" w:sz="4" w:space="0"/>
              <w:right w:val="single" w:color="000000" w:sz="4" w:space="0"/>
            </w:tcBorders>
            <w:vAlign w:val="center"/>
          </w:tcPr>
          <w:p w14:paraId="4A511794">
            <w:pPr>
              <w:spacing w:line="560" w:lineRule="exact"/>
              <w:textAlignment w:val="center"/>
              <w:rPr>
                <w:rFonts w:ascii="仿宋" w:hAnsi="仿宋" w:eastAsia="仿宋" w:cs="仿宋"/>
                <w:sz w:val="28"/>
                <w:szCs w:val="28"/>
              </w:rPr>
            </w:pPr>
            <w:r>
              <w:rPr>
                <w:rFonts w:hint="eastAsia" w:ascii="仿宋" w:hAnsi="仿宋" w:eastAsia="仿宋" w:cs="仿宋"/>
                <w:sz w:val="28"/>
                <w:szCs w:val="28"/>
              </w:rPr>
              <w:t>财政性资金基本保证</w:t>
            </w:r>
          </w:p>
        </w:tc>
      </w:tr>
    </w:tbl>
    <w:p w14:paraId="7C5A3F3F">
      <w:pPr>
        <w:pStyle w:val="9"/>
        <w:spacing w:line="560" w:lineRule="exact"/>
        <w:ind w:left="0" w:leftChars="0" w:firstLine="640"/>
        <w:rPr>
          <w:rFonts w:ascii="仿宋" w:hAnsi="仿宋" w:eastAsia="仿宋" w:cs="仿宋"/>
          <w:sz w:val="32"/>
          <w:szCs w:val="32"/>
        </w:rPr>
      </w:pPr>
    </w:p>
    <w:p w14:paraId="680A8D3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资产情况：</w:t>
      </w:r>
      <w:r>
        <w:rPr>
          <w:rFonts w:hint="eastAsia" w:ascii="仿宋" w:hAnsi="仿宋" w:eastAsia="仿宋" w:cs="Times New Roman"/>
          <w:sz w:val="32"/>
          <w:szCs w:val="32"/>
        </w:rPr>
        <w:t>井陉县自然资源和规划局</w:t>
      </w:r>
      <w:r>
        <w:rPr>
          <w:rFonts w:hint="eastAsia" w:eastAsia="仿宋" w:cs="Times New Roman"/>
          <w:sz w:val="32"/>
          <w:szCs w:val="32"/>
        </w:rPr>
        <w:t>2025</w:t>
      </w:r>
      <w:r>
        <w:rPr>
          <w:rFonts w:ascii="仿宋" w:hAnsi="仿宋" w:eastAsia="仿宋" w:cs="Times New Roman"/>
          <w:sz w:val="32"/>
          <w:szCs w:val="32"/>
        </w:rPr>
        <w:t>年末固定资产金额为</w:t>
      </w:r>
      <w:r>
        <w:rPr>
          <w:rFonts w:hint="eastAsia" w:eastAsia="仿宋" w:cs="Times New Roman"/>
          <w:sz w:val="32"/>
          <w:szCs w:val="32"/>
        </w:rPr>
        <w:t>759.43万元，无形资产为244.73万元</w:t>
      </w:r>
      <w:r>
        <w:rPr>
          <w:rFonts w:hint="eastAsia" w:ascii="仿宋" w:hAnsi="仿宋" w:eastAsia="仿宋"/>
          <w:sz w:val="32"/>
          <w:szCs w:val="32"/>
        </w:rPr>
        <w:t>。</w:t>
      </w:r>
    </w:p>
    <w:p w14:paraId="68E195A3">
      <w:pPr>
        <w:numPr>
          <w:ilvl w:val="0"/>
          <w:numId w:val="1"/>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28E22AA3">
      <w:pPr>
        <w:adjustRightInd w:val="0"/>
        <w:snapToGrid w:val="0"/>
        <w:spacing w:line="560" w:lineRule="exact"/>
        <w:ind w:firstLine="640" w:firstLineChars="200"/>
        <w:rPr>
          <w:rFonts w:eastAsia="仿宋" w:cs="Times New Roman"/>
          <w:sz w:val="32"/>
          <w:szCs w:val="32"/>
        </w:rPr>
      </w:pPr>
      <w:r>
        <w:rPr>
          <w:rFonts w:hint="eastAsia" w:ascii="仿宋" w:hAnsi="仿宋" w:eastAsia="仿宋"/>
          <w:sz w:val="32"/>
          <w:szCs w:val="32"/>
        </w:rPr>
        <w:t>1.预算情况：</w:t>
      </w:r>
      <w:r>
        <w:rPr>
          <w:rFonts w:hint="eastAsia" w:ascii="仿宋" w:hAnsi="仿宋" w:eastAsia="仿宋" w:cs="仿宋"/>
          <w:sz w:val="30"/>
          <w:szCs w:val="30"/>
        </w:rPr>
        <w:t>按照预算管理有关规定，目前我县部门预算的编制实行综合预算管理，即全部收入和支出都反映在预算中。井陉县自然资源和规划局机关及所属事业单位的收支包含在部门预算中。</w:t>
      </w:r>
    </w:p>
    <w:p w14:paraId="23BF4948">
      <w:pPr>
        <w:spacing w:line="560" w:lineRule="exact"/>
        <w:ind w:firstLine="600" w:firstLineChars="200"/>
        <w:rPr>
          <w:rFonts w:ascii="仿宋" w:hAnsi="仿宋" w:eastAsia="仿宋" w:cs="Times New Roman"/>
          <w:sz w:val="32"/>
          <w:szCs w:val="32"/>
        </w:rPr>
      </w:pPr>
      <w:r>
        <w:rPr>
          <w:rFonts w:hint="eastAsia" w:ascii="仿宋" w:hAnsi="仿宋" w:eastAsia="仿宋" w:cs="仿宋"/>
          <w:sz w:val="30"/>
          <w:szCs w:val="30"/>
        </w:rPr>
        <w:t>（1）</w:t>
      </w:r>
      <w:r>
        <w:rPr>
          <w:rFonts w:hint="eastAsia" w:eastAsia="仿宋" w:cs="Times New Roman"/>
          <w:sz w:val="32"/>
          <w:szCs w:val="32"/>
        </w:rPr>
        <w:t>收入说明：</w:t>
      </w:r>
      <w:r>
        <w:rPr>
          <w:rFonts w:hint="eastAsia" w:ascii="仿宋" w:hAnsi="仿宋" w:eastAsia="仿宋" w:cs="Times New Roman"/>
          <w:sz w:val="32"/>
          <w:szCs w:val="32"/>
        </w:rPr>
        <w:t>2025年预算收入28826.6921万元，其中：一般公共预算收入2378.0165万元，基金预算收入26448万元，上年结转财政专户核拨收入</w:t>
      </w:r>
      <w:r>
        <w:rPr>
          <w:rFonts w:hint="eastAsia" w:eastAsia="仿宋" w:cs="Times New Roman"/>
          <w:sz w:val="32"/>
          <w:szCs w:val="32"/>
        </w:rPr>
        <w:t>0</w:t>
      </w:r>
      <w:r>
        <w:rPr>
          <w:rFonts w:hint="eastAsia" w:ascii="仿宋" w:hAnsi="仿宋" w:eastAsia="仿宋" w:cs="Times New Roman"/>
          <w:sz w:val="32"/>
          <w:szCs w:val="32"/>
        </w:rPr>
        <w:t>万元，其他来源收入</w:t>
      </w:r>
      <w:r>
        <w:rPr>
          <w:rFonts w:hint="eastAsia" w:eastAsia="仿宋" w:cs="Times New Roman"/>
          <w:sz w:val="32"/>
          <w:szCs w:val="32"/>
        </w:rPr>
        <w:t>0</w:t>
      </w:r>
      <w:r>
        <w:rPr>
          <w:rFonts w:hint="eastAsia" w:ascii="仿宋" w:hAnsi="仿宋" w:eastAsia="仿宋" w:cs="Times New Roman"/>
          <w:sz w:val="32"/>
          <w:szCs w:val="32"/>
        </w:rPr>
        <w:t>万元。</w:t>
      </w:r>
    </w:p>
    <w:p w14:paraId="732634A0">
      <w:pPr>
        <w:spacing w:line="560" w:lineRule="exact"/>
        <w:ind w:firstLine="640" w:firstLineChars="200"/>
        <w:rPr>
          <w:rFonts w:ascii="仿宋" w:hAnsi="仿宋" w:eastAsia="仿宋"/>
          <w:sz w:val="32"/>
          <w:szCs w:val="32"/>
        </w:rPr>
      </w:pPr>
      <w:r>
        <w:rPr>
          <w:rFonts w:hint="eastAsia" w:ascii="仿宋" w:hAnsi="仿宋" w:eastAsia="仿宋" w:cs="Times New Roman"/>
          <w:sz w:val="32"/>
          <w:szCs w:val="32"/>
        </w:rPr>
        <w:t>（2）支出说明：</w:t>
      </w:r>
      <w:r>
        <w:rPr>
          <w:rFonts w:ascii="仿宋" w:hAnsi="仿宋" w:eastAsia="仿宋"/>
          <w:sz w:val="32"/>
          <w:szCs w:val="32"/>
        </w:rPr>
        <w:t xml:space="preserve"> 202</w:t>
      </w:r>
      <w:r>
        <w:rPr>
          <w:rFonts w:hint="eastAsia" w:ascii="仿宋" w:hAnsi="仿宋" w:eastAsia="仿宋"/>
          <w:sz w:val="32"/>
          <w:szCs w:val="32"/>
        </w:rPr>
        <w:t>5</w:t>
      </w:r>
      <w:r>
        <w:rPr>
          <w:rFonts w:ascii="仿宋" w:hAnsi="仿宋" w:eastAsia="仿宋"/>
          <w:sz w:val="32"/>
          <w:szCs w:val="32"/>
        </w:rPr>
        <w:t>年部门支出预算为</w:t>
      </w:r>
      <w:r>
        <w:rPr>
          <w:rFonts w:hint="eastAsia" w:ascii="仿宋" w:hAnsi="仿宋" w:eastAsia="仿宋" w:cs="Times New Roman"/>
          <w:sz w:val="32"/>
          <w:szCs w:val="32"/>
        </w:rPr>
        <w:t>28826.6921万</w:t>
      </w:r>
      <w:r>
        <w:rPr>
          <w:rFonts w:ascii="仿宋" w:hAnsi="仿宋" w:eastAsia="仿宋"/>
          <w:sz w:val="32"/>
          <w:szCs w:val="32"/>
        </w:rPr>
        <w:t>元，其中基本支出</w:t>
      </w:r>
      <w:r>
        <w:rPr>
          <w:rFonts w:hint="eastAsia" w:ascii="仿宋" w:hAnsi="仿宋" w:eastAsia="仿宋"/>
          <w:sz w:val="32"/>
          <w:szCs w:val="32"/>
        </w:rPr>
        <w:t>1561.6451万</w:t>
      </w:r>
      <w:r>
        <w:rPr>
          <w:rFonts w:ascii="仿宋" w:hAnsi="仿宋" w:eastAsia="仿宋"/>
          <w:sz w:val="32"/>
          <w:szCs w:val="32"/>
        </w:rPr>
        <w:t>元，包括人员经费</w:t>
      </w:r>
      <w:r>
        <w:rPr>
          <w:rFonts w:hint="eastAsia" w:ascii="仿宋" w:hAnsi="仿宋" w:eastAsia="仿宋"/>
          <w:sz w:val="32"/>
          <w:szCs w:val="32"/>
        </w:rPr>
        <w:t>1511.7151万</w:t>
      </w:r>
      <w:r>
        <w:rPr>
          <w:rFonts w:ascii="仿宋" w:hAnsi="仿宋" w:eastAsia="仿宋"/>
          <w:sz w:val="32"/>
          <w:szCs w:val="32"/>
        </w:rPr>
        <w:t>元和日常公用经费</w:t>
      </w:r>
      <w:r>
        <w:rPr>
          <w:rFonts w:hint="eastAsia" w:ascii="仿宋" w:hAnsi="仿宋" w:eastAsia="仿宋"/>
          <w:sz w:val="32"/>
          <w:szCs w:val="32"/>
        </w:rPr>
        <w:t>49.93万</w:t>
      </w:r>
      <w:r>
        <w:rPr>
          <w:rFonts w:ascii="仿宋" w:hAnsi="仿宋" w:eastAsia="仿宋"/>
          <w:sz w:val="32"/>
          <w:szCs w:val="32"/>
        </w:rPr>
        <w:t>元；项目支出</w:t>
      </w:r>
      <w:r>
        <w:rPr>
          <w:rFonts w:hint="eastAsia" w:ascii="仿宋" w:hAnsi="仿宋" w:eastAsia="仿宋"/>
          <w:sz w:val="32"/>
          <w:szCs w:val="32"/>
        </w:rPr>
        <w:t>27265.0470万</w:t>
      </w:r>
      <w:r>
        <w:rPr>
          <w:rFonts w:ascii="仿宋" w:hAnsi="仿宋" w:eastAsia="仿宋"/>
          <w:sz w:val="32"/>
          <w:szCs w:val="32"/>
        </w:rPr>
        <w:t>元，主要为征地补偿款、土地整治（占补平衡）项目等。</w:t>
      </w:r>
    </w:p>
    <w:p w14:paraId="2261E072">
      <w:pPr>
        <w:spacing w:line="560" w:lineRule="exact"/>
        <w:ind w:firstLine="640" w:firstLineChars="200"/>
        <w:rPr>
          <w:rFonts w:ascii="仿宋" w:hAnsi="仿宋" w:eastAsia="仿宋" w:cs="Times New Roman"/>
          <w:sz w:val="32"/>
          <w:szCs w:val="32"/>
        </w:rPr>
      </w:pPr>
      <w:r>
        <w:rPr>
          <w:rFonts w:hint="eastAsia" w:ascii="仿宋" w:hAnsi="仿宋" w:eastAsia="仿宋"/>
          <w:sz w:val="32"/>
          <w:szCs w:val="32"/>
        </w:rPr>
        <w:t>2.决算情况：</w:t>
      </w:r>
    </w:p>
    <w:p w14:paraId="60812FCD">
      <w:pPr>
        <w:pStyle w:val="9"/>
        <w:spacing w:line="560" w:lineRule="exact"/>
        <w:ind w:left="0" w:leftChars="0" w:firstLine="640"/>
        <w:rPr>
          <w:rFonts w:ascii="仿宋" w:hAnsi="仿宋" w:eastAsia="仿宋"/>
          <w:sz w:val="32"/>
          <w:szCs w:val="32"/>
        </w:rPr>
      </w:pPr>
      <w:r>
        <w:rPr>
          <w:rFonts w:hint="eastAsia" w:ascii="仿宋" w:hAnsi="仿宋" w:eastAsia="仿宋"/>
          <w:sz w:val="32"/>
          <w:szCs w:val="32"/>
        </w:rPr>
        <w:t>（1）收入情况</w:t>
      </w:r>
      <w:r>
        <w:rPr>
          <w:rFonts w:hint="eastAsia" w:ascii="仿宋" w:hAnsi="仿宋" w:eastAsia="仿宋" w:cs="仿宋"/>
          <w:sz w:val="32"/>
          <w:szCs w:val="32"/>
        </w:rPr>
        <w:t>：2025年决</w:t>
      </w:r>
      <w:r>
        <w:rPr>
          <w:rFonts w:hint="eastAsia" w:eastAsia="仿宋" w:cs="Times New Roman"/>
          <w:sz w:val="32"/>
          <w:szCs w:val="32"/>
        </w:rPr>
        <w:t>算收入</w:t>
      </w:r>
      <w:r>
        <w:rPr>
          <w:rFonts w:ascii="仿宋" w:hAnsi="仿宋" w:eastAsia="仿宋" w:cs="宋体"/>
          <w:kern w:val="0"/>
          <w:sz w:val="32"/>
          <w:szCs w:val="32"/>
        </w:rPr>
        <w:t>16694</w:t>
      </w:r>
      <w:r>
        <w:rPr>
          <w:rFonts w:hint="eastAsia" w:ascii="仿宋" w:hAnsi="仿宋" w:eastAsia="仿宋" w:cs="宋体"/>
          <w:kern w:val="0"/>
          <w:sz w:val="32"/>
          <w:szCs w:val="32"/>
        </w:rPr>
        <w:t>.</w:t>
      </w:r>
      <w:r>
        <w:rPr>
          <w:rFonts w:ascii="仿宋" w:hAnsi="仿宋" w:eastAsia="仿宋" w:cs="宋体"/>
          <w:kern w:val="0"/>
          <w:sz w:val="32"/>
          <w:szCs w:val="32"/>
        </w:rPr>
        <w:t>553</w:t>
      </w:r>
      <w:r>
        <w:rPr>
          <w:rFonts w:hint="eastAsia" w:ascii="仿宋" w:hAnsi="仿宋" w:eastAsia="仿宋" w:cs="Times New Roman"/>
          <w:sz w:val="32"/>
          <w:szCs w:val="32"/>
        </w:rPr>
        <w:t>万元，其中：一般公共预算收入</w:t>
      </w:r>
      <w:r>
        <w:rPr>
          <w:rFonts w:ascii="仿宋" w:hAnsi="仿宋" w:eastAsia="仿宋" w:cs="宋体"/>
          <w:kern w:val="0"/>
          <w:sz w:val="32"/>
          <w:szCs w:val="32"/>
        </w:rPr>
        <w:t>2935</w:t>
      </w:r>
      <w:r>
        <w:rPr>
          <w:rFonts w:hint="eastAsia" w:ascii="仿宋" w:hAnsi="仿宋" w:eastAsia="仿宋" w:cs="宋体"/>
          <w:kern w:val="0"/>
          <w:sz w:val="32"/>
          <w:szCs w:val="32"/>
        </w:rPr>
        <w:t>.</w:t>
      </w:r>
      <w:r>
        <w:rPr>
          <w:rFonts w:ascii="仿宋" w:hAnsi="仿宋" w:eastAsia="仿宋" w:cs="宋体"/>
          <w:kern w:val="0"/>
          <w:sz w:val="32"/>
          <w:szCs w:val="32"/>
        </w:rPr>
        <w:t>5802</w:t>
      </w:r>
      <w:r>
        <w:rPr>
          <w:rFonts w:hint="eastAsia" w:ascii="仿宋" w:hAnsi="仿宋" w:eastAsia="仿宋" w:cs="Times New Roman"/>
          <w:sz w:val="32"/>
          <w:szCs w:val="32"/>
        </w:rPr>
        <w:t>万元，基金预算收入</w:t>
      </w:r>
      <w:r>
        <w:rPr>
          <w:rFonts w:ascii="仿宋" w:hAnsi="仿宋" w:eastAsia="仿宋" w:cs="宋体"/>
          <w:kern w:val="0"/>
          <w:sz w:val="32"/>
          <w:szCs w:val="32"/>
        </w:rPr>
        <w:t>13550</w:t>
      </w:r>
      <w:r>
        <w:rPr>
          <w:rFonts w:hint="eastAsia" w:ascii="仿宋" w:hAnsi="仿宋" w:eastAsia="仿宋" w:cs="宋体"/>
          <w:kern w:val="0"/>
          <w:sz w:val="32"/>
          <w:szCs w:val="32"/>
        </w:rPr>
        <w:t>.</w:t>
      </w:r>
      <w:r>
        <w:rPr>
          <w:rFonts w:ascii="仿宋" w:hAnsi="仿宋" w:eastAsia="仿宋" w:cs="宋体"/>
          <w:kern w:val="0"/>
          <w:sz w:val="32"/>
          <w:szCs w:val="32"/>
        </w:rPr>
        <w:t>3895</w:t>
      </w:r>
      <w:r>
        <w:rPr>
          <w:rFonts w:hint="eastAsia" w:ascii="仿宋" w:hAnsi="仿宋" w:eastAsia="仿宋" w:cs="Times New Roman"/>
          <w:sz w:val="32"/>
          <w:szCs w:val="32"/>
        </w:rPr>
        <w:t>万元，财政专户核拨收入</w:t>
      </w:r>
      <w:r>
        <w:rPr>
          <w:rFonts w:hint="eastAsia" w:eastAsia="仿宋" w:cs="Times New Roman"/>
          <w:sz w:val="32"/>
          <w:szCs w:val="32"/>
        </w:rPr>
        <w:t>0</w:t>
      </w:r>
      <w:r>
        <w:rPr>
          <w:rFonts w:hint="eastAsia" w:ascii="仿宋" w:hAnsi="仿宋" w:eastAsia="仿宋" w:cs="Times New Roman"/>
          <w:sz w:val="32"/>
          <w:szCs w:val="32"/>
        </w:rPr>
        <w:t>万元，其他收入</w:t>
      </w:r>
      <w:r>
        <w:rPr>
          <w:rFonts w:cs="Times New Roman" w:asciiTheme="minorEastAsia" w:hAnsiTheme="minorEastAsia" w:eastAsiaTheme="minorEastAsia"/>
          <w:sz w:val="32"/>
          <w:szCs w:val="32"/>
        </w:rPr>
        <w:t>208</w:t>
      </w:r>
      <w:r>
        <w:rPr>
          <w:rFonts w:hint="eastAsia" w:cs="Times New Roman" w:asciiTheme="minorEastAsia" w:hAnsiTheme="minorEastAsia" w:eastAsiaTheme="minorEastAsia"/>
          <w:sz w:val="32"/>
          <w:szCs w:val="32"/>
        </w:rPr>
        <w:t>.</w:t>
      </w:r>
      <w:r>
        <w:rPr>
          <w:rFonts w:cs="Times New Roman" w:asciiTheme="minorEastAsia" w:hAnsiTheme="minorEastAsia" w:eastAsiaTheme="minorEastAsia"/>
          <w:sz w:val="32"/>
          <w:szCs w:val="32"/>
        </w:rPr>
        <w:t>5832</w:t>
      </w:r>
      <w:r>
        <w:rPr>
          <w:rFonts w:hint="eastAsia" w:ascii="仿宋" w:hAnsi="仿宋" w:eastAsia="仿宋" w:cs="Times New Roman"/>
          <w:sz w:val="32"/>
          <w:szCs w:val="32"/>
        </w:rPr>
        <w:t>万元。</w:t>
      </w:r>
    </w:p>
    <w:p w14:paraId="00A6B537">
      <w:pPr>
        <w:pStyle w:val="9"/>
        <w:spacing w:line="560" w:lineRule="exact"/>
        <w:ind w:left="0" w:leftChars="0" w:firstLine="640"/>
        <w:rPr>
          <w:rFonts w:ascii="楷体" w:hAnsi="楷体" w:eastAsia="楷体" w:cs="楷体_GB2312"/>
          <w:bCs/>
          <w:sz w:val="32"/>
          <w:szCs w:val="32"/>
        </w:rPr>
      </w:pPr>
      <w:r>
        <w:rPr>
          <w:rFonts w:hint="eastAsia" w:ascii="仿宋" w:hAnsi="仿宋" w:eastAsia="仿宋"/>
          <w:sz w:val="32"/>
          <w:szCs w:val="32"/>
        </w:rPr>
        <w:t>（2）支出情况：</w:t>
      </w:r>
      <w:r>
        <w:rPr>
          <w:rFonts w:ascii="仿宋" w:hAnsi="仿宋" w:eastAsia="仿宋"/>
          <w:sz w:val="32"/>
          <w:szCs w:val="32"/>
        </w:rPr>
        <w:t>202</w:t>
      </w:r>
      <w:r>
        <w:rPr>
          <w:rFonts w:hint="eastAsia" w:ascii="仿宋" w:hAnsi="仿宋" w:eastAsia="仿宋"/>
          <w:sz w:val="32"/>
          <w:szCs w:val="32"/>
        </w:rPr>
        <w:t>5</w:t>
      </w:r>
      <w:r>
        <w:rPr>
          <w:rFonts w:ascii="仿宋" w:hAnsi="仿宋" w:eastAsia="仿宋"/>
          <w:sz w:val="32"/>
          <w:szCs w:val="32"/>
        </w:rPr>
        <w:t>年部门支出</w:t>
      </w:r>
      <w:r>
        <w:rPr>
          <w:rFonts w:hint="eastAsia" w:ascii="仿宋" w:hAnsi="仿宋" w:eastAsia="仿宋"/>
          <w:sz w:val="32"/>
          <w:szCs w:val="32"/>
        </w:rPr>
        <w:t>决算</w:t>
      </w:r>
      <w:r>
        <w:rPr>
          <w:rFonts w:ascii="仿宋" w:hAnsi="仿宋" w:eastAsia="仿宋"/>
          <w:sz w:val="32"/>
          <w:szCs w:val="32"/>
        </w:rPr>
        <w:t>为</w:t>
      </w:r>
      <w:r>
        <w:rPr>
          <w:rFonts w:ascii="仿宋" w:hAnsi="仿宋" w:eastAsia="仿宋" w:cs="宋体"/>
          <w:kern w:val="0"/>
          <w:sz w:val="32"/>
          <w:szCs w:val="32"/>
        </w:rPr>
        <w:t>16694</w:t>
      </w:r>
      <w:r>
        <w:rPr>
          <w:rFonts w:hint="eastAsia" w:ascii="仿宋" w:hAnsi="仿宋" w:eastAsia="仿宋" w:cs="宋体"/>
          <w:kern w:val="0"/>
          <w:sz w:val="32"/>
          <w:szCs w:val="32"/>
        </w:rPr>
        <w:t>.</w:t>
      </w:r>
      <w:r>
        <w:rPr>
          <w:rFonts w:ascii="仿宋" w:hAnsi="仿宋" w:eastAsia="仿宋" w:cs="宋体"/>
          <w:kern w:val="0"/>
          <w:sz w:val="32"/>
          <w:szCs w:val="32"/>
        </w:rPr>
        <w:t>553</w:t>
      </w:r>
      <w:r>
        <w:rPr>
          <w:rFonts w:hint="eastAsia" w:ascii="仿宋" w:hAnsi="仿宋" w:eastAsia="仿宋" w:cs="Times New Roman"/>
          <w:sz w:val="32"/>
          <w:szCs w:val="32"/>
        </w:rPr>
        <w:t>万</w:t>
      </w:r>
      <w:r>
        <w:rPr>
          <w:rFonts w:ascii="仿宋" w:hAnsi="仿宋" w:eastAsia="仿宋"/>
          <w:sz w:val="32"/>
          <w:szCs w:val="32"/>
        </w:rPr>
        <w:t>元，其中基本支出1357</w:t>
      </w:r>
      <w:r>
        <w:rPr>
          <w:rFonts w:hint="eastAsia" w:ascii="仿宋" w:hAnsi="仿宋" w:eastAsia="仿宋"/>
          <w:sz w:val="32"/>
          <w:szCs w:val="32"/>
        </w:rPr>
        <w:t>.</w:t>
      </w:r>
      <w:r>
        <w:rPr>
          <w:rFonts w:ascii="仿宋" w:hAnsi="仿宋" w:eastAsia="仿宋"/>
          <w:sz w:val="32"/>
          <w:szCs w:val="32"/>
        </w:rPr>
        <w:t>0077</w:t>
      </w:r>
      <w:r>
        <w:rPr>
          <w:rFonts w:hint="eastAsia" w:ascii="仿宋" w:hAnsi="仿宋" w:eastAsia="仿宋"/>
          <w:sz w:val="32"/>
          <w:szCs w:val="32"/>
        </w:rPr>
        <w:t>万</w:t>
      </w:r>
      <w:r>
        <w:rPr>
          <w:rFonts w:ascii="仿宋" w:hAnsi="仿宋" w:eastAsia="仿宋"/>
          <w:sz w:val="32"/>
          <w:szCs w:val="32"/>
        </w:rPr>
        <w:t>元，包括人员经费1325</w:t>
      </w:r>
      <w:r>
        <w:rPr>
          <w:rFonts w:hint="eastAsia" w:ascii="仿宋" w:hAnsi="仿宋" w:eastAsia="仿宋"/>
          <w:sz w:val="32"/>
          <w:szCs w:val="32"/>
        </w:rPr>
        <w:t>.</w:t>
      </w:r>
      <w:r>
        <w:rPr>
          <w:rFonts w:ascii="仿宋" w:hAnsi="仿宋" w:eastAsia="仿宋"/>
          <w:sz w:val="32"/>
          <w:szCs w:val="32"/>
        </w:rPr>
        <w:t>4464</w:t>
      </w:r>
      <w:r>
        <w:rPr>
          <w:rFonts w:hint="eastAsia" w:ascii="仿宋" w:hAnsi="仿宋" w:eastAsia="仿宋"/>
          <w:sz w:val="32"/>
          <w:szCs w:val="32"/>
        </w:rPr>
        <w:t>万</w:t>
      </w:r>
      <w:r>
        <w:rPr>
          <w:rFonts w:ascii="仿宋" w:hAnsi="仿宋" w:eastAsia="仿宋"/>
          <w:sz w:val="32"/>
          <w:szCs w:val="32"/>
        </w:rPr>
        <w:t>元和日常公用经费31</w:t>
      </w:r>
      <w:r>
        <w:rPr>
          <w:rFonts w:hint="eastAsia" w:ascii="仿宋" w:hAnsi="仿宋" w:eastAsia="仿宋"/>
          <w:sz w:val="32"/>
          <w:szCs w:val="32"/>
        </w:rPr>
        <w:t>.</w:t>
      </w:r>
      <w:r>
        <w:rPr>
          <w:rFonts w:ascii="仿宋" w:hAnsi="仿宋" w:eastAsia="仿宋"/>
          <w:sz w:val="32"/>
          <w:szCs w:val="32"/>
        </w:rPr>
        <w:t>5612</w:t>
      </w:r>
      <w:r>
        <w:rPr>
          <w:rFonts w:hint="eastAsia" w:ascii="仿宋" w:hAnsi="仿宋" w:eastAsia="仿宋"/>
          <w:sz w:val="32"/>
          <w:szCs w:val="32"/>
        </w:rPr>
        <w:t>万</w:t>
      </w:r>
      <w:r>
        <w:rPr>
          <w:rFonts w:ascii="仿宋" w:hAnsi="仿宋" w:eastAsia="仿宋"/>
          <w:sz w:val="32"/>
          <w:szCs w:val="32"/>
        </w:rPr>
        <w:t>元；项目支出15337</w:t>
      </w:r>
      <w:r>
        <w:rPr>
          <w:rFonts w:hint="eastAsia" w:ascii="仿宋" w:hAnsi="仿宋" w:eastAsia="仿宋"/>
          <w:sz w:val="32"/>
          <w:szCs w:val="32"/>
        </w:rPr>
        <w:t>.</w:t>
      </w:r>
      <w:r>
        <w:rPr>
          <w:rFonts w:ascii="仿宋" w:hAnsi="仿宋" w:eastAsia="仿宋"/>
          <w:sz w:val="32"/>
          <w:szCs w:val="32"/>
        </w:rPr>
        <w:t>5452</w:t>
      </w:r>
      <w:r>
        <w:rPr>
          <w:rFonts w:hint="eastAsia" w:ascii="仿宋" w:hAnsi="仿宋" w:eastAsia="仿宋"/>
          <w:sz w:val="32"/>
          <w:szCs w:val="32"/>
        </w:rPr>
        <w:t>万</w:t>
      </w:r>
      <w:r>
        <w:rPr>
          <w:rFonts w:ascii="仿宋" w:hAnsi="仿宋" w:eastAsia="仿宋"/>
          <w:sz w:val="32"/>
          <w:szCs w:val="32"/>
        </w:rPr>
        <w:t>元，主要为征地补偿款、土地整治（占补平衡）项目等。</w:t>
      </w:r>
    </w:p>
    <w:p w14:paraId="6E1A6BD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8E7304C">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着眼长远发展，做好国土空间规划引领工作</w:t>
      </w:r>
    </w:p>
    <w:p w14:paraId="3D8041E6">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完成县级国土空间规划、中心城区详细规划、乡镇国土空间规划编制、总体城市设计和片区城市设计报批、20个专项规划报批，并将规划数据纳入“一张图”实时监督信息系统。</w:t>
      </w:r>
    </w:p>
    <w:p w14:paraId="09EF63B9">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吃透用足政策，做好土地要素保障工作</w:t>
      </w:r>
    </w:p>
    <w:p w14:paraId="0762F2D4">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土地收储方面：完成二化、精神病院、微水电厂住宅、易高加气站、307改线、6、7号路、红土岭生态民宿、南平望假日酒店、黄国生搅拌站、罗庄仓库、辛庄红河漂流、秀林宅基地、圣元商贸有限公司物等多个项目的农用地转用、征收的手续办理。</w:t>
      </w:r>
    </w:p>
    <w:p w14:paraId="4540AA57">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土地利用方面：按照2025年度出让收入任务，有序推进国有建设用地使用权的供应，保障项目用地需求；完成新一轮井陉县城区土地定级及基准地价制定工作；完善一级市场业务的基础上，稳步推行二级市场，促进土地资源的优化配置；完成新一轮井陉县低效用地专项规划编制工作，并按照“一企一策”原则，制定处置方案。</w:t>
      </w:r>
    </w:p>
    <w:p w14:paraId="25C534D6">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lang w:eastAsia="uk-UA"/>
        </w:rPr>
        <w:t>土地整治方面：针对正在组织验收项目，督促施工单位汇总上报工程验收资料，争取项目早日入库。针对正在施工项目，加强组织保障，力争早日完工验收。及时跟进“大占补”政策，提前谋划“大占补”情况下如何做好补充耕地指标的入库。</w:t>
      </w:r>
    </w:p>
    <w:p w14:paraId="0AE0725D">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lang w:eastAsia="uk-UA"/>
        </w:rPr>
        <w:t>坚持生态优先，健康有序推进矿山综合整治</w:t>
      </w:r>
    </w:p>
    <w:p w14:paraId="4C7B2CEF">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领跑绿色矿产资源利用全省标杆</w:t>
      </w:r>
    </w:p>
    <w:p w14:paraId="1DF773A6">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1号矿完成绿色矿山建设，力争通过评选；2号矿完成矿山基建，取得安全生产许可证；4、7号矿实现采矿权公开出让，取得采矿许可证；启动第3、第5、第6集中开采区的重新选址、资源调查、可研工作，并将南陉乡铁矿、地热、铝土矿等勘查区块纳入十五五矿规，完成</w:t>
      </w:r>
      <w:bookmarkStart w:id="0" w:name="_GoBack"/>
      <w:bookmarkEnd w:id="0"/>
      <w:r>
        <w:rPr>
          <w:rFonts w:hint="eastAsia" w:ascii="Times New Roman" w:hAnsi="Times New Roman" w:eastAsia="方正仿宋_GBK" w:cs="Times New Roman"/>
          <w:sz w:val="32"/>
          <w:szCs w:val="32"/>
          <w:lang w:eastAsia="zh-CN"/>
        </w:rPr>
        <w:t>“十五五”规划</w:t>
      </w:r>
      <w:r>
        <w:rPr>
          <w:rFonts w:ascii="Times New Roman" w:hAnsi="Times New Roman" w:eastAsia="方正仿宋_GBK" w:cs="Times New Roman"/>
          <w:sz w:val="32"/>
          <w:szCs w:val="32"/>
          <w:lang w:eastAsia="uk-UA"/>
        </w:rPr>
        <w:t>编制、报审工作；开展第3、第5、第6集中开采区勘查工作；争取与中铝集团合作勘查、开发井陉县铝土矿及耐火粘土矿资源；开展全县域地热、矿泉水等资源调查工作；与河北地质大学合作完成测鱼镇石门村三趾马动物群化石的发掘和保护。</w:t>
      </w:r>
    </w:p>
    <w:p w14:paraId="0BB431B7">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持续推进矿山修复治理</w:t>
      </w:r>
    </w:p>
    <w:p w14:paraId="0986D754">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历史遗留矿山图斑任务共107处9228亩，剩余25处1829亩；我县自定任务101处20686亩，现已完成33处6930亩，因纳入城镇开发边界、位于行洪沟道内等原因，9处1413亩暂不开展治理，剩余59处12343亩。剩余任务2025年底前完成。</w:t>
      </w:r>
    </w:p>
    <w:p w14:paraId="2000CDD2">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lang w:eastAsia="uk-UA"/>
        </w:rPr>
        <w:t>坚持依法治理，持续强化自然资源管理</w:t>
      </w:r>
    </w:p>
    <w:p w14:paraId="41B94BAA">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将违法占地行为扼于萌芽之中</w:t>
      </w:r>
    </w:p>
    <w:p w14:paraId="3766B771">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继续配合上级工作，紧盯违法用地整改情况，督导乡镇继续加强违法占地巡查力度，维持执法势头不松懈，继续保持意识警醒、落实巡查；加大宣传力度，做好群防群控，充分利用现有宣传工具，加强宣传，曝光突出问题和典型案件；积极鼓励群众监督举报各类违法占地行为。</w:t>
      </w:r>
    </w:p>
    <w:p w14:paraId="7AABF390">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将非法采矿行为扼于萌芽之中</w:t>
      </w:r>
    </w:p>
    <w:p w14:paraId="4D4ADFAF">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按时完成部、省、市下发的各批次矿产卫片图斑的核查工作，指导乡镇对存在非法采矿的图斑立案查处，对各类情况按时限要求完成汇总上报；做好乡镇业务工作指导，加强对乡镇执法人员的业务培训，确保不出现执法空挡；做好省厅、市局组织的各项督导检查工作，按要求、按时限及时整改上报。</w:t>
      </w:r>
    </w:p>
    <w:p w14:paraId="39ABAA4A">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lang w:eastAsia="uk-UA"/>
        </w:rPr>
        <w:t>将违规建设行为扼于萌芽之中</w:t>
      </w:r>
    </w:p>
    <w:p w14:paraId="6A804AA0">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切实做好规划批后监管工作，保障规划落实，推动项目落地，确保每个建设项目都及时纳入批后管理，提前介入、全程动态监管和主动跟进服务。建立建设项目批后管理台帐，实行现场核实与日常巡查相结合的方法，及时掌握规划建设动态。</w:t>
      </w:r>
    </w:p>
    <w:p w14:paraId="596EEB92">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5、</w:t>
      </w:r>
      <w:r>
        <w:rPr>
          <w:rFonts w:ascii="Times New Roman" w:hAnsi="Times New Roman" w:eastAsia="方正仿宋_GBK" w:cs="Times New Roman"/>
          <w:sz w:val="32"/>
          <w:szCs w:val="32"/>
          <w:lang w:eastAsia="uk-UA"/>
        </w:rPr>
        <w:t>聚焦职责管理，以“长牙齿”的硬措施落实耕地保护责任</w:t>
      </w:r>
    </w:p>
    <w:p w14:paraId="55CD949F">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严格落实耕地保护责任、完成耕地保护目标</w:t>
      </w:r>
    </w:p>
    <w:p w14:paraId="041B3466">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2022年“三区三线”划定耕地保有量为30.7719万亩，2025年要继续落实严格的耕地保护制度增加稳定耕地面积，确保耕地面积不减少。坚决防止耕地“非粮化”，遏制耕地“非农化”趋势，确保完成我县耕地保护目标。</w:t>
      </w:r>
    </w:p>
    <w:p w14:paraId="1D96A909">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强化基本农田特殊保护、完成永久基本农田保护任务</w:t>
      </w:r>
    </w:p>
    <w:p w14:paraId="021305A7">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2022年“三区三线”划定永久基本农田保护任务为28.2960万亩。今年将继续坚持永久基本农田农地农用，禁止任何单位和个人擅自占用或者改变其用途，严格控制非农建设占用永久基本农田，确保永久基本农田数量不减少，质量不降低。</w:t>
      </w:r>
    </w:p>
    <w:p w14:paraId="4CD79681">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lang w:eastAsia="uk-UA"/>
        </w:rPr>
        <w:t>扎实推进耕地日常监管完成2025年度耕地保护任务恢复缺口</w:t>
      </w:r>
    </w:p>
    <w:p w14:paraId="0D17600F">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2025年要继续完成10%的耕地保护任务恢复缺口，根据市局下达我县的耕地保护缺口任务，我县2025年耕地保护任务缺口为1052亩。</w:t>
      </w:r>
    </w:p>
    <w:p w14:paraId="678B8F32">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6、</w:t>
      </w:r>
      <w:r>
        <w:rPr>
          <w:rFonts w:ascii="Times New Roman" w:hAnsi="Times New Roman" w:eastAsia="方正仿宋_GBK" w:cs="Times New Roman"/>
          <w:sz w:val="32"/>
          <w:szCs w:val="32"/>
          <w:lang w:eastAsia="uk-UA"/>
        </w:rPr>
        <w:t>坚持优质服务，持续推进放管服改革</w:t>
      </w:r>
    </w:p>
    <w:p w14:paraId="0D679BC5">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lang w:eastAsia="uk-UA"/>
        </w:rPr>
        <w:t>持续优化政务服务，助力县域经济高质量发展</w:t>
      </w:r>
    </w:p>
    <w:p w14:paraId="4CBD28A1">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按《井陉县农村宅基地房地一体确权登记实施方案》要求，持续推进农村宅基地确权登记发证工作。积极与林业部门沟通，对移交的林权档案进行分析确认，确定原林权证发放数据，确保2025年底前完成林权存量数据整合工作。</w:t>
      </w:r>
    </w:p>
    <w:p w14:paraId="388F8AC7">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lang w:eastAsia="uk-UA"/>
        </w:rPr>
        <w:t>始终牢记宗旨意识，保障群众生命财产安全</w:t>
      </w:r>
    </w:p>
    <w:p w14:paraId="62E9D983">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对汛期地质灾害防治工作提前部署谋划，查漏补缺，改进地质灾害防治工作中的存在的不足，严格落实地质灾害防治工作各项要求，为2025年地质灾害防治工作打好基础。严格落实安全生产责任制，加强消防安全宣传教育，定期组织各股室相关人员进行消防知识和技能培训。强化对持证矿山、生态修复项目、造地项目等的安全督导检查，坚守安全生产底线。</w:t>
      </w:r>
    </w:p>
    <w:p w14:paraId="34E8EB16">
      <w:pPr>
        <w:spacing w:line="500" w:lineRule="exact"/>
        <w:ind w:firstLine="560"/>
        <w:rPr>
          <w:rFonts w:ascii="Times New Roman" w:hAnsi="Times New Roman" w:eastAsia="方正仿宋_GBK" w:cs="Times New Roman"/>
          <w:sz w:val="32"/>
          <w:szCs w:val="32"/>
          <w:lang w:eastAsia="uk-UA"/>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lang w:eastAsia="uk-UA"/>
        </w:rPr>
        <w:t>认真践行群众路线，用心用情做好信访维稳</w:t>
      </w:r>
    </w:p>
    <w:p w14:paraId="4BDBAC29">
      <w:pPr>
        <w:spacing w:line="500" w:lineRule="exact"/>
        <w:ind w:firstLine="560"/>
        <w:rPr>
          <w:rFonts w:ascii="Times New Roman" w:hAnsi="Times New Roman" w:eastAsia="方正仿宋_GBK" w:cs="Times New Roman"/>
          <w:sz w:val="32"/>
          <w:szCs w:val="32"/>
          <w:lang w:eastAsia="uk-UA"/>
        </w:rPr>
      </w:pPr>
      <w:r>
        <w:rPr>
          <w:rFonts w:ascii="Times New Roman" w:hAnsi="Times New Roman" w:eastAsia="方正仿宋_GBK" w:cs="Times New Roman"/>
          <w:sz w:val="32"/>
          <w:szCs w:val="32"/>
          <w:lang w:eastAsia="uk-UA"/>
        </w:rPr>
        <w:t>继续抓实抓好信访稳控化解工作，紧盯市长热线、部信访系统、政府信访系统等7套系统，做到及时受理、及时转办、及时反馈。继续抓紧党风廉政建设工作，通过警示教育、廉政风险排查、重点项目纪检监督等多项举措，结合当前开展的干部队伍整顿专项行动，进一步转变工作作风。</w:t>
      </w:r>
    </w:p>
    <w:p w14:paraId="682C8F3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BF5E1D1">
      <w:pPr>
        <w:spacing w:line="560" w:lineRule="exact"/>
        <w:rPr>
          <w:rFonts w:ascii="楷体" w:hAnsi="楷体" w:eastAsia="楷体" w:cs="楷体_GB2312"/>
          <w:sz w:val="32"/>
          <w:szCs w:val="32"/>
        </w:rPr>
      </w:pPr>
      <w:r>
        <w:rPr>
          <w:rFonts w:hint="eastAsia" w:ascii="楷体" w:hAnsi="楷体" w:eastAsia="楷体" w:cs="楷体_GB2312"/>
          <w:bCs/>
          <w:sz w:val="32"/>
          <w:szCs w:val="32"/>
        </w:rPr>
        <w:t xml:space="preserve">    （一）自评的组织工作</w:t>
      </w:r>
    </w:p>
    <w:p w14:paraId="6D265E65">
      <w:pPr>
        <w:spacing w:line="560" w:lineRule="exact"/>
        <w:rPr>
          <w:rFonts w:ascii="仿宋" w:hAnsi="仿宋" w:eastAsia="仿宋"/>
          <w:sz w:val="32"/>
          <w:szCs w:val="32"/>
        </w:rPr>
      </w:pPr>
      <w:r>
        <w:rPr>
          <w:rFonts w:hint="eastAsia" w:ascii="仿宋" w:hAnsi="仿宋" w:eastAsia="仿宋"/>
          <w:sz w:val="32"/>
          <w:szCs w:val="32"/>
        </w:rPr>
        <w:t xml:space="preserve">     与业务科室取得基本项目资料，成立自评小组根据实际情况和工作完成效率和质量对项目进行自评，最后将数据汇总进行分析，形成具体报告。</w:t>
      </w:r>
    </w:p>
    <w:p w14:paraId="143C4F80">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AE12727">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评价方法：一是对照“部门整体支出绩效评价指标体系评分表”的主要考评内容及工作完成情况，将可以公开的资料整理成佐证材料。对照当年工作计划和上级交办的各项工作内容，进行自评、复合，形成总体得分。二是组织纳入部门整体支出绩效评价范围的项目，对专项项目实施了绩效自评。</w:t>
      </w:r>
    </w:p>
    <w:p w14:paraId="08E53802">
      <w:pPr>
        <w:pStyle w:val="9"/>
        <w:spacing w:line="560" w:lineRule="exact"/>
        <w:ind w:left="0" w:leftChars="0" w:firstLine="640"/>
        <w:rPr>
          <w:rFonts w:ascii="楷体" w:hAnsi="楷体" w:eastAsia="楷体" w:cs="楷体_GB2312"/>
          <w:bCs/>
          <w:sz w:val="32"/>
          <w:szCs w:val="32"/>
        </w:rPr>
      </w:pPr>
      <w:r>
        <w:rPr>
          <w:rFonts w:hint="eastAsia" w:ascii="仿宋" w:hAnsi="仿宋" w:eastAsia="仿宋" w:cs="仿宋"/>
          <w:sz w:val="32"/>
          <w:szCs w:val="32"/>
        </w:rPr>
        <w:t>2.实施过程：成立项目自评小组，项目执行科室为项目自评的组织科室，负责项目工作的组织、实施、自评。通过填写“县级部门预算项目绩效自评表”，进行专项项目自评。</w:t>
      </w:r>
    </w:p>
    <w:p w14:paraId="56FE2B6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2DC8812">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BAC4214">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1、强化规划科学引领，绘就国土空间发展蓝图</w:t>
      </w:r>
    </w:p>
    <w:p w14:paraId="6CF41B93">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一是构建全域规划体系。高位推动国土空间规划编制，构建“全域覆盖、分层管控”体系。《井陉县国土空间总体规划（2021-2035年）》纳入全省“一张图”启用，总体城市设计、规划城市体检等核心成果落地，城镇开发边界局部优化方案报部备案，中心城区详细规划有序推进；17个乡镇总规全部批复，规划数据库通过省厅质检并纳入“一张图”实现数字化管理，12个村庄规划编制完成，明确县域发展空间边界与功能定位。</w:t>
      </w:r>
    </w:p>
    <w:p w14:paraId="37FEB8E5">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二是提升规划审批效能。优化审批流程，完成17项控详规编制，为开发建设提供精准依据。规范许可审批，全年核发建设用地规划许可证9件、建设工程规划许可证18件、规划条件31件，办结用地预审与选址意见52件，保障项目合法合规落地。</w:t>
      </w:r>
    </w:p>
    <w:p w14:paraId="1BF647DF">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2、聚焦要素保障赋能，激活高质量发展动能</w:t>
      </w:r>
    </w:p>
    <w:p w14:paraId="1E94E88E">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一是提速征地报批。精准对接重点项目需求，共争取耕地占补指标435.62亩，计划指标1662.19亩，优化征收流程，完成8个项目土地转用征收批复（面积1600.65亩）、8个项目农用地转用批复（面积27.77亩），6个批次组卷工作推进中（面积632.59亩），高效保障华信学院、正安科创、307国道改扩建等项目用地，助力产业发展与基础设施完善。</w:t>
      </w:r>
    </w:p>
    <w:p w14:paraId="79E08FEE">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二是提质土地利用。规范土地出让管理，优化资源配置，2025年土地出让入库4.22亿元，其中公开出让14个项目17宗地收入4.2亿元，追缴欠款及滞纳金2.04万元。加强已出让土地动态监管，督促按期开工，提高利用效率，杜绝闲置浪费。</w:t>
      </w:r>
    </w:p>
    <w:p w14:paraId="0B6AE0E6">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三是增效土地整治。强化耕地质量管控，推进高标准土地整治，完成7个项目入库，新增耕地619亩（平均质量11等），预计创造政府收益7433.64万元。通过整治补充耕地数量、提升质量，优化农村土地布局，改善农业生产条件，助力粮食安全与乡村振兴。</w:t>
      </w:r>
    </w:p>
    <w:p w14:paraId="211F3423">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四是精准测绘服务。提升测绘保障能力，完成59个批次建设用地勘测定界，精准保障华信学院二期、307改线等41个重点项目用地（约2760.98亩）；提供地类查询服务千余人次，为土地征收、规划审批等工作提供高质量测绘数据支撑。</w:t>
      </w:r>
    </w:p>
    <w:p w14:paraId="39482DB5">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3、筑强绿色矿业引擎，打造全省标杆集群</w:t>
      </w:r>
    </w:p>
    <w:p w14:paraId="0D230B3D">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一是集群化推进绿色矿山建设。聚焦“2+4”产业新格局，锚定百亿级绿色矿山产业集群目标，完成1、2、4、7号矿采矿权出让。1号矿投产达效并通过省级绿色矿山核查，成为示范标杆；2号矿完成矿山基建，取得安全生产许可证；4、7号矿实现采矿权公开出让，取得采矿许可证；推动3、5、6、8号集中开采区纳入省级重点开发序列，实现8个集中开采区全开发，整体进度居全省前列，筑牢县域经济绿色支撑。</w:t>
      </w:r>
    </w:p>
    <w:p w14:paraId="4FAC75B6">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二是生态化修复矿山环境。全力推进历史遗留矿山修复，自然资源部下达的107处9228亩任务全部完成验收；县自定101处20686亩任务，已完成65处（迹地面积13725亩），剩余27处（迹地面积5549亩）按“一矿一策”稳步推进，筑牢生态安全屏障。</w:t>
      </w:r>
    </w:p>
    <w:p w14:paraId="0DD0D74B">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4、严守安全发展底线，筑牢资源保护屏障</w:t>
      </w:r>
    </w:p>
    <w:p w14:paraId="1648E150">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一是抓实耕地保护。落实最严格耕地保护制度，压实责任细化措施。完成2025年国土变更调查，核查省市下发1586个图斑（12194.4亩）、自提564个图斑（3012.7亩）。全县耕地面积31.66万亩、永久基本农田28.47万亩，均超额完成保护目标；强化动态监管、严格用途管制、推进“进出平衡”，保障粮食安全。</w:t>
      </w:r>
    </w:p>
    <w:p w14:paraId="24CDFB8A">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二是强化地质灾害防治。健全防治体系，完成52个地质灾害隐患点全周期防控。开展防灾培训与应急演练，提升群众防灾避险能力；完善群测群防五级网格，明确监测责任人，实现灾害隐患早发现、早预警、早处置，保障群众生命财产安全。</w:t>
      </w:r>
    </w:p>
    <w:p w14:paraId="0D0DAED2">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5、深化从严监管执法，提升资源治理效能</w:t>
      </w:r>
    </w:p>
    <w:p w14:paraId="7705C73D">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一是精准土地执法。构建“日常巡查+卫片核查+线索核查”立体执法格局，省月季度110个线索图斑完成核查销号，年度48个卫片图斑已完成整改销号34个、纳入存量违法平台12个、正在举证纳入存量平台2个（为高速公路用地）。全年立案查处违法占地案件66起（不予处罚43起），有效遏制违法占地，规范土地管理秩序。</w:t>
      </w:r>
    </w:p>
    <w:p w14:paraId="61545F9F">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二是从严矿产执法。采取定期巡查、无人机飞检、夜查等多元模式，累计巡查227次（夜查23次）、出动486人次、巡查422个点位。核查各类矿产线索无违法情况，办结信访举报等线索62条，完成7个百日攻坚图斑复核验收，处置7起非法采矿案件，维护矿业开发秩序。</w:t>
      </w:r>
    </w:p>
    <w:p w14:paraId="05C3B19F">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三是全程规划执法。将18个建设项目纳入批后监管，按进度节点核验；为独立储能调峰电站等项目出具竣工验收合格函34件（验收面积约52万平方米）。移交3个违法线索处罚，形成监管闭环，规范建设项目实施。</w:t>
      </w:r>
    </w:p>
    <w:p w14:paraId="7E9F263F">
      <w:pPr>
        <w:tabs>
          <w:tab w:val="left" w:pos="579"/>
        </w:tabs>
        <w:spacing w:line="600" w:lineRule="exact"/>
        <w:ind w:firstLine="640" w:firstLineChars="200"/>
        <w:rPr>
          <w:rFonts w:ascii="方正仿宋简体" w:hAnsi="方正仿宋简体" w:eastAsia="方正仿宋简体" w:cs="方正仿宋简体"/>
          <w:kern w:val="0"/>
          <w:sz w:val="32"/>
          <w:szCs w:val="32"/>
        </w:rPr>
      </w:pPr>
      <w:r>
        <w:rPr>
          <w:rFonts w:hint="eastAsia" w:ascii="方正仿宋简体" w:hAnsi="方正仿宋简体" w:eastAsia="方正仿宋简体" w:cs="方正仿宋简体"/>
          <w:kern w:val="0"/>
          <w:sz w:val="32"/>
          <w:szCs w:val="32"/>
        </w:rPr>
        <w:t>6、聚焦民生实事攻坚，提升资源服务效能</w:t>
      </w:r>
    </w:p>
    <w:p w14:paraId="02A9EA6A">
      <w:pPr>
        <w:tabs>
          <w:tab w:val="left" w:pos="579"/>
        </w:tabs>
        <w:spacing w:line="600" w:lineRule="exact"/>
        <w:ind w:firstLine="640" w:firstLineChars="200"/>
        <w:rPr>
          <w:rFonts w:ascii="仿宋" w:hAnsi="仿宋" w:eastAsia="仿宋"/>
          <w:sz w:val="32"/>
          <w:szCs w:val="32"/>
        </w:rPr>
      </w:pPr>
      <w:r>
        <w:rPr>
          <w:rFonts w:hint="eastAsia" w:ascii="方正仿宋简体" w:hAnsi="方正仿宋简体" w:eastAsia="方正仿宋简体" w:cs="方正仿宋简体"/>
          <w:kern w:val="0"/>
          <w:sz w:val="32"/>
          <w:szCs w:val="32"/>
        </w:rPr>
        <w:t>聚焦民生实事，提升资源服务效能。优化“互联网+不动产登记”模式，实现申请、缴费、领证全流程线上办理，推行“不见面审批”“邮寄送达”等便民举措。开展“登记难”专项整治，7个台账项目转移登记率89.08%；推进17个乡镇农村宅基地房地一体化登记，完成近6万宗登记。全年颁发不动产权证书1.21万本、证明2340本，办理查询业务2万余件，增强群众获得感。</w:t>
      </w:r>
    </w:p>
    <w:p w14:paraId="1BAF4758">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5BD9CE2">
      <w:pPr>
        <w:pStyle w:val="12"/>
        <w:spacing w:line="560" w:lineRule="exact"/>
        <w:rPr>
          <w:rFonts w:ascii="仿宋" w:hAnsi="仿宋" w:eastAsia="仿宋"/>
          <w:sz w:val="32"/>
          <w:szCs w:val="32"/>
        </w:rPr>
      </w:pPr>
      <w:r>
        <w:rPr>
          <w:rFonts w:hint="eastAsia" w:ascii="仿宋" w:hAnsi="仿宋" w:eastAsia="仿宋"/>
          <w:sz w:val="32"/>
          <w:szCs w:val="32"/>
          <w:lang w:eastAsia="zh-CN"/>
        </w:rPr>
        <w:t xml:space="preserve"> 1</w:t>
      </w:r>
      <w:r>
        <w:rPr>
          <w:rFonts w:ascii="仿宋" w:hAnsi="仿宋" w:eastAsia="仿宋"/>
          <w:sz w:val="32"/>
          <w:szCs w:val="32"/>
        </w:rPr>
        <w:t>、土地管控制度改革。</w:t>
      </w:r>
    </w:p>
    <w:p w14:paraId="2F6893AF">
      <w:pPr>
        <w:pStyle w:val="12"/>
        <w:spacing w:line="560" w:lineRule="exact"/>
        <w:rPr>
          <w:rFonts w:ascii="仿宋" w:hAnsi="仿宋" w:eastAsia="仿宋"/>
          <w:sz w:val="32"/>
          <w:szCs w:val="32"/>
          <w:lang w:eastAsia="zh-CN"/>
        </w:rPr>
      </w:pPr>
      <w:r>
        <w:rPr>
          <w:rFonts w:ascii="仿宋" w:hAnsi="仿宋" w:eastAsia="仿宋"/>
          <w:sz w:val="32"/>
          <w:szCs w:val="32"/>
        </w:rPr>
        <w:t>绩效目标：按照《关于进一步加强土地收储工作的若干意见》、《招标拍卖挂牌出让国有建设用地使用权规定》</w:t>
      </w:r>
      <w:r>
        <w:rPr>
          <w:rFonts w:hint="eastAsia" w:ascii="仿宋" w:hAnsi="仿宋" w:eastAsia="仿宋"/>
          <w:sz w:val="32"/>
          <w:szCs w:val="32"/>
          <w:lang w:eastAsia="zh-CN"/>
        </w:rPr>
        <w:t>进行土地收储。</w:t>
      </w:r>
    </w:p>
    <w:p w14:paraId="3ED9313C">
      <w:pPr>
        <w:pStyle w:val="12"/>
        <w:spacing w:line="560" w:lineRule="exact"/>
        <w:rPr>
          <w:rFonts w:ascii="仿宋" w:hAnsi="仿宋" w:eastAsia="仿宋"/>
          <w:sz w:val="32"/>
          <w:szCs w:val="32"/>
          <w:lang w:eastAsia="zh-CN"/>
        </w:rPr>
      </w:pPr>
      <w:r>
        <w:rPr>
          <w:rFonts w:ascii="仿宋" w:hAnsi="仿宋" w:eastAsia="仿宋"/>
          <w:sz w:val="32"/>
          <w:szCs w:val="32"/>
        </w:rPr>
        <w:t>绩效指标：</w:t>
      </w:r>
      <w:r>
        <w:rPr>
          <w:rFonts w:hint="eastAsia" w:ascii="仿宋" w:hAnsi="仿宋" w:eastAsia="仿宋"/>
          <w:sz w:val="32"/>
          <w:szCs w:val="32"/>
          <w:lang w:eastAsia="zh-CN"/>
        </w:rPr>
        <w:t>（1）数量指标：收储土地数量，按实际完成收储任务，自评得分10分。（2）质量指标：收储他徒弟质量标准，自评得分10分。（3）时效指标：收储土地及时率，自评得分10分。（4）成本指标：按预算合理安排支出，自评得分10分。（5）预算执行率指标：预算执行情况100%，自评得分10分。（6）经济效益指标：有利于经济发展，自评得分10分。（7）社会效益指标：提升国土资源管理水平，自评得分10分。（8）生态效益指标：推动生态文明建设，自评得分10分。（9）可持续影响指标：促进土地资源的可持续利用，自评得分10分。（10）满意度指标：满意度，自评得分10分。</w:t>
      </w:r>
    </w:p>
    <w:p w14:paraId="2DAB1999">
      <w:pPr>
        <w:pStyle w:val="12"/>
        <w:spacing w:line="560" w:lineRule="exact"/>
        <w:rPr>
          <w:rFonts w:ascii="仿宋" w:hAnsi="仿宋" w:eastAsia="仿宋"/>
          <w:sz w:val="32"/>
          <w:szCs w:val="32"/>
        </w:rPr>
      </w:pPr>
      <w:r>
        <w:rPr>
          <w:rFonts w:hint="eastAsia" w:ascii="仿宋" w:hAnsi="仿宋" w:eastAsia="仿宋"/>
          <w:sz w:val="32"/>
          <w:szCs w:val="32"/>
          <w:lang w:eastAsia="zh-CN"/>
        </w:rPr>
        <w:t xml:space="preserve"> 2</w:t>
      </w:r>
      <w:r>
        <w:rPr>
          <w:rFonts w:ascii="仿宋" w:hAnsi="仿宋" w:eastAsia="仿宋"/>
          <w:sz w:val="32"/>
          <w:szCs w:val="32"/>
        </w:rPr>
        <w:t>、服务社会经济发展。</w:t>
      </w:r>
    </w:p>
    <w:p w14:paraId="36C98788">
      <w:pPr>
        <w:pStyle w:val="12"/>
        <w:spacing w:line="560" w:lineRule="exact"/>
        <w:rPr>
          <w:rFonts w:ascii="仿宋" w:hAnsi="仿宋" w:eastAsia="仿宋"/>
          <w:sz w:val="32"/>
          <w:szCs w:val="32"/>
          <w:lang w:eastAsia="zh-CN"/>
        </w:rPr>
      </w:pPr>
      <w:r>
        <w:rPr>
          <w:rFonts w:ascii="仿宋" w:hAnsi="仿宋" w:eastAsia="仿宋"/>
          <w:sz w:val="32"/>
          <w:szCs w:val="32"/>
        </w:rPr>
        <w:t>绩效目标：按照《中华人民共和国土地管理法》</w:t>
      </w:r>
      <w:r>
        <w:rPr>
          <w:rFonts w:hint="eastAsia" w:ascii="仿宋" w:hAnsi="仿宋" w:eastAsia="仿宋"/>
          <w:sz w:val="32"/>
          <w:szCs w:val="32"/>
          <w:lang w:eastAsia="zh-CN"/>
        </w:rPr>
        <w:t>进行征地。</w:t>
      </w:r>
    </w:p>
    <w:p w14:paraId="58B46E60">
      <w:pPr>
        <w:pStyle w:val="12"/>
        <w:spacing w:line="560" w:lineRule="exact"/>
        <w:rPr>
          <w:rFonts w:ascii="仿宋" w:hAnsi="仿宋" w:eastAsia="仿宋"/>
          <w:sz w:val="32"/>
          <w:szCs w:val="32"/>
        </w:rPr>
      </w:pPr>
      <w:r>
        <w:rPr>
          <w:rFonts w:ascii="仿宋" w:hAnsi="仿宋" w:eastAsia="仿宋"/>
          <w:sz w:val="32"/>
          <w:szCs w:val="32"/>
        </w:rPr>
        <w:t>绩效指标：</w:t>
      </w:r>
      <w:r>
        <w:rPr>
          <w:rFonts w:hint="eastAsia" w:ascii="仿宋" w:hAnsi="仿宋" w:eastAsia="仿宋"/>
          <w:sz w:val="32"/>
          <w:szCs w:val="32"/>
          <w:lang w:eastAsia="zh-CN"/>
        </w:rPr>
        <w:t>（1）数量指标：按实际征收数量补偿，自评得分10分。（2）质量指标：征地补偿发放的准确率，自评得分10分。（3）时效指标：征地补偿的及时性，自评得分10分。（4）成本指标，按征地补偿的标准发放，自评得分10分。（5）预算执行率指标：预算执行率，自评得分10分。（6）经济效益指标：有利于带动县域经济发展，自评得分10分。（7）社会效益指标：保障被征地农民的生活水平，自评得分10分。（8）生态效益指标：有利于生态持续向好，自评得分10分。（9）有利于县域经济可持续发展，自评得分10分。（10）满意度指标：满意度，自评得分10分。</w:t>
      </w:r>
    </w:p>
    <w:p w14:paraId="2C8EE5BE">
      <w:pPr>
        <w:pStyle w:val="12"/>
        <w:spacing w:line="560" w:lineRule="exact"/>
        <w:rPr>
          <w:rFonts w:ascii="仿宋" w:hAnsi="仿宋" w:eastAsia="仿宋"/>
          <w:sz w:val="32"/>
          <w:szCs w:val="32"/>
        </w:rPr>
      </w:pPr>
      <w:r>
        <w:rPr>
          <w:rFonts w:hint="eastAsia" w:ascii="仿宋" w:hAnsi="仿宋" w:eastAsia="仿宋"/>
          <w:sz w:val="32"/>
          <w:szCs w:val="32"/>
          <w:lang w:eastAsia="zh-CN"/>
        </w:rPr>
        <w:t xml:space="preserve"> 3</w:t>
      </w:r>
      <w:r>
        <w:rPr>
          <w:rFonts w:ascii="仿宋" w:hAnsi="仿宋" w:eastAsia="仿宋"/>
          <w:sz w:val="32"/>
          <w:szCs w:val="32"/>
        </w:rPr>
        <w:t>、执法监察体制改革。</w:t>
      </w:r>
    </w:p>
    <w:p w14:paraId="37B8192A">
      <w:pPr>
        <w:pStyle w:val="12"/>
        <w:spacing w:line="560" w:lineRule="exact"/>
        <w:rPr>
          <w:rFonts w:ascii="仿宋" w:hAnsi="仿宋" w:eastAsia="仿宋"/>
          <w:sz w:val="32"/>
          <w:szCs w:val="32"/>
          <w:lang w:eastAsia="zh-CN"/>
        </w:rPr>
      </w:pPr>
      <w:r>
        <w:rPr>
          <w:rFonts w:ascii="仿宋" w:hAnsi="仿宋" w:eastAsia="仿宋"/>
          <w:sz w:val="32"/>
          <w:szCs w:val="32"/>
        </w:rPr>
        <w:t>绩效目标：按照《国土资源执法监督规定》</w:t>
      </w:r>
      <w:r>
        <w:rPr>
          <w:rFonts w:hint="eastAsia" w:ascii="仿宋" w:hAnsi="仿宋" w:eastAsia="仿宋"/>
          <w:sz w:val="32"/>
          <w:szCs w:val="32"/>
          <w:lang w:eastAsia="zh-CN"/>
        </w:rPr>
        <w:t>进行变更调查。</w:t>
      </w:r>
    </w:p>
    <w:p w14:paraId="2A9E24BB">
      <w:pPr>
        <w:pStyle w:val="12"/>
        <w:spacing w:line="560" w:lineRule="exact"/>
        <w:rPr>
          <w:rFonts w:ascii="仿宋" w:hAnsi="仿宋" w:eastAsia="仿宋"/>
          <w:sz w:val="32"/>
          <w:szCs w:val="32"/>
          <w:lang w:eastAsia="zh-CN"/>
        </w:rPr>
      </w:pPr>
      <w:r>
        <w:rPr>
          <w:rFonts w:ascii="仿宋" w:hAnsi="仿宋" w:eastAsia="仿宋"/>
          <w:sz w:val="32"/>
          <w:szCs w:val="32"/>
        </w:rPr>
        <w:t>绩效指标：</w:t>
      </w:r>
      <w:r>
        <w:rPr>
          <w:rFonts w:hint="eastAsia" w:ascii="仿宋" w:hAnsi="仿宋" w:eastAsia="仿宋"/>
          <w:sz w:val="32"/>
          <w:szCs w:val="32"/>
          <w:lang w:eastAsia="zh-CN"/>
        </w:rPr>
        <w:t>（1）数量指标：国土变更调查实际面积，自评得分10分。（2）质量指标：项目成果通过率，自评得分10分。（3）时效指标：及时完成率，自评得分10分。（4）成本指标：国土变更调查平均成本，自评得分10分。（5）预算执行率指标：预算执行率，自评得分10分。（6）经济效益指标：促进经济的发展，自评得分10分。（7）社会效益指标：提升国土资源管理水平，自评得分10分。（8）生态效益指标：推动生态文明建设，自评得分10分。（9）可持续影响指标：促进土地资源的可持续利用，自评得分10分。（10）满意度指标：满意度，自评得分10分。</w:t>
      </w:r>
    </w:p>
    <w:p w14:paraId="0B7978CB">
      <w:pPr>
        <w:pStyle w:val="12"/>
        <w:spacing w:line="560" w:lineRule="exact"/>
        <w:rPr>
          <w:rFonts w:ascii="仿宋" w:hAnsi="仿宋" w:eastAsia="仿宋"/>
          <w:sz w:val="32"/>
          <w:szCs w:val="32"/>
        </w:rPr>
      </w:pPr>
      <w:r>
        <w:rPr>
          <w:rFonts w:hint="eastAsia" w:ascii="仿宋" w:hAnsi="仿宋" w:eastAsia="仿宋"/>
          <w:sz w:val="32"/>
          <w:szCs w:val="32"/>
          <w:lang w:eastAsia="zh-CN"/>
        </w:rPr>
        <w:t xml:space="preserve"> 4</w:t>
      </w:r>
      <w:r>
        <w:rPr>
          <w:rFonts w:ascii="仿宋" w:hAnsi="仿宋" w:eastAsia="仿宋"/>
          <w:sz w:val="32"/>
          <w:szCs w:val="32"/>
        </w:rPr>
        <w:t>、积极推动矿山综合整治。</w:t>
      </w:r>
    </w:p>
    <w:p w14:paraId="17DF02F6">
      <w:pPr>
        <w:pStyle w:val="12"/>
        <w:spacing w:line="560" w:lineRule="exact"/>
        <w:rPr>
          <w:rFonts w:ascii="仿宋" w:hAnsi="仿宋" w:eastAsia="仿宋"/>
          <w:sz w:val="32"/>
          <w:szCs w:val="32"/>
          <w:lang w:eastAsia="zh-CN"/>
        </w:rPr>
      </w:pPr>
      <w:r>
        <w:rPr>
          <w:rFonts w:ascii="仿宋" w:hAnsi="仿宋" w:eastAsia="仿宋"/>
          <w:sz w:val="32"/>
          <w:szCs w:val="32"/>
        </w:rPr>
        <w:t>绩效目标：按照《井陉县矿山环境治理规划》</w:t>
      </w:r>
      <w:r>
        <w:rPr>
          <w:rFonts w:hint="eastAsia" w:ascii="仿宋" w:hAnsi="仿宋" w:eastAsia="仿宋"/>
          <w:sz w:val="32"/>
          <w:szCs w:val="32"/>
          <w:lang w:eastAsia="zh-CN"/>
        </w:rPr>
        <w:t>进行生态修复。</w:t>
      </w:r>
    </w:p>
    <w:p w14:paraId="73324EC6">
      <w:pPr>
        <w:pStyle w:val="12"/>
        <w:spacing w:line="560" w:lineRule="exact"/>
        <w:rPr>
          <w:rFonts w:ascii="仿宋" w:hAnsi="仿宋" w:eastAsia="仿宋"/>
          <w:sz w:val="32"/>
          <w:szCs w:val="32"/>
          <w:lang w:eastAsia="zh-CN"/>
        </w:rPr>
      </w:pPr>
      <w:r>
        <w:rPr>
          <w:rFonts w:ascii="仿宋" w:hAnsi="仿宋" w:eastAsia="仿宋"/>
          <w:sz w:val="32"/>
          <w:szCs w:val="32"/>
        </w:rPr>
        <w:t>绩效指标：</w:t>
      </w:r>
      <w:r>
        <w:rPr>
          <w:rFonts w:hint="eastAsia" w:ascii="仿宋" w:hAnsi="仿宋" w:eastAsia="仿宋"/>
          <w:sz w:val="32"/>
          <w:szCs w:val="32"/>
          <w:lang w:eastAsia="zh-CN"/>
        </w:rPr>
        <w:t>（1）数量指标：矿山修复治理面积，自评得分8分。（2）质量指标：工程质量合格率，自评得分10分。（3）时效指标：项目按时验收率，自评得分10分。（4）成本指标：单位平均成本控制，自评得分10分。（5）预算执行率指标：预算执行率，自评得分10分。（6）经济效益指标：土地复垦利用率，自评得分10分。（7）社会效益指标：人居环境改善，自评得分10分。（8）生态效益指标：植被覆盖率增加，自评得分10分。（9）可持续效益指标：后期管护持续时间，自评得分10分。（10）满意度指标：满意度，自评得分10分。</w:t>
      </w:r>
    </w:p>
    <w:p w14:paraId="7D7252BA">
      <w:pPr>
        <w:pStyle w:val="12"/>
        <w:spacing w:line="560" w:lineRule="exact"/>
        <w:rPr>
          <w:rFonts w:ascii="仿宋" w:hAnsi="仿宋" w:eastAsia="仿宋"/>
          <w:sz w:val="32"/>
          <w:szCs w:val="32"/>
        </w:rPr>
      </w:pPr>
      <w:r>
        <w:rPr>
          <w:rFonts w:hint="eastAsia" w:ascii="仿宋" w:hAnsi="仿宋" w:eastAsia="仿宋"/>
          <w:sz w:val="32"/>
          <w:szCs w:val="32"/>
          <w:lang w:eastAsia="zh-CN"/>
        </w:rPr>
        <w:t xml:space="preserve"> 5</w:t>
      </w:r>
      <w:r>
        <w:rPr>
          <w:rFonts w:ascii="仿宋" w:hAnsi="仿宋" w:eastAsia="仿宋"/>
          <w:sz w:val="32"/>
          <w:szCs w:val="32"/>
        </w:rPr>
        <w:t>、大力提升行政服务水准。</w:t>
      </w:r>
    </w:p>
    <w:p w14:paraId="770552FC">
      <w:pPr>
        <w:pStyle w:val="12"/>
        <w:spacing w:line="560" w:lineRule="exact"/>
        <w:rPr>
          <w:rFonts w:ascii="仿宋" w:hAnsi="仿宋" w:eastAsia="仿宋"/>
          <w:sz w:val="32"/>
          <w:szCs w:val="32"/>
          <w:lang w:eastAsia="zh-CN"/>
        </w:rPr>
      </w:pPr>
      <w:r>
        <w:rPr>
          <w:rFonts w:ascii="仿宋" w:hAnsi="仿宋" w:eastAsia="仿宋"/>
          <w:sz w:val="32"/>
          <w:szCs w:val="32"/>
        </w:rPr>
        <w:t>绩效目标：面推行“一窗受理、集成服务”，消除“堵点”和“难点”，各项工作“跑”起来、“紧”起来、“快”起来，全面开展文明机关创建，全面优化营商环境，大力提升行政服务水准</w:t>
      </w:r>
      <w:r>
        <w:rPr>
          <w:rFonts w:hint="eastAsia" w:ascii="仿宋" w:hAnsi="仿宋" w:eastAsia="仿宋"/>
          <w:sz w:val="32"/>
          <w:szCs w:val="32"/>
          <w:lang w:eastAsia="zh-CN"/>
        </w:rPr>
        <w:t>，保障基础不动产登记信息平台运行，</w:t>
      </w:r>
    </w:p>
    <w:p w14:paraId="3E11B5AC">
      <w:pPr>
        <w:pStyle w:val="12"/>
        <w:spacing w:line="560" w:lineRule="exact"/>
        <w:rPr>
          <w:rFonts w:ascii="仿宋" w:hAnsi="仿宋" w:eastAsia="仿宋"/>
          <w:sz w:val="32"/>
          <w:szCs w:val="32"/>
          <w:lang w:eastAsia="zh-CN"/>
        </w:rPr>
      </w:pPr>
      <w:r>
        <w:rPr>
          <w:rFonts w:ascii="仿宋" w:hAnsi="仿宋" w:eastAsia="仿宋"/>
          <w:sz w:val="32"/>
          <w:szCs w:val="32"/>
        </w:rPr>
        <w:t>绩效指标：</w:t>
      </w:r>
      <w:r>
        <w:rPr>
          <w:rFonts w:hint="eastAsia" w:ascii="仿宋" w:hAnsi="仿宋" w:eastAsia="仿宋"/>
          <w:sz w:val="32"/>
          <w:szCs w:val="32"/>
          <w:lang w:eastAsia="zh-CN"/>
        </w:rPr>
        <w:t>（1）数量指标：运维平台完成全年维护，自评得分10分。（2）质量指标：保障平台正常运转，自评得分10分。（3）时效指标：及时解决平台故障，自评得分10分。（4）成本指标：按预算安排，自评得分10分。（5）预算执行率指标：预算执行率，自评得分10分。（6）经济效益指标：有利于经济发展，自评得分10分。（7）社会效益指标：保障房屋及土地登记业务办理，自评得分10分。（8）生态效益指标：促进土地资源合理利用，自评得分10分。（9）可持续效益指标：提供不动产经济服务，自评得分10分。（10）满意度指标：满意度，自评得分10分。</w:t>
      </w:r>
    </w:p>
    <w:p w14:paraId="0FCA45D7">
      <w:pPr>
        <w:pStyle w:val="12"/>
        <w:spacing w:line="560" w:lineRule="exact"/>
        <w:rPr>
          <w:rFonts w:ascii="仿宋" w:hAnsi="仿宋" w:eastAsia="仿宋"/>
          <w:sz w:val="32"/>
          <w:szCs w:val="32"/>
        </w:rPr>
      </w:pPr>
      <w:r>
        <w:rPr>
          <w:rFonts w:hint="eastAsia" w:ascii="仿宋" w:hAnsi="仿宋" w:eastAsia="仿宋"/>
          <w:sz w:val="32"/>
          <w:szCs w:val="32"/>
          <w:lang w:eastAsia="zh-CN"/>
        </w:rPr>
        <w:t>6</w:t>
      </w:r>
      <w:r>
        <w:rPr>
          <w:rFonts w:ascii="仿宋" w:hAnsi="仿宋" w:eastAsia="仿宋"/>
          <w:sz w:val="32"/>
          <w:szCs w:val="32"/>
        </w:rPr>
        <w:t>、夯实基础工作。</w:t>
      </w:r>
    </w:p>
    <w:p w14:paraId="26AFC51A">
      <w:pPr>
        <w:pStyle w:val="12"/>
        <w:spacing w:line="560" w:lineRule="exact"/>
        <w:rPr>
          <w:rFonts w:ascii="仿宋" w:hAnsi="仿宋" w:eastAsia="仿宋"/>
          <w:sz w:val="32"/>
          <w:szCs w:val="32"/>
        </w:rPr>
      </w:pPr>
      <w:r>
        <w:rPr>
          <w:rFonts w:ascii="仿宋" w:hAnsi="仿宋" w:eastAsia="仿宋"/>
          <w:sz w:val="32"/>
          <w:szCs w:val="32"/>
        </w:rPr>
        <w:t>绩效目标：稳步推进宅基地使用权和集体建设用地使用权</w:t>
      </w:r>
      <w:r>
        <w:rPr>
          <w:rFonts w:hint="eastAsia" w:ascii="仿宋" w:hAnsi="仿宋" w:eastAsia="仿宋"/>
          <w:sz w:val="32"/>
          <w:szCs w:val="32"/>
          <w:lang w:eastAsia="zh-CN"/>
        </w:rPr>
        <w:t>存量数据整合</w:t>
      </w:r>
      <w:r>
        <w:rPr>
          <w:rFonts w:ascii="仿宋" w:hAnsi="仿宋" w:eastAsia="仿宋"/>
          <w:sz w:val="32"/>
          <w:szCs w:val="32"/>
        </w:rPr>
        <w:t>工作，助推“三农”发展。</w:t>
      </w:r>
    </w:p>
    <w:p w14:paraId="6465AD58">
      <w:pPr>
        <w:spacing w:line="560" w:lineRule="exact"/>
        <w:ind w:firstLine="640" w:firstLineChars="200"/>
        <w:rPr>
          <w:rFonts w:ascii="仿宋" w:hAnsi="仿宋" w:eastAsia="仿宋"/>
          <w:sz w:val="32"/>
          <w:szCs w:val="32"/>
        </w:rPr>
      </w:pPr>
      <w:r>
        <w:rPr>
          <w:rFonts w:ascii="仿宋" w:hAnsi="仿宋" w:eastAsia="仿宋"/>
          <w:sz w:val="32"/>
          <w:szCs w:val="32"/>
        </w:rPr>
        <w:t>绩效指标：</w:t>
      </w:r>
      <w:r>
        <w:rPr>
          <w:rFonts w:hint="eastAsia" w:ascii="仿宋" w:hAnsi="仿宋" w:eastAsia="仿宋"/>
          <w:sz w:val="32"/>
          <w:szCs w:val="32"/>
        </w:rPr>
        <w:t>（1）数量指标：农村宅基地和集体建设用地使用权存量数据整合，自评得分10分。（2）质量指标：使用权存量数据整合质量，自评得分10分。（3）时效指标：按时完成数据整合，自评得分10分。（4）成本指标：按预算安排支付，自评得分10分。（5）预算执行率指标：预算执行率，自评得分10分。（6）经济效益指标：有利于经济发展，自评得分10分。（7）社会效益指标：提升国土资源管理水平，自评得分10分。（8）生态效益指标：推动生态文明建设，自评得分10分。（9）可持续效益指标：促进土地资源的可持续利用，自评得分10分。（10）满意度指标：满意度，自评得分10分。</w:t>
      </w:r>
    </w:p>
    <w:p w14:paraId="05858E0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76EE206">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根据部门职责定位和各项工作履职情况进行综合评价，给出总得分，满分100分，得出综合绩效评价等级。部门整体支出综合绩效评价为：得分100分,得分≥85分为优秀。</w:t>
      </w:r>
    </w:p>
    <w:p w14:paraId="562C9D6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B220547">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4F66EFAB">
      <w:pPr>
        <w:pStyle w:val="4"/>
        <w:spacing w:line="560" w:lineRule="exact"/>
        <w:ind w:firstLine="640" w:firstLineChars="200"/>
        <w:rPr>
          <w:rFonts w:ascii="仿宋" w:hAnsi="仿宋" w:eastAsia="仿宋"/>
          <w:sz w:val="32"/>
          <w:szCs w:val="32"/>
        </w:rPr>
      </w:pPr>
      <w:r>
        <w:rPr>
          <w:rFonts w:hint="eastAsia" w:ascii="仿宋" w:hAnsi="仿宋" w:eastAsia="仿宋"/>
          <w:sz w:val="32"/>
          <w:szCs w:val="32"/>
        </w:rPr>
        <w:t>1.财务制度不够完善，资产管理不够严谨，业务素质有待提高。</w:t>
      </w:r>
    </w:p>
    <w:p w14:paraId="264EE89C">
      <w:pPr>
        <w:pStyle w:val="2"/>
        <w:ind w:firstLine="640"/>
      </w:pPr>
      <w:r>
        <w:rPr>
          <w:rFonts w:hint="eastAsia" w:ascii="仿宋" w:hAnsi="仿宋" w:eastAsia="仿宋"/>
          <w:szCs w:val="32"/>
        </w:rPr>
        <w:t>2.部分项目资金支付进度较缓慢，加快支出进度。</w:t>
      </w:r>
    </w:p>
    <w:p w14:paraId="5AAA6940">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7C78F4A">
      <w:pPr>
        <w:pStyle w:val="4"/>
        <w:spacing w:line="560" w:lineRule="exact"/>
        <w:ind w:firstLine="640" w:firstLineChars="200"/>
        <w:rPr>
          <w:rFonts w:ascii="仿宋" w:hAnsi="仿宋" w:eastAsia="仿宋"/>
          <w:sz w:val="32"/>
          <w:szCs w:val="32"/>
        </w:rPr>
      </w:pPr>
      <w:r>
        <w:rPr>
          <w:rFonts w:hint="eastAsia" w:ascii="仿宋" w:hAnsi="仿宋" w:eastAsia="仿宋"/>
          <w:sz w:val="32"/>
          <w:szCs w:val="32"/>
        </w:rPr>
        <w:t>1.合理编制预算，严格执行预算。提高预算编制的到位率，做好基本支出预算、项目支出预算的准确率，加强预算支出的审核、跟踪及预算执行情况分析，提高预算编制的严谨性和可控性。</w:t>
      </w:r>
    </w:p>
    <w:p w14:paraId="00195790">
      <w:pPr>
        <w:pStyle w:val="9"/>
        <w:spacing w:line="560" w:lineRule="exact"/>
        <w:ind w:left="0" w:leftChars="0" w:firstLine="640"/>
        <w:rPr>
          <w:rFonts w:ascii="仿宋" w:hAnsi="仿宋" w:eastAsia="仿宋"/>
          <w:sz w:val="32"/>
          <w:szCs w:val="32"/>
        </w:rPr>
      </w:pPr>
      <w:r>
        <w:rPr>
          <w:rFonts w:hint="eastAsia" w:ascii="仿宋" w:hAnsi="仿宋" w:eastAsia="仿宋"/>
          <w:sz w:val="32"/>
          <w:szCs w:val="32"/>
        </w:rPr>
        <w:t>2.加强预算项目资金管理。实现项目资金申报、实施、拨付、评价全流程监督与控制，规范专项资金管理，提高专项资金的使用效益。</w:t>
      </w:r>
    </w:p>
    <w:p w14:paraId="632AE9B3">
      <w:pPr>
        <w:pStyle w:val="2"/>
        <w:ind w:firstLine="640"/>
      </w:pPr>
    </w:p>
    <w:p w14:paraId="2F2F8DA2">
      <w:pPr>
        <w:spacing w:line="560" w:lineRule="exact"/>
        <w:rPr>
          <w:rFonts w:ascii="仿宋" w:hAnsi="仿宋" w:eastAsia="仿宋"/>
        </w:rPr>
      </w:pPr>
    </w:p>
    <w:p w14:paraId="728FBE75">
      <w:pPr>
        <w:pStyle w:val="2"/>
        <w:ind w:firstLine="640"/>
        <w:rPr>
          <w:rFonts w:ascii="仿宋" w:hAnsi="仿宋" w:eastAsia="仿宋"/>
        </w:rPr>
      </w:pPr>
    </w:p>
    <w:p w14:paraId="43FFC999">
      <w:pPr>
        <w:rPr>
          <w:rFonts w:ascii="仿宋" w:hAnsi="仿宋" w:eastAsia="仿宋"/>
        </w:rPr>
      </w:pPr>
    </w:p>
    <w:p w14:paraId="2C2577C1">
      <w:pPr>
        <w:pStyle w:val="2"/>
        <w:ind w:firstLine="640"/>
        <w:rPr>
          <w:rFonts w:ascii="仿宋" w:hAnsi="仿宋" w:eastAsia="仿宋"/>
        </w:rPr>
      </w:pPr>
    </w:p>
    <w:p w14:paraId="4706E51A">
      <w:pPr>
        <w:rPr>
          <w:rFonts w:ascii="仿宋" w:hAnsi="仿宋" w:eastAsia="仿宋"/>
        </w:rPr>
      </w:pPr>
    </w:p>
    <w:p w14:paraId="1EB48199">
      <w:pPr>
        <w:pStyle w:val="2"/>
        <w:ind w:firstLine="640"/>
        <w:rPr>
          <w:rFonts w:ascii="仿宋" w:hAnsi="仿宋" w:eastAsia="仿宋"/>
        </w:rPr>
      </w:pPr>
    </w:p>
    <w:p w14:paraId="7BF023E8">
      <w:pPr>
        <w:rPr>
          <w:rFonts w:ascii="仿宋" w:hAnsi="仿宋" w:eastAsia="仿宋"/>
        </w:rPr>
      </w:pPr>
    </w:p>
    <w:p w14:paraId="3442E1C8">
      <w:pPr>
        <w:pStyle w:val="2"/>
        <w:ind w:firstLine="640"/>
        <w:rPr>
          <w:rFonts w:ascii="仿宋" w:hAnsi="仿宋" w:eastAsia="仿宋"/>
        </w:rPr>
      </w:pPr>
    </w:p>
    <w:p w14:paraId="28FC9F53">
      <w:pPr>
        <w:pStyle w:val="9"/>
        <w:spacing w:line="560" w:lineRule="exact"/>
        <w:ind w:firstLine="640"/>
        <w:jc w:val="right"/>
        <w:rPr>
          <w:rFonts w:ascii="仿宋" w:hAnsi="仿宋" w:eastAsia="仿宋"/>
          <w:sz w:val="32"/>
          <w:szCs w:val="32"/>
        </w:rPr>
      </w:pPr>
      <w:r>
        <w:rPr>
          <w:rFonts w:hint="eastAsia" w:ascii="仿宋" w:hAnsi="仿宋" w:eastAsia="仿宋"/>
          <w:sz w:val="32"/>
          <w:szCs w:val="32"/>
        </w:rPr>
        <w:t>井陉县自然资源和规划局</w:t>
      </w:r>
    </w:p>
    <w:p w14:paraId="1DB5CD65">
      <w:pPr>
        <w:pStyle w:val="9"/>
        <w:spacing w:line="560" w:lineRule="exact"/>
        <w:ind w:firstLine="640"/>
        <w:jc w:val="center"/>
        <w:rPr>
          <w:rFonts w:ascii="仿宋" w:hAnsi="仿宋" w:eastAsia="仿宋"/>
          <w:sz w:val="32"/>
          <w:szCs w:val="32"/>
        </w:rPr>
      </w:pPr>
      <w:r>
        <w:rPr>
          <w:rFonts w:hint="eastAsia" w:ascii="仿宋" w:hAnsi="仿宋" w:eastAsia="仿宋"/>
          <w:sz w:val="32"/>
          <w:szCs w:val="32"/>
        </w:rPr>
        <w:t xml:space="preserve">                         2026年4月8日</w:t>
      </w:r>
    </w:p>
    <w:p w14:paraId="33B95416"/>
    <w:sectPr>
      <w:footerReference r:id="rId3" w:type="default"/>
      <w:pgSz w:w="11906" w:h="16838"/>
      <w:pgMar w:top="1588" w:right="1588" w:bottom="1588" w:left="1588"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创艺简标宋">
    <w:altName w:val="方正小标宋简体"/>
    <w:panose1 w:val="00000000000000000000"/>
    <w:charset w:val="00"/>
    <w:family w:val="auto"/>
    <w:pitch w:val="default"/>
    <w:sig w:usb0="00000000" w:usb1="00000000" w:usb2="00000010" w:usb3="00000000" w:csb0="0004000A" w:csb1="00000000"/>
  </w:font>
  <w:font w:name="方正小标宋简体">
    <w:panose1 w:val="03000509000000000000"/>
    <w:charset w:val="86"/>
    <w:family w:val="auto"/>
    <w:pitch w:val="default"/>
    <w:sig w:usb0="00000001" w:usb1="080E0000" w:usb2="00000000" w:usb3="00000000" w:csb0="00040000" w:csb1="00000000"/>
  </w:font>
  <w:font w:name="方正仿宋_GBK">
    <w:altName w:val="Arial Unicode MS"/>
    <w:panose1 w:val="02000000000000000000"/>
    <w:charset w:val="86"/>
    <w:family w:val="auto"/>
    <w:pitch w:val="default"/>
    <w:sig w:usb0="00000000" w:usb1="00000000"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方正仿宋简体">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1443A">
    <w:pPr>
      <w:pStyle w:val="5"/>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path/>
          <v:fill on="f" focussize="0,0"/>
          <v:stroke on="f" joinstyle="miter"/>
          <v:imagedata o:title=""/>
          <o:lock v:ext="edit"/>
          <v:textbox inset="0mm,0mm,0mm,0mm" style="mso-fit-shape-to-text:t;">
            <w:txbxContent>
              <w:p w14:paraId="5E5D127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- 15 -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E2FEAF7"/>
    <w:multiLevelType w:val="singleLevel"/>
    <w:tmpl w:val="1E2FEAF7"/>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07F88"/>
    <w:rsid w:val="000B0260"/>
    <w:rsid w:val="000F596B"/>
    <w:rsid w:val="0012582B"/>
    <w:rsid w:val="001F57FC"/>
    <w:rsid w:val="002E5726"/>
    <w:rsid w:val="00333AB1"/>
    <w:rsid w:val="005640D2"/>
    <w:rsid w:val="006460AA"/>
    <w:rsid w:val="00736981"/>
    <w:rsid w:val="007E6C1F"/>
    <w:rsid w:val="00956A93"/>
    <w:rsid w:val="009E4EAF"/>
    <w:rsid w:val="009E575C"/>
    <w:rsid w:val="00AF167E"/>
    <w:rsid w:val="00AF566A"/>
    <w:rsid w:val="00B15869"/>
    <w:rsid w:val="00B478EA"/>
    <w:rsid w:val="00B6553A"/>
    <w:rsid w:val="00BC6576"/>
    <w:rsid w:val="00BF7BB1"/>
    <w:rsid w:val="00CE06BA"/>
    <w:rsid w:val="00CE49E3"/>
    <w:rsid w:val="00EA28AF"/>
    <w:rsid w:val="00F02B33"/>
    <w:rsid w:val="00F441CC"/>
    <w:rsid w:val="01B104CA"/>
    <w:rsid w:val="02106AB0"/>
    <w:rsid w:val="02B43A28"/>
    <w:rsid w:val="046F331E"/>
    <w:rsid w:val="07956271"/>
    <w:rsid w:val="09721397"/>
    <w:rsid w:val="0BB63BED"/>
    <w:rsid w:val="0EB97A43"/>
    <w:rsid w:val="0EBD2122"/>
    <w:rsid w:val="0F214EAE"/>
    <w:rsid w:val="11B30778"/>
    <w:rsid w:val="11B71E6A"/>
    <w:rsid w:val="144B521C"/>
    <w:rsid w:val="1AAF0063"/>
    <w:rsid w:val="1ABD2416"/>
    <w:rsid w:val="1BE140DE"/>
    <w:rsid w:val="229B7EE6"/>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1"/>
    <w:qFormat/>
    <w:uiPriority w:val="0"/>
    <w:pPr>
      <w:ind w:firstLine="680"/>
    </w:pPr>
    <w:rPr>
      <w:rFonts w:ascii="仿宋_GB2312" w:hAnsi="创艺简标宋" w:eastAsia="仿宋_GB2312"/>
      <w:sz w:val="32"/>
    </w:rPr>
  </w:style>
  <w:style w:type="paragraph" w:styleId="4">
    <w:name w:val="Body Text"/>
    <w:basedOn w:val="1"/>
    <w:qFormat/>
    <w:uiPriority w:val="0"/>
    <w:pPr>
      <w:spacing w:after="12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BodyText1I2"/>
    <w:basedOn w:val="10"/>
    <w:qFormat/>
    <w:uiPriority w:val="0"/>
    <w:pPr>
      <w:ind w:firstLine="420" w:firstLineChars="200"/>
    </w:pPr>
  </w:style>
  <w:style w:type="paragraph" w:customStyle="1" w:styleId="10">
    <w:name w:val="BodyTextIndent"/>
    <w:basedOn w:val="1"/>
    <w:next w:val="1"/>
    <w:qFormat/>
    <w:uiPriority w:val="0"/>
    <w:pPr>
      <w:spacing w:after="120"/>
      <w:ind w:left="420" w:leftChars="200"/>
      <w:textAlignment w:val="baseline"/>
    </w:pPr>
  </w:style>
  <w:style w:type="paragraph" w:customStyle="1" w:styleId="11">
    <w:name w:val="插入文本样式-插入总体目标文件"/>
    <w:basedOn w:val="1"/>
    <w:qFormat/>
    <w:uiPriority w:val="0"/>
    <w:pPr>
      <w:spacing w:line="500" w:lineRule="exact"/>
      <w:ind w:firstLine="560"/>
    </w:pPr>
    <w:rPr>
      <w:rFonts w:eastAsia="方正仿宋_GBK"/>
      <w:sz w:val="28"/>
    </w:rPr>
  </w:style>
  <w:style w:type="paragraph" w:customStyle="1" w:styleId="12">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8324</Words>
  <Characters>8814</Characters>
  <Lines>64</Lines>
  <Paragraphs>18</Paragraphs>
  <TotalTime>36</TotalTime>
  <ScaleCrop>false</ScaleCrop>
  <LinksUpToDate>false</LinksUpToDate>
  <CharactersWithSpaces>8868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2026-04-30T07:10:51Z</dcterms:modified>
  <dc:title>附件3：</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