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F7557D">
      <w:pPr>
        <w:widowControl w:val="0"/>
        <w:wordWrap/>
        <w:spacing w:line="560" w:lineRule="exact"/>
        <w:ind w:left="0" w:leftChars="0" w:right="0"/>
        <w:jc w:val="center"/>
        <w:textAlignment w:val="auto"/>
        <w:outlineLvl w:val="9"/>
        <w:rPr>
          <w:rFonts w:hint="eastAsia" w:ascii="宋体" w:hAnsi="宋体" w:cs="宋体"/>
          <w:b/>
          <w:bCs/>
          <w:sz w:val="44"/>
          <w:szCs w:val="44"/>
        </w:rPr>
      </w:pPr>
      <w:bookmarkStart w:id="0" w:name="_GoBack"/>
      <w:bookmarkEnd w:id="0"/>
    </w:p>
    <w:p w14:paraId="5D235E47">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井陉县政协办公室</w:t>
      </w:r>
    </w:p>
    <w:p w14:paraId="688FBC23">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2025年度整体支出绩效</w:t>
      </w:r>
      <w:r>
        <w:rPr>
          <w:rFonts w:hint="eastAsia" w:ascii="宋体" w:hAnsi="宋体" w:cs="宋体"/>
          <w:b/>
          <w:bCs/>
          <w:sz w:val="44"/>
          <w:szCs w:val="44"/>
        </w:rPr>
        <w:t>自评报告</w:t>
      </w:r>
    </w:p>
    <w:p w14:paraId="712403C7">
      <w:pPr>
        <w:widowControl w:val="0"/>
        <w:wordWrap/>
        <w:spacing w:line="560" w:lineRule="exact"/>
        <w:ind w:left="0" w:leftChars="0" w:right="0"/>
        <w:jc w:val="center"/>
        <w:textAlignment w:val="auto"/>
        <w:outlineLvl w:val="9"/>
        <w:rPr>
          <w:rFonts w:ascii="华文楷体" w:eastAsia="华文楷体"/>
          <w:sz w:val="32"/>
          <w:szCs w:val="32"/>
        </w:rPr>
      </w:pPr>
    </w:p>
    <w:p w14:paraId="096D74F0">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井陉县政协办公室</w:t>
      </w:r>
      <w:r>
        <w:rPr>
          <w:rFonts w:hint="eastAsia" w:ascii="仿宋" w:hAnsi="仿宋" w:eastAsia="仿宋"/>
          <w:sz w:val="32"/>
          <w:szCs w:val="32"/>
          <w:lang w:val="en-US" w:eastAsia="zh-CN"/>
        </w:rPr>
        <w:t>2025年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14:paraId="2731FA8B">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0BDAD1D0">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3A5BE32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根据《井陉县</w:t>
      </w:r>
      <w:r>
        <w:rPr>
          <w:rFonts w:hint="eastAsia" w:ascii="仿宋" w:hAnsi="仿宋" w:eastAsia="仿宋"/>
          <w:sz w:val="32"/>
          <w:szCs w:val="32"/>
          <w:lang w:eastAsia="zh-CN"/>
        </w:rPr>
        <w:t>政协</w:t>
      </w:r>
      <w:r>
        <w:rPr>
          <w:rFonts w:hint="eastAsia" w:ascii="仿宋" w:hAnsi="仿宋" w:eastAsia="仿宋"/>
          <w:sz w:val="32"/>
          <w:szCs w:val="32"/>
        </w:rPr>
        <w:t>会办公室职能配置、内设机构和人员编制规定》，井陉县</w:t>
      </w:r>
      <w:r>
        <w:rPr>
          <w:rFonts w:hint="eastAsia" w:ascii="仿宋" w:hAnsi="仿宋" w:eastAsia="仿宋"/>
          <w:sz w:val="32"/>
          <w:szCs w:val="32"/>
          <w:lang w:eastAsia="zh-CN"/>
        </w:rPr>
        <w:t>政协</w:t>
      </w:r>
      <w:r>
        <w:rPr>
          <w:rFonts w:hint="eastAsia" w:ascii="仿宋" w:hAnsi="仿宋" w:eastAsia="仿宋"/>
          <w:sz w:val="32"/>
          <w:szCs w:val="32"/>
        </w:rPr>
        <w:t>办公室的主要职责是：</w:t>
      </w:r>
    </w:p>
    <w:p w14:paraId="3567BC6E">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政治协商。就县大政方针以及政治、经济、文化、社会等重要问题在决策之前进行协商和就决策执行过程中的重要问题进行协商。根据形势、任务和党委政府统一部署，安排协商活动，召开专题协商会、协商民主会、专题座谈会、情况通报会、意见听取会、作研讨会和学习座谈会等。加强港澳台侨和海外联谊活动，推动对外交往工作</w:t>
      </w:r>
      <w:r>
        <w:rPr>
          <w:rFonts w:ascii="仿宋" w:hAnsi="仿宋" w:eastAsia="仿宋" w:cs="仿宋"/>
          <w:sz w:val="32"/>
          <w:szCs w:val="32"/>
        </w:rPr>
        <w:t xml:space="preserve"> </w:t>
      </w:r>
    </w:p>
    <w:p w14:paraId="0699535B">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、参政议政。通过对县重大问题以及人民群众普遍关心的问题，开展调查研究，反映社情民意，以调研报告、提案等形式，向</w:t>
      </w:r>
      <w:r>
        <w:rPr>
          <w:rFonts w:hint="eastAsia" w:ascii="仿宋" w:hAnsi="仿宋" w:eastAsia="仿宋" w:cs="仿宋"/>
          <w:sz w:val="32"/>
          <w:szCs w:val="32"/>
          <w:lang w:eastAsia="zh-CN"/>
        </w:rPr>
        <w:t>县委、县政府</w:t>
      </w:r>
      <w:r>
        <w:rPr>
          <w:rFonts w:hint="eastAsia" w:ascii="仿宋" w:hAnsi="仿宋" w:eastAsia="仿宋" w:cs="仿宋"/>
          <w:sz w:val="32"/>
          <w:szCs w:val="32"/>
        </w:rPr>
        <w:t>提出意见和建议。选择经济社会发展中具有综合性、全局性、前瞻性的课题，深入调查研究，开展咨询论证、提出意见建议。</w:t>
      </w:r>
    </w:p>
    <w:p w14:paraId="264B7313">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hint="eastAsia" w:ascii="仿宋" w:hAnsi="仿宋" w:eastAsia="仿宋" w:cs="仿宋"/>
          <w:sz w:val="32"/>
          <w:szCs w:val="32"/>
        </w:rPr>
      </w:pPr>
      <w:r>
        <w:rPr>
          <w:rFonts w:ascii="仿宋" w:hAnsi="仿宋" w:eastAsia="仿宋" w:cs="仿宋"/>
          <w:sz w:val="32"/>
          <w:szCs w:val="32"/>
        </w:rPr>
        <w:t xml:space="preserve"> 3</w:t>
      </w:r>
      <w:r>
        <w:rPr>
          <w:rFonts w:hint="eastAsia" w:ascii="仿宋" w:hAnsi="仿宋" w:eastAsia="仿宋" w:cs="仿宋"/>
          <w:sz w:val="32"/>
          <w:szCs w:val="32"/>
        </w:rPr>
        <w:t>、民族监督组织、鼓励和引导委员深入实际、走向基层、贴近群众开展视察考察，通过建议案、提案等形式进行监督。通过参加党委政府组织的调查和检查活动实施监督。组织政协参加单位和政协委员适时对我县政治、经济、生活中的热点、焦点问题提出意见和建议。</w:t>
      </w:r>
    </w:p>
    <w:p w14:paraId="272542A0">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b w:val="0"/>
          <w:bCs w:val="0"/>
          <w:sz w:val="32"/>
          <w:szCs w:val="32"/>
          <w:lang w:val="en-US" w:eastAsia="zh-CN"/>
        </w:rPr>
        <w:t>2、</w:t>
      </w:r>
      <w:r>
        <w:rPr>
          <w:rFonts w:hint="eastAsia" w:ascii="仿宋" w:hAnsi="仿宋" w:eastAsia="仿宋"/>
          <w:b w:val="0"/>
          <w:bCs w:val="0"/>
          <w:sz w:val="32"/>
          <w:szCs w:val="32"/>
          <w:lang w:eastAsia="zh-CN"/>
        </w:rPr>
        <w:t>组织机构及</w:t>
      </w:r>
      <w:r>
        <w:rPr>
          <w:rFonts w:hint="eastAsia" w:ascii="仿宋" w:hAnsi="仿宋" w:eastAsia="仿宋"/>
          <w:b w:val="0"/>
          <w:bCs w:val="0"/>
          <w:color w:val="auto"/>
          <w:sz w:val="32"/>
          <w:szCs w:val="32"/>
          <w:lang w:eastAsia="zh-CN"/>
        </w:rPr>
        <w:t>人员</w:t>
      </w:r>
      <w:r>
        <w:rPr>
          <w:rFonts w:hint="eastAsia" w:ascii="仿宋" w:hAnsi="仿宋" w:eastAsia="仿宋"/>
          <w:b w:val="0"/>
          <w:bCs w:val="0"/>
          <w:sz w:val="32"/>
          <w:szCs w:val="32"/>
          <w:lang w:eastAsia="zh-CN"/>
        </w:rPr>
        <w:t>：</w:t>
      </w:r>
      <w:r>
        <w:rPr>
          <w:rFonts w:hint="eastAsia" w:ascii="仿宋" w:hAnsi="仿宋" w:eastAsia="仿宋"/>
          <w:sz w:val="32"/>
          <w:szCs w:val="32"/>
          <w:lang w:eastAsia="zh-CN"/>
        </w:rPr>
        <w:t>井陉县政协是财政拨款的正科级行政机关，编制</w:t>
      </w:r>
      <w:r>
        <w:rPr>
          <w:rFonts w:hint="eastAsia" w:ascii="仿宋" w:hAnsi="仿宋" w:eastAsia="仿宋"/>
          <w:sz w:val="32"/>
          <w:szCs w:val="32"/>
          <w:lang w:val="en-US" w:eastAsia="zh-CN"/>
        </w:rPr>
        <w:t>19人，实际在职人数21人。</w:t>
      </w:r>
    </w:p>
    <w:p w14:paraId="11A2DB72">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b w:val="0"/>
          <w:bCs w:val="0"/>
          <w:sz w:val="32"/>
          <w:szCs w:val="32"/>
          <w:lang w:eastAsia="zh-CN"/>
        </w:rPr>
        <w:t>资产情况：</w:t>
      </w:r>
      <w:r>
        <w:rPr>
          <w:rFonts w:hint="eastAsia" w:ascii="仿宋" w:hAnsi="仿宋" w:eastAsia="仿宋" w:cs="仿宋"/>
          <w:color w:val="auto"/>
          <w:sz w:val="32"/>
          <w:szCs w:val="32"/>
        </w:rPr>
        <w:t>截至</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年12月31日，</w:t>
      </w:r>
      <w:r>
        <w:rPr>
          <w:rFonts w:hint="eastAsia" w:ascii="仿宋" w:hAnsi="仿宋" w:eastAsia="仿宋"/>
          <w:color w:val="auto"/>
          <w:sz w:val="32"/>
          <w:szCs w:val="32"/>
          <w:lang w:eastAsia="zh-CN"/>
        </w:rPr>
        <w:t>井陉县政协办公室</w:t>
      </w:r>
      <w:r>
        <w:rPr>
          <w:rFonts w:hint="eastAsia" w:ascii="仿宋" w:hAnsi="仿宋" w:eastAsia="仿宋" w:cs="仿宋"/>
          <w:color w:val="auto"/>
          <w:sz w:val="32"/>
          <w:szCs w:val="32"/>
        </w:rPr>
        <w:t>资产总额</w:t>
      </w:r>
      <w:r>
        <w:rPr>
          <w:rFonts w:hint="eastAsia" w:ascii="仿宋" w:hAnsi="仿宋" w:eastAsia="仿宋" w:cs="仿宋"/>
          <w:color w:val="000000" w:themeColor="text1"/>
          <w:sz w:val="32"/>
          <w:szCs w:val="32"/>
          <w:lang w:val="en-US" w:eastAsia="zh-CN"/>
          <w14:textFill>
            <w14:solidFill>
              <w14:schemeClr w14:val="tx1"/>
            </w14:solidFill>
          </w14:textFill>
        </w:rPr>
        <w:t>98.21</w:t>
      </w:r>
      <w:r>
        <w:rPr>
          <w:rFonts w:hint="eastAsia" w:ascii="仿宋" w:hAnsi="仿宋" w:eastAsia="仿宋" w:cs="仿宋"/>
          <w:color w:val="auto"/>
          <w:sz w:val="32"/>
          <w:szCs w:val="32"/>
        </w:rPr>
        <w:t>万元，负债总额</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万元，净资产</w:t>
      </w:r>
      <w:r>
        <w:rPr>
          <w:rFonts w:hint="eastAsia" w:ascii="仿宋" w:hAnsi="仿宋" w:eastAsia="仿宋" w:cs="仿宋"/>
          <w:color w:val="auto"/>
          <w:sz w:val="32"/>
          <w:szCs w:val="32"/>
          <w:lang w:val="en-US" w:eastAsia="zh-CN"/>
        </w:rPr>
        <w:t>14.07</w:t>
      </w:r>
      <w:r>
        <w:rPr>
          <w:rFonts w:hint="eastAsia" w:ascii="仿宋" w:hAnsi="仿宋" w:eastAsia="仿宋" w:cs="仿宋"/>
          <w:color w:val="auto"/>
          <w:sz w:val="32"/>
          <w:szCs w:val="32"/>
        </w:rPr>
        <w:t>万元。流动资产</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万元，固定资产</w:t>
      </w:r>
      <w:r>
        <w:rPr>
          <w:rFonts w:hint="eastAsia" w:ascii="仿宋" w:hAnsi="仿宋" w:eastAsia="仿宋" w:cs="仿宋"/>
          <w:color w:val="auto"/>
          <w:sz w:val="32"/>
          <w:szCs w:val="32"/>
          <w:lang w:val="en-US" w:eastAsia="zh-CN"/>
        </w:rPr>
        <w:t>97.7</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，无形资产</w:t>
      </w:r>
      <w:r>
        <w:rPr>
          <w:rFonts w:hint="eastAsia" w:ascii="仿宋" w:hAnsi="仿宋" w:eastAsia="仿宋" w:cs="仿宋"/>
          <w:color w:val="auto"/>
          <w:sz w:val="32"/>
          <w:szCs w:val="32"/>
          <w:lang w:val="en-US" w:eastAsia="zh-CN"/>
        </w:rPr>
        <w:t>0.51万元。</w:t>
      </w:r>
    </w:p>
    <w:p w14:paraId="28639D8A">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hint="eastAsia" w:ascii="仿宋" w:hAnsi="仿宋" w:eastAsia="仿宋" w:cs="仿宋"/>
          <w:sz w:val="32"/>
          <w:szCs w:val="32"/>
        </w:rPr>
      </w:pPr>
    </w:p>
    <w:p w14:paraId="52DBED74">
      <w:pPr>
        <w:widowControl w:val="0"/>
        <w:wordWrap/>
        <w:adjustRightInd w:val="0"/>
        <w:snapToGrid w:val="0"/>
        <w:spacing w:line="560" w:lineRule="exact"/>
        <w:ind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部门收支预决算情况</w:t>
      </w:r>
    </w:p>
    <w:p w14:paraId="72D5481D">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2025年度部门总收入566.44万元，全部是一般公共预算财政拨款，比年初预算556.28万元增加10.16万元，增长1.8%；2025年度总支出556.44万元，比年初预算556.28万元增加10.16万元，增长1.8%；一般公共服务支出566.44万元，比年初预算402.98万元增加153.46万元，增长38.01%，社会保障和就业支出131.69万元，比年初预算102.01万元增加29.68万元，增长29.09%，卫生和健康支出18.42万元，比年初预算18.13万元增加0.41万元，增长1.6%，住房保障支出33.58万元，比年初预算33.17万元增加0.41万元，增长1.23%；基本支出中的人员经费456.42万元，比年初预算449.84万元增加6.59万元，增长1.46%，公用经费53.15万元，比年初预算57.45万减少4.3万元，增减少7.48%；项目支出56.87万元，比年初预算49万元增加7.87万元，增长16.06%。</w:t>
      </w:r>
    </w:p>
    <w:p w14:paraId="2BA5AF61">
      <w:pPr>
        <w:snapToGrid w:val="0"/>
        <w:spacing w:line="520" w:lineRule="exact"/>
        <w:ind w:firstLine="643" w:firstLineChars="200"/>
        <w:rPr>
          <w:rFonts w:hint="eastAsia" w:ascii="仿宋" w:hAnsi="仿宋" w:eastAsia="仿宋" w:cs="楷体_GB2312"/>
          <w:b/>
          <w:bCs/>
          <w:sz w:val="32"/>
          <w:szCs w:val="32"/>
          <w:lang w:eastAsia="zh-CN"/>
        </w:rPr>
      </w:pPr>
    </w:p>
    <w:p w14:paraId="0CC5E2C6">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14:paraId="41A74524">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根据县政协十届六次会议通过的工作报告，在县政协会议闭会期间，根据我县的具体情况和实际需要，在不同宪法、法律和行政法规相抵触的前提下，审议决定我县政治、经济、科学、教育、文化、卫生、环境与资源保护、民政、民族等工作的重大事项以及人民群众普遍关注和迫切要求解决的重大问题；审议决定常务委员会认为应当依法审议、决定的其他重大事项。</w:t>
      </w:r>
    </w:p>
    <w:p w14:paraId="48C1F8DC">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6756175A">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14BF7C50">
      <w:pPr>
        <w:spacing w:line="240" w:lineRule="atLeast"/>
        <w:rPr>
          <w:rFonts w:hint="eastAsia" w:ascii="仿宋" w:hAnsi="仿宋" w:eastAsia="仿宋" w:cs="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根据《井陉县财政局关于开展</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年度财政资金部门绩效自评价及财政重点绩效评工作的通知》文件要求，我部门迅速抽调相关业务部门的工作人员组成以办公室主任</w:t>
      </w:r>
      <w:r>
        <w:rPr>
          <w:rFonts w:hint="eastAsia" w:ascii="仿宋" w:hAnsi="仿宋" w:eastAsia="仿宋" w:cs="仿宋"/>
          <w:sz w:val="32"/>
          <w:szCs w:val="32"/>
          <w:lang w:eastAsia="zh-CN"/>
        </w:rPr>
        <w:t>赵月平</w:t>
      </w:r>
      <w:r>
        <w:rPr>
          <w:rFonts w:hint="eastAsia" w:ascii="仿宋" w:hAnsi="仿宋" w:eastAsia="仿宋" w:cs="仿宋"/>
          <w:sz w:val="32"/>
          <w:szCs w:val="32"/>
        </w:rPr>
        <w:t>为组长的自评工作小组，开展我部门的项目绩效评价工作。</w:t>
      </w:r>
    </w:p>
    <w:p w14:paraId="58BE16A1">
      <w:pPr>
        <w:spacing w:line="240" w:lineRule="atLeast"/>
        <w:ind w:firstLine="640" w:firstLineChars="200"/>
        <w:rPr>
          <w:rFonts w:hint="eastAsia" w:ascii="仿宋" w:hAnsi="仿宋" w:eastAsia="仿宋" w:cs="仿宋"/>
          <w:sz w:val="32"/>
          <w:szCs w:val="32"/>
        </w:rPr>
      </w:pPr>
      <w:r>
        <w:rPr>
          <w:rFonts w:hint="eastAsia" w:ascii="仿宋" w:hAnsi="仿宋" w:eastAsia="仿宋" w:cs="仿宋"/>
          <w:sz w:val="32"/>
          <w:szCs w:val="32"/>
        </w:rPr>
        <w:t>评价工作先由项目涉及的业务科室按照要求对项目进行自评；然后由评价小组本着公平公正、科学规范的原则，对业务科室上报的相关材料进行审查、复核和测评，并按照评价标准和规范对各项指标进行计算和打分，最终形成上报项目自评表和自评报告。</w:t>
      </w:r>
    </w:p>
    <w:p w14:paraId="1464FC08">
      <w:pPr>
        <w:spacing w:line="240" w:lineRule="atLeast"/>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年共有项目</w:t>
      </w:r>
      <w:r>
        <w:rPr>
          <w:rFonts w:hint="eastAsia" w:ascii="仿宋" w:hAnsi="仿宋" w:eastAsia="仿宋" w:cs="仿宋"/>
          <w:sz w:val="32"/>
          <w:szCs w:val="32"/>
          <w:lang w:val="en-US" w:eastAsia="zh-CN"/>
        </w:rPr>
        <w:t>5</w:t>
      </w:r>
      <w:r>
        <w:rPr>
          <w:rFonts w:hint="eastAsia" w:ascii="仿宋" w:hAnsi="仿宋" w:eastAsia="仿宋" w:cs="仿宋"/>
          <w:sz w:val="32"/>
          <w:szCs w:val="32"/>
        </w:rPr>
        <w:t>项，共计</w:t>
      </w:r>
      <w:r>
        <w:rPr>
          <w:rFonts w:hint="eastAsia" w:ascii="仿宋" w:hAnsi="仿宋" w:eastAsia="仿宋" w:cs="仿宋"/>
          <w:sz w:val="32"/>
          <w:szCs w:val="32"/>
          <w:lang w:val="en-US" w:eastAsia="zh-CN"/>
        </w:rPr>
        <w:t>56.87</w:t>
      </w:r>
      <w:r>
        <w:rPr>
          <w:rFonts w:hint="eastAsia" w:ascii="仿宋" w:hAnsi="仿宋" w:eastAsia="仿宋" w:cs="仿宋"/>
          <w:sz w:val="32"/>
          <w:szCs w:val="32"/>
        </w:rPr>
        <w:t>万元，其中</w:t>
      </w:r>
      <w:r>
        <w:rPr>
          <w:rFonts w:hint="eastAsia" w:ascii="仿宋" w:hAnsi="仿宋" w:eastAsia="仿宋" w:cs="仿宋"/>
          <w:sz w:val="32"/>
          <w:szCs w:val="32"/>
          <w:lang w:eastAsia="zh-CN"/>
        </w:rPr>
        <w:t>政协</w:t>
      </w:r>
      <w:r>
        <w:rPr>
          <w:rFonts w:hint="eastAsia" w:ascii="仿宋" w:hAnsi="仿宋" w:eastAsia="仿宋" w:cs="仿宋"/>
          <w:sz w:val="32"/>
          <w:szCs w:val="32"/>
        </w:rPr>
        <w:t>会议项目安排</w:t>
      </w:r>
      <w:r>
        <w:rPr>
          <w:rFonts w:hint="eastAsia" w:ascii="仿宋" w:hAnsi="仿宋" w:eastAsia="仿宋" w:cs="仿宋"/>
          <w:sz w:val="32"/>
          <w:szCs w:val="32"/>
          <w:lang w:val="en-US" w:eastAsia="zh-CN"/>
        </w:rPr>
        <w:t>20</w:t>
      </w:r>
      <w:r>
        <w:rPr>
          <w:rFonts w:hint="eastAsia" w:ascii="仿宋" w:hAnsi="仿宋" w:eastAsia="仿宋" w:cs="仿宋"/>
          <w:sz w:val="32"/>
          <w:szCs w:val="32"/>
        </w:rPr>
        <w:t>万元，</w:t>
      </w:r>
      <w:r>
        <w:rPr>
          <w:rFonts w:hint="eastAsia" w:ascii="仿宋" w:hAnsi="仿宋" w:eastAsia="仿宋" w:cs="仿宋"/>
          <w:sz w:val="32"/>
          <w:szCs w:val="32"/>
          <w:lang w:val="en-US" w:eastAsia="zh-CN"/>
        </w:rPr>
        <w:t>文史编撰经费8万元，委</w:t>
      </w:r>
      <w:r>
        <w:rPr>
          <w:rFonts w:hint="eastAsia" w:ascii="仿宋" w:hAnsi="仿宋" w:eastAsia="仿宋" w:cs="仿宋"/>
          <w:sz w:val="32"/>
          <w:szCs w:val="32"/>
          <w:lang w:eastAsia="zh-CN"/>
        </w:rPr>
        <w:t>员工作站等</w:t>
      </w:r>
      <w:r>
        <w:rPr>
          <w:rFonts w:hint="eastAsia" w:ascii="仿宋" w:hAnsi="仿宋" w:eastAsia="仿宋" w:cs="仿宋"/>
          <w:sz w:val="32"/>
          <w:szCs w:val="32"/>
          <w:lang w:val="en-US" w:eastAsia="zh-CN"/>
        </w:rPr>
        <w:t>6.98万元</w:t>
      </w:r>
      <w:r>
        <w:rPr>
          <w:rFonts w:hint="eastAsia" w:ascii="仿宋" w:hAnsi="仿宋" w:eastAsia="仿宋" w:cs="仿宋"/>
          <w:sz w:val="32"/>
          <w:szCs w:val="32"/>
        </w:rPr>
        <w:t>，</w:t>
      </w:r>
      <w:r>
        <w:rPr>
          <w:rFonts w:hint="eastAsia" w:ascii="仿宋" w:hAnsi="仿宋" w:eastAsia="仿宋" w:cs="仿宋"/>
          <w:sz w:val="32"/>
          <w:szCs w:val="32"/>
          <w:lang w:eastAsia="zh-CN"/>
        </w:rPr>
        <w:t>委员</w:t>
      </w:r>
      <w:r>
        <w:rPr>
          <w:rFonts w:hint="eastAsia" w:ascii="仿宋" w:hAnsi="仿宋" w:eastAsia="仿宋" w:cs="仿宋"/>
          <w:sz w:val="32"/>
          <w:szCs w:val="32"/>
        </w:rPr>
        <w:t>活动经费及报刊费项目预算安排</w:t>
      </w:r>
      <w:r>
        <w:rPr>
          <w:rFonts w:hint="eastAsia" w:ascii="仿宋" w:hAnsi="仿宋" w:eastAsia="仿宋" w:cs="仿宋"/>
          <w:sz w:val="32"/>
          <w:szCs w:val="32"/>
          <w:lang w:val="en-US" w:eastAsia="zh-CN"/>
        </w:rPr>
        <w:t>10.88</w:t>
      </w:r>
      <w:r>
        <w:rPr>
          <w:rFonts w:hint="eastAsia" w:ascii="仿宋" w:hAnsi="仿宋" w:eastAsia="仿宋" w:cs="仿宋"/>
          <w:sz w:val="32"/>
          <w:szCs w:val="32"/>
        </w:rPr>
        <w:t>万元。</w:t>
      </w:r>
    </w:p>
    <w:p w14:paraId="5A1C5D1D">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3B20B8B6">
      <w:pPr>
        <w:spacing w:line="240" w:lineRule="atLeast"/>
        <w:ind w:firstLine="643" w:firstLineChars="200"/>
        <w:rPr>
          <w:rFonts w:hint="default"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 xml:space="preserve"> </w:t>
      </w:r>
      <w:r>
        <w:rPr>
          <w:rFonts w:hint="eastAsia" w:ascii="仿宋" w:hAnsi="仿宋" w:eastAsia="仿宋" w:cs="仿宋"/>
          <w:sz w:val="32"/>
          <w:szCs w:val="32"/>
        </w:rPr>
        <w:t>我部门对项目资金执行封闭管理，专帐核算。具体支出由业务科室进行把关，科室负责人、主管领导、财务负责人进行集体会签，确保资金专款专用，及时高效。</w:t>
      </w:r>
    </w:p>
    <w:p w14:paraId="166BBEE3">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278039DD">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7EF66E38">
      <w:pPr>
        <w:pStyle w:val="13"/>
        <w:rPr>
          <w:rFonts w:hint="eastAsia" w:ascii="仿宋" w:hAnsi="仿宋" w:eastAsia="仿宋" w:cs="仿宋"/>
          <w:kern w:val="2"/>
          <w:sz w:val="32"/>
          <w:szCs w:val="32"/>
          <w:lang w:val="en-US" w:eastAsia="zh-CN" w:bidi="ar-SA"/>
        </w:rPr>
      </w:pPr>
      <w:r>
        <w:rPr>
          <w:rFonts w:hint="eastAsia" w:ascii="仿宋_GB2312" w:hAnsi="宋体" w:eastAsia="仿宋_GB2312" w:cs="宋体"/>
          <w:color w:val="000000"/>
          <w:kern w:val="0"/>
          <w:sz w:val="32"/>
          <w:szCs w:val="32"/>
        </w:rPr>
        <w:t>2025年，井陉县政协办公室围绕中心，服务大局，充分发挥政协办公室职能作用，组织学习、培训服务4次，培训人数达到98余人次；推荐非公有制经济人士参政议政，会员提案数达到政协大会提案30%；稳步推进组织建设，圆满完成年初既定绩效目标，运行理想。</w:t>
      </w:r>
    </w:p>
    <w:p w14:paraId="3DCDEFF8">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14:paraId="76BF507A">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（一）政协会议</w:t>
      </w:r>
    </w:p>
    <w:p w14:paraId="36CBEC96">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绩效目标：召开县政协大会1 次，县政协常委会会议4次，机关各部门根据工作需要召开会议。</w:t>
      </w:r>
    </w:p>
    <w:p w14:paraId="755F9191">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绩效指标：会议召开率、会议任务完成率 </w:t>
      </w:r>
    </w:p>
    <w:p w14:paraId="68C2B17E">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（二）参政议政，建言献策工作</w:t>
      </w:r>
    </w:p>
    <w:p w14:paraId="3BEBD297">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绩效目标：依法依规完成县政协委员参政议政，建言献策，社情民意的视察调研工作。</w:t>
      </w:r>
    </w:p>
    <w:p w14:paraId="0D7836F0">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绩效指标：工作完成率、任务实现率</w:t>
      </w:r>
    </w:p>
    <w:p w14:paraId="1FB0C8FB">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（三）政协委员工作</w:t>
      </w:r>
    </w:p>
    <w:p w14:paraId="47C92421">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绩效目标：按照工作需要，依法依规组织委员开展视察；开展田；组织对常委会组成人员及委员培训。</w:t>
      </w:r>
    </w:p>
    <w:p w14:paraId="3EF6C8EA">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  社情民意，提案调研任务完成率 、委员提案督办完成率、培训计划完成率</w:t>
      </w:r>
    </w:p>
    <w:p w14:paraId="5E58D496">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（四）政协事务管理</w:t>
      </w:r>
    </w:p>
    <w:p w14:paraId="5B4D01FB">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2025年县县政协机关工作思路，完成机关人事、财务、会务、接待、公文办理、党建、信访、宣传、纪检监察组及机关纪委、群团组织、离退休人员服务、信息化建设与维护、基础设施建设与维护、文印、后勤服务以及领导交办的其他工作，努力将县政协机关建设成为作风一流、业务一流、服务一流、纪律一流的工作机关和委员之家的机关。</w:t>
      </w:r>
    </w:p>
    <w:p w14:paraId="72E644CD">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绩效指标：工作任务完成率</w:t>
      </w:r>
    </w:p>
    <w:p w14:paraId="0B0FED15">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278EADB7">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w:t>
      </w:r>
      <w:r>
        <w:rPr>
          <w:rFonts w:hint="eastAsia" w:ascii="仿宋_GB2312" w:eastAsia="仿宋_GB2312"/>
          <w:sz w:val="32"/>
          <w:szCs w:val="32"/>
          <w:lang w:eastAsia="zh-CN"/>
        </w:rPr>
        <w:t>本年度项目专项资金绩效综合评分为</w:t>
      </w:r>
      <w:r>
        <w:rPr>
          <w:rFonts w:hint="eastAsia" w:ascii="仿宋_GB2312" w:eastAsia="仿宋_GB2312"/>
          <w:sz w:val="32"/>
          <w:szCs w:val="32"/>
          <w:lang w:val="en-US" w:eastAsia="zh-CN"/>
        </w:rPr>
        <w:t>96分，等级为优秀。</w:t>
      </w:r>
    </w:p>
    <w:p w14:paraId="13859F64">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20A103F6">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54286AF9">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（1）因作出一个专项资金的绩效评价结果需要一个较长过程，项目绩效结果在一个会计年度内未能得到很好的应用。</w:t>
      </w:r>
    </w:p>
    <w:p w14:paraId="243F3D97">
      <w:pPr>
        <w:numPr>
          <w:ilvl w:val="0"/>
          <w:numId w:val="0"/>
        </w:numPr>
        <w:ind w:firstLine="640" w:firstLineChars="200"/>
        <w:rPr>
          <w:rFonts w:hint="eastAsia" w:ascii="仿宋" w:hAnsi="仿宋" w:eastAsia="仿宋"/>
          <w:b/>
          <w:bCs/>
          <w:sz w:val="32"/>
          <w:szCs w:val="32"/>
        </w:rPr>
      </w:pPr>
      <w:r>
        <w:rPr>
          <w:rFonts w:hint="eastAsia" w:ascii="仿宋_GB2312" w:eastAsia="仿宋_GB2312"/>
          <w:b w:val="0"/>
          <w:bCs w:val="0"/>
          <w:sz w:val="32"/>
          <w:szCs w:val="32"/>
          <w:lang w:val="en-US" w:eastAsia="zh-CN"/>
        </w:rPr>
        <w:t>（2）尚未深入认识项目绩效管理工作，把其简单认同为单纯的财务工作，在实际操作过程中缺乏于业务部门的沟通协调。</w:t>
      </w:r>
    </w:p>
    <w:p w14:paraId="27304F06">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14:paraId="2F9B2FDC">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（1）分年度分阶段开展专项资金绩效评价，充分运用绩效评价结果，根据项目实施过程实际情况，适时调整运用。</w:t>
      </w:r>
    </w:p>
    <w:p w14:paraId="361A01FB">
      <w:pPr>
        <w:numPr>
          <w:ilvl w:val="0"/>
          <w:numId w:val="0"/>
        </w:numPr>
        <w:ind w:firstLine="640" w:firstLineChars="200"/>
        <w:rPr>
          <w:rFonts w:hint="eastAsia" w:ascii="仿宋" w:hAnsi="仿宋" w:eastAsia="仿宋"/>
          <w:b/>
          <w:bCs/>
          <w:sz w:val="32"/>
          <w:szCs w:val="32"/>
        </w:rPr>
      </w:pPr>
      <w:r>
        <w:rPr>
          <w:rFonts w:hint="eastAsia" w:ascii="仿宋_GB2312" w:eastAsia="仿宋_GB2312"/>
          <w:b w:val="0"/>
          <w:bCs w:val="0"/>
          <w:sz w:val="32"/>
          <w:szCs w:val="32"/>
          <w:lang w:val="en-US" w:eastAsia="zh-CN"/>
        </w:rPr>
        <w:t>（2）加强绩效管理制度建设，完善绩效管理体系，建立全过程的预算绩效管理机制，促进绩效管理工作向广度和深度延伸。</w:t>
      </w:r>
    </w:p>
    <w:p w14:paraId="5FECB4BF">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tbl>
      <w:tblPr>
        <w:tblStyle w:val="10"/>
        <w:tblW w:w="93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4060"/>
        <w:gridCol w:w="2555"/>
        <w:gridCol w:w="1500"/>
      </w:tblGrid>
      <w:tr w14:paraId="22E3E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2" w:type="dxa"/>
          </w:tcPr>
          <w:p w14:paraId="0541B4A0">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姓名</w:t>
            </w:r>
          </w:p>
        </w:tc>
        <w:tc>
          <w:tcPr>
            <w:tcW w:w="4060" w:type="dxa"/>
          </w:tcPr>
          <w:p w14:paraId="33EBAAC4">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工作单位</w:t>
            </w:r>
          </w:p>
        </w:tc>
        <w:tc>
          <w:tcPr>
            <w:tcW w:w="2555" w:type="dxa"/>
          </w:tcPr>
          <w:p w14:paraId="0B2B67E2">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职务</w:t>
            </w:r>
          </w:p>
        </w:tc>
        <w:tc>
          <w:tcPr>
            <w:tcW w:w="1500" w:type="dxa"/>
          </w:tcPr>
          <w:p w14:paraId="62938A04">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签字</w:t>
            </w:r>
          </w:p>
        </w:tc>
      </w:tr>
      <w:tr w14:paraId="6A521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9" w:hRule="atLeast"/>
        </w:trPr>
        <w:tc>
          <w:tcPr>
            <w:tcW w:w="1232" w:type="dxa"/>
          </w:tcPr>
          <w:p w14:paraId="6B5293F6">
            <w:pPr>
              <w:autoSpaceDE w:val="0"/>
              <w:autoSpaceDN w:val="0"/>
              <w:adjustRightInd w:val="0"/>
              <w:spacing w:line="240" w:lineRule="atLeast"/>
              <w:rPr>
                <w:rFonts w:hint="eastAsia" w:ascii="仿宋" w:hAnsi="仿宋" w:eastAsia="仿宋" w:cs="仿宋"/>
                <w:sz w:val="32"/>
                <w:szCs w:val="32"/>
                <w:lang w:eastAsia="zh-CN"/>
              </w:rPr>
            </w:pPr>
            <w:r>
              <w:rPr>
                <w:rFonts w:hint="eastAsia" w:ascii="仿宋" w:hAnsi="仿宋" w:eastAsia="仿宋" w:cs="仿宋"/>
                <w:sz w:val="32"/>
                <w:szCs w:val="32"/>
                <w:lang w:eastAsia="zh-CN"/>
              </w:rPr>
              <w:t>赵月平</w:t>
            </w:r>
          </w:p>
        </w:tc>
        <w:tc>
          <w:tcPr>
            <w:tcW w:w="4060" w:type="dxa"/>
          </w:tcPr>
          <w:p w14:paraId="032AD1D1">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井陉县</w:t>
            </w:r>
            <w:r>
              <w:rPr>
                <w:rFonts w:hint="eastAsia" w:ascii="仿宋" w:hAnsi="仿宋" w:eastAsia="仿宋" w:cs="仿宋"/>
                <w:sz w:val="32"/>
                <w:szCs w:val="32"/>
                <w:lang w:eastAsia="zh-CN"/>
              </w:rPr>
              <w:t>政协</w:t>
            </w:r>
            <w:r>
              <w:rPr>
                <w:rFonts w:hint="eastAsia" w:ascii="仿宋" w:hAnsi="仿宋" w:eastAsia="仿宋" w:cs="仿宋"/>
                <w:sz w:val="32"/>
                <w:szCs w:val="32"/>
              </w:rPr>
              <w:t>办公室</w:t>
            </w:r>
          </w:p>
        </w:tc>
        <w:tc>
          <w:tcPr>
            <w:tcW w:w="2555" w:type="dxa"/>
          </w:tcPr>
          <w:p w14:paraId="5497D425">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办公室主任</w:t>
            </w:r>
          </w:p>
        </w:tc>
        <w:tc>
          <w:tcPr>
            <w:tcW w:w="1500" w:type="dxa"/>
          </w:tcPr>
          <w:p w14:paraId="1C947B6D">
            <w:pPr>
              <w:autoSpaceDE w:val="0"/>
              <w:autoSpaceDN w:val="0"/>
              <w:adjustRightInd w:val="0"/>
              <w:spacing w:line="240" w:lineRule="atLeast"/>
              <w:rPr>
                <w:rFonts w:ascii="仿宋" w:hAnsi="仿宋" w:eastAsia="仿宋" w:cs="仿宋"/>
                <w:sz w:val="32"/>
                <w:szCs w:val="32"/>
              </w:rPr>
            </w:pPr>
          </w:p>
        </w:tc>
      </w:tr>
      <w:tr w14:paraId="66D75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trPr>
        <w:tc>
          <w:tcPr>
            <w:tcW w:w="1232" w:type="dxa"/>
          </w:tcPr>
          <w:p w14:paraId="746D6457">
            <w:pPr>
              <w:autoSpaceDE w:val="0"/>
              <w:autoSpaceDN w:val="0"/>
              <w:adjustRightInd w:val="0"/>
              <w:spacing w:line="240" w:lineRule="atLeast"/>
              <w:rPr>
                <w:rFonts w:hint="eastAsia" w:ascii="仿宋" w:hAnsi="仿宋" w:eastAsia="仿宋" w:cs="仿宋"/>
                <w:sz w:val="32"/>
                <w:szCs w:val="32"/>
                <w:lang w:eastAsia="zh-CN"/>
              </w:rPr>
            </w:pPr>
            <w:r>
              <w:rPr>
                <w:rFonts w:hint="eastAsia" w:ascii="仿宋" w:hAnsi="仿宋" w:eastAsia="仿宋" w:cs="仿宋"/>
                <w:sz w:val="32"/>
                <w:szCs w:val="32"/>
                <w:lang w:eastAsia="zh-CN"/>
              </w:rPr>
              <w:t>尹海滨</w:t>
            </w:r>
          </w:p>
        </w:tc>
        <w:tc>
          <w:tcPr>
            <w:tcW w:w="4060" w:type="dxa"/>
          </w:tcPr>
          <w:p w14:paraId="55C20DFF">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井陉县</w:t>
            </w:r>
            <w:r>
              <w:rPr>
                <w:rFonts w:hint="eastAsia" w:ascii="仿宋" w:hAnsi="仿宋" w:eastAsia="仿宋" w:cs="仿宋"/>
                <w:sz w:val="32"/>
                <w:szCs w:val="32"/>
                <w:lang w:eastAsia="zh-CN"/>
              </w:rPr>
              <w:t>政协</w:t>
            </w:r>
            <w:r>
              <w:rPr>
                <w:rFonts w:hint="eastAsia" w:ascii="仿宋" w:hAnsi="仿宋" w:eastAsia="仿宋" w:cs="仿宋"/>
                <w:sz w:val="32"/>
                <w:szCs w:val="32"/>
              </w:rPr>
              <w:t>办公室</w:t>
            </w:r>
          </w:p>
        </w:tc>
        <w:tc>
          <w:tcPr>
            <w:tcW w:w="2555" w:type="dxa"/>
          </w:tcPr>
          <w:p w14:paraId="014DDB58">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lang w:eastAsia="zh-CN"/>
              </w:rPr>
              <w:t>社会教育委</w:t>
            </w:r>
            <w:r>
              <w:rPr>
                <w:rFonts w:hint="eastAsia" w:ascii="仿宋" w:hAnsi="仿宋" w:eastAsia="仿宋" w:cs="仿宋"/>
                <w:sz w:val="32"/>
                <w:szCs w:val="32"/>
              </w:rPr>
              <w:t>主任</w:t>
            </w:r>
          </w:p>
        </w:tc>
        <w:tc>
          <w:tcPr>
            <w:tcW w:w="1500" w:type="dxa"/>
          </w:tcPr>
          <w:p w14:paraId="607D99ED">
            <w:pPr>
              <w:autoSpaceDE w:val="0"/>
              <w:autoSpaceDN w:val="0"/>
              <w:adjustRightInd w:val="0"/>
              <w:spacing w:line="240" w:lineRule="atLeast"/>
              <w:rPr>
                <w:rFonts w:ascii="仿宋" w:hAnsi="仿宋" w:eastAsia="仿宋" w:cs="仿宋"/>
                <w:sz w:val="32"/>
                <w:szCs w:val="32"/>
              </w:rPr>
            </w:pPr>
          </w:p>
        </w:tc>
      </w:tr>
      <w:tr w14:paraId="3C09E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trPr>
        <w:tc>
          <w:tcPr>
            <w:tcW w:w="1232" w:type="dxa"/>
          </w:tcPr>
          <w:p w14:paraId="65835BEA">
            <w:pPr>
              <w:autoSpaceDE w:val="0"/>
              <w:autoSpaceDN w:val="0"/>
              <w:adjustRightInd w:val="0"/>
              <w:spacing w:line="240" w:lineRule="atLeast"/>
              <w:rPr>
                <w:rFonts w:hint="eastAsia" w:ascii="仿宋" w:hAnsi="仿宋" w:eastAsia="仿宋" w:cs="仿宋"/>
                <w:sz w:val="32"/>
                <w:szCs w:val="32"/>
                <w:lang w:eastAsia="zh-CN"/>
              </w:rPr>
            </w:pPr>
            <w:r>
              <w:rPr>
                <w:rFonts w:hint="eastAsia" w:ascii="仿宋" w:hAnsi="仿宋" w:eastAsia="仿宋" w:cs="仿宋"/>
                <w:sz w:val="32"/>
                <w:szCs w:val="32"/>
                <w:lang w:eastAsia="zh-CN"/>
              </w:rPr>
              <w:t>蒋建平</w:t>
            </w:r>
          </w:p>
        </w:tc>
        <w:tc>
          <w:tcPr>
            <w:tcW w:w="4060" w:type="dxa"/>
          </w:tcPr>
          <w:p w14:paraId="1E44A3B2">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井陉县</w:t>
            </w:r>
            <w:r>
              <w:rPr>
                <w:rFonts w:hint="eastAsia" w:ascii="仿宋" w:hAnsi="仿宋" w:eastAsia="仿宋" w:cs="仿宋"/>
                <w:sz w:val="32"/>
                <w:szCs w:val="32"/>
                <w:lang w:eastAsia="zh-CN"/>
              </w:rPr>
              <w:t>政协</w:t>
            </w:r>
            <w:r>
              <w:rPr>
                <w:rFonts w:hint="eastAsia" w:ascii="仿宋" w:hAnsi="仿宋" w:eastAsia="仿宋" w:cs="仿宋"/>
                <w:sz w:val="32"/>
                <w:szCs w:val="32"/>
              </w:rPr>
              <w:t>办公室</w:t>
            </w:r>
          </w:p>
        </w:tc>
        <w:tc>
          <w:tcPr>
            <w:tcW w:w="2555" w:type="dxa"/>
          </w:tcPr>
          <w:p w14:paraId="7410B48B">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科员</w:t>
            </w:r>
          </w:p>
        </w:tc>
        <w:tc>
          <w:tcPr>
            <w:tcW w:w="1500" w:type="dxa"/>
          </w:tcPr>
          <w:p w14:paraId="2990112E">
            <w:pPr>
              <w:autoSpaceDE w:val="0"/>
              <w:autoSpaceDN w:val="0"/>
              <w:adjustRightInd w:val="0"/>
              <w:spacing w:line="240" w:lineRule="atLeast"/>
              <w:rPr>
                <w:rFonts w:ascii="仿宋" w:hAnsi="仿宋" w:eastAsia="仿宋" w:cs="仿宋"/>
                <w:sz w:val="32"/>
                <w:szCs w:val="32"/>
              </w:rPr>
            </w:pPr>
          </w:p>
        </w:tc>
      </w:tr>
    </w:tbl>
    <w:p w14:paraId="53778373">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roman"/>
    <w:pitch w:val="default"/>
    <w:sig w:usb0="00000000" w:usb1="00000000"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BC15D1">
    <w:pPr>
      <w:pStyle w:val="7"/>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406FE0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406FE0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7CD825C5"/>
    <w:multiLevelType w:val="singleLevel"/>
    <w:tmpl w:val="7CD825C5"/>
    <w:lvl w:ilvl="0" w:tentative="0">
      <w:start w:val="3"/>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ZTcwOTkyZTZlNDMxYmJmZGJmNWE4YzhjODJmNGEifQ=="/>
  </w:docVars>
  <w:rsids>
    <w:rsidRoot w:val="0EBD2122"/>
    <w:rsid w:val="007E6C1F"/>
    <w:rsid w:val="00AF566A"/>
    <w:rsid w:val="00B6553A"/>
    <w:rsid w:val="01341B75"/>
    <w:rsid w:val="01B104CA"/>
    <w:rsid w:val="02106AB0"/>
    <w:rsid w:val="02B43A28"/>
    <w:rsid w:val="04625862"/>
    <w:rsid w:val="046F331E"/>
    <w:rsid w:val="07956271"/>
    <w:rsid w:val="09721397"/>
    <w:rsid w:val="0BB63BED"/>
    <w:rsid w:val="0C060917"/>
    <w:rsid w:val="0EB97A43"/>
    <w:rsid w:val="0EBD2122"/>
    <w:rsid w:val="0F214EAE"/>
    <w:rsid w:val="11B71E6A"/>
    <w:rsid w:val="11D82F6D"/>
    <w:rsid w:val="11F53C0D"/>
    <w:rsid w:val="1AAF0063"/>
    <w:rsid w:val="1BE140DE"/>
    <w:rsid w:val="1D00429C"/>
    <w:rsid w:val="1D137C4C"/>
    <w:rsid w:val="228C548F"/>
    <w:rsid w:val="22BC5917"/>
    <w:rsid w:val="248C197D"/>
    <w:rsid w:val="252959AF"/>
    <w:rsid w:val="277A6671"/>
    <w:rsid w:val="292D35B7"/>
    <w:rsid w:val="2F7F698E"/>
    <w:rsid w:val="31D36636"/>
    <w:rsid w:val="32172F7C"/>
    <w:rsid w:val="33CE3D69"/>
    <w:rsid w:val="33EB6CFF"/>
    <w:rsid w:val="35A12947"/>
    <w:rsid w:val="37387040"/>
    <w:rsid w:val="37853359"/>
    <w:rsid w:val="3B625C0A"/>
    <w:rsid w:val="3C504FD2"/>
    <w:rsid w:val="3CEE1963"/>
    <w:rsid w:val="40DE37BA"/>
    <w:rsid w:val="45B6794D"/>
    <w:rsid w:val="4C9C27FE"/>
    <w:rsid w:val="512260B4"/>
    <w:rsid w:val="52BD6ACB"/>
    <w:rsid w:val="55537534"/>
    <w:rsid w:val="561A74F1"/>
    <w:rsid w:val="59295ADF"/>
    <w:rsid w:val="597244E8"/>
    <w:rsid w:val="5EB71C30"/>
    <w:rsid w:val="6014175D"/>
    <w:rsid w:val="66AF0CE5"/>
    <w:rsid w:val="681837C2"/>
    <w:rsid w:val="6AC537CF"/>
    <w:rsid w:val="6E5B14A6"/>
    <w:rsid w:val="6F730A21"/>
    <w:rsid w:val="711B255E"/>
    <w:rsid w:val="766D3E21"/>
    <w:rsid w:val="7BB51E06"/>
    <w:rsid w:val="7C387F7C"/>
    <w:rsid w:val="7E3B7487"/>
    <w:rsid w:val="7F411A00"/>
    <w:rsid w:val="7F9A60E4"/>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1">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2">
    <w:name w:val="Body Text"/>
    <w:basedOn w:val="1"/>
    <w:next w:val="3"/>
    <w:uiPriority w:val="0"/>
    <w:pPr>
      <w:widowControl/>
      <w:spacing w:before="100" w:beforeAutospacing="1" w:after="100" w:afterAutospacing="1"/>
      <w:jc w:val="left"/>
    </w:pPr>
    <w:rPr>
      <w:rFonts w:ascii="宋体" w:hAnsi="宋体" w:cs="宋体"/>
      <w:kern w:val="0"/>
      <w:sz w:val="24"/>
    </w:rPr>
  </w:style>
  <w:style w:type="paragraph" w:styleId="3">
    <w:name w:val="Body Text First Indent 2"/>
    <w:basedOn w:val="4"/>
    <w:next w:val="5"/>
    <w:qFormat/>
    <w:uiPriority w:val="0"/>
    <w:pPr>
      <w:spacing w:after="0" w:line="360" w:lineRule="auto"/>
      <w:ind w:left="0" w:leftChars="0" w:firstLine="420" w:firstLineChars="200"/>
      <w:textAlignment w:val="baseline"/>
    </w:pPr>
    <w:rPr>
      <w:rFonts w:hint="eastAsia" w:eastAsia="宋体"/>
      <w:sz w:val="24"/>
      <w:szCs w:val="24"/>
    </w:rPr>
  </w:style>
  <w:style w:type="paragraph" w:styleId="4">
    <w:name w:val="Body Text Indent"/>
    <w:basedOn w:val="1"/>
    <w:next w:val="3"/>
    <w:unhideWhenUsed/>
    <w:qFormat/>
    <w:uiPriority w:val="99"/>
    <w:pPr>
      <w:spacing w:after="120"/>
      <w:ind w:left="420" w:leftChars="200"/>
    </w:pPr>
  </w:style>
  <w:style w:type="paragraph" w:styleId="5">
    <w:name w:val="Body Text First Indent"/>
    <w:basedOn w:val="2"/>
    <w:next w:val="6"/>
    <w:qFormat/>
    <w:uiPriority w:val="0"/>
    <w:pPr>
      <w:ind w:firstLine="420" w:firstLineChars="100"/>
    </w:pPr>
  </w:style>
  <w:style w:type="paragraph" w:styleId="6">
    <w:name w:val="Normal Indent"/>
    <w:basedOn w:val="1"/>
    <w:unhideWhenUsed/>
    <w:qFormat/>
    <w:uiPriority w:val="0"/>
    <w:pPr>
      <w:ind w:firstLine="420" w:firstLineChars="200"/>
    </w:pPr>
    <w:rPr>
      <w:rFonts w:hint="eastAsia"/>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9">
    <w:name w:val="footnote text"/>
    <w:basedOn w:val="1"/>
    <w:qFormat/>
    <w:uiPriority w:val="0"/>
    <w:rPr>
      <w:sz w:val="20"/>
      <w:szCs w:val="20"/>
    </w:rPr>
  </w:style>
  <w:style w:type="paragraph" w:customStyle="1" w:styleId="12">
    <w:name w:val="插入文本样式-插入部门职责文件"/>
    <w:basedOn w:val="1"/>
    <w:qFormat/>
    <w:uiPriority w:val="99"/>
    <w:pPr>
      <w:spacing w:line="500" w:lineRule="exact"/>
      <w:ind w:firstLine="560"/>
    </w:pPr>
    <w:rPr>
      <w:rFonts w:eastAsia="方正仿宋_GBK"/>
      <w:sz w:val="28"/>
    </w:rPr>
  </w:style>
  <w:style w:type="paragraph" w:customStyle="1" w:styleId="1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正文-公1"/>
    <w:basedOn w:val="16"/>
    <w:next w:val="1"/>
    <w:qFormat/>
    <w:uiPriority w:val="0"/>
    <w:pPr>
      <w:ind w:firstLine="200" w:firstLineChars="200"/>
    </w:pPr>
  </w:style>
  <w:style w:type="paragraph" w:customStyle="1" w:styleId="16">
    <w:name w:val="正文 New New New New New New New New New New New New New New New New New New New New New New New New New New New New New New New New New New New New New New New New New New New New New New New New New New New New New New New New New New New New New New Ne"/>
    <w:next w:val="15"/>
    <w:qFormat/>
    <w:uiPriority w:val="0"/>
    <w:pPr>
      <w:widowControl w:val="0"/>
      <w:jc w:val="both"/>
    </w:pPr>
    <w:rPr>
      <w:rFonts w:ascii="Times New Roman" w:hAnsi="Times New Roman" w:eastAsia="宋体" w:cs="Times New Roman"/>
      <w:kern w:val="2"/>
      <w:sz w:val="21"/>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2485</Words>
  <Characters>2695</Characters>
  <Lines>7</Lines>
  <Paragraphs>2</Paragraphs>
  <TotalTime>16</TotalTime>
  <ScaleCrop>false</ScaleCrop>
  <LinksUpToDate>false</LinksUpToDate>
  <CharactersWithSpaces>2724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2023-07-19T06:54:00Z</cp:lastPrinted>
  <dcterms:modified xsi:type="dcterms:W3CDTF">2026-04-30T07:10:06Z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42E563D7211E473D85CB26B536519CC0</vt:lpwstr>
  </property>
  <property fmtid="{D5CDD505-2E9C-101B-9397-08002B2CF9AE}" pid="4" name="KSOTemplateDocerSaveRecord">
    <vt:lpwstr>eyJoZGlkIjoiZmNlYjhkODkzODVhZDQxZTIyOGFkZGVhMzBkNTUzZmEiLCJ1c2VySWQiOiIyNDgyNjgxOTkifQ==</vt:lpwstr>
  </property>
</Properties>
</file>