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AB0C45"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 w14:paraId="02913108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513DA490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井陉县南陉乡人民政府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 w14:paraId="00A7E299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0DC67C7C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1CE9AB8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贯彻落实市委市政府《关于全面落实预算绩效管理的实施意见》（石发﹝2019﹞8号）文件精神，遵循“科学性、规范性、客观性和公正性”的原则，对井陉县</w:t>
      </w:r>
      <w:r>
        <w:rPr>
          <w:rFonts w:hint="eastAsia" w:ascii="仿宋" w:hAnsi="仿宋" w:eastAsia="仿宋"/>
          <w:sz w:val="32"/>
          <w:szCs w:val="32"/>
          <w:lang w:eastAsia="zh-CN"/>
        </w:rPr>
        <w:t>南陉</w:t>
      </w:r>
      <w:r>
        <w:rPr>
          <w:rFonts w:hint="eastAsia" w:ascii="仿宋" w:hAnsi="仿宋" w:eastAsia="仿宋"/>
          <w:sz w:val="32"/>
          <w:szCs w:val="32"/>
        </w:rPr>
        <w:t>乡人民政府部门202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496ACA4F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72BC9931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731D636C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hint="eastAsia" w:ascii="仿宋" w:hAnsi="仿宋" w:eastAsia="仿宋" w:cs="Times New Roman"/>
          <w:bCs/>
          <w:sz w:val="32"/>
          <w:szCs w:val="32"/>
        </w:rPr>
        <w:t>完成上级各项工作的督导催办，处理机关日常事务，搞好文秘、档案管理、政务公开和机关后勤保障工作；负责相关党群单位的工作；抓好农村基层组织建设和民主政治建设。负责制定乡财政计划和经济发展规划；为招商引资、发展民营企业和第三产业提供服务；做好乡统计、审计工作；负责社会治安综合治理和司法工作；做好宗教工作，打击邪教；调处矛盾纠纷；做好群众来信来访、社会稳定等工作。负责精神文明和新农村建设，以及与各部门社会事务工作的指导服务和协调。</w:t>
      </w:r>
    </w:p>
    <w:p w14:paraId="42C17AAE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1</w:t>
      </w:r>
      <w:r>
        <w:rPr>
          <w:rFonts w:hint="eastAsia" w:ascii="仿宋" w:hAnsi="仿宋" w:eastAsia="仿宋" w:cs="Times New Roman"/>
          <w:bCs/>
          <w:sz w:val="32"/>
          <w:szCs w:val="32"/>
        </w:rPr>
        <w:t>、综合业务管理。负责人大代表议政、人代会，做好各项工作的迎查、考核完成乡财政计划和经济发展规划，做好统计、审计工作；做好与各职责部门的社会事务工作。</w:t>
      </w:r>
    </w:p>
    <w:p w14:paraId="2A0E70A9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2</w:t>
      </w:r>
      <w:r>
        <w:rPr>
          <w:rFonts w:hint="eastAsia" w:ascii="仿宋" w:hAnsi="仿宋" w:eastAsia="仿宋" w:cs="Times New Roman"/>
          <w:bCs/>
          <w:sz w:val="32"/>
          <w:szCs w:val="32"/>
        </w:rPr>
        <w:t>、综合事务管理。完成机关日常事务，搞好文秘、档案管理、政务公开和机关后勤保障工作。</w:t>
      </w:r>
    </w:p>
    <w:p w14:paraId="5751F63F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3</w:t>
      </w:r>
      <w:r>
        <w:rPr>
          <w:rFonts w:hint="eastAsia" w:ascii="仿宋" w:hAnsi="仿宋" w:eastAsia="仿宋" w:cs="Times New Roman"/>
          <w:bCs/>
          <w:sz w:val="32"/>
          <w:szCs w:val="32"/>
        </w:rPr>
        <w:t>、信访专项。做好信访工作，维护社会稳定。</w:t>
      </w:r>
    </w:p>
    <w:p w14:paraId="7AEC4B6A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hint="eastAsia" w:ascii="仿宋" w:hAnsi="仿宋" w:eastAsia="仿宋" w:cs="Times New Roman"/>
          <w:bCs/>
          <w:sz w:val="32"/>
          <w:szCs w:val="32"/>
        </w:rPr>
        <w:t>（二）农业综合服务</w:t>
      </w:r>
    </w:p>
    <w:p w14:paraId="08E03243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hint="eastAsia" w:ascii="仿宋" w:hAnsi="仿宋" w:eastAsia="仿宋" w:cs="Times New Roman"/>
          <w:bCs/>
          <w:sz w:val="32"/>
          <w:szCs w:val="32"/>
        </w:rPr>
        <w:t>负责配合农口部门（农、林、牧、水）做好农业技术服务和技术推广工作，动物防疫工作；加强农田水利基本建设，增强农业抗御自然灾害的能力，做好农村一事一议项目管理。</w:t>
      </w:r>
    </w:p>
    <w:p w14:paraId="6C44B581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1</w:t>
      </w:r>
      <w:r>
        <w:rPr>
          <w:rFonts w:hint="eastAsia" w:ascii="仿宋" w:hAnsi="仿宋" w:eastAsia="仿宋" w:cs="Times New Roman"/>
          <w:bCs/>
          <w:sz w:val="32"/>
          <w:szCs w:val="32"/>
        </w:rPr>
        <w:t>、农业专项。配合农业部门做好农业技术服务和技术推广及动物防疫，加强农业基本建设，增强农业抗御自然灾害的能力。</w:t>
      </w:r>
    </w:p>
    <w:p w14:paraId="72727E82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2</w:t>
      </w:r>
      <w:r>
        <w:rPr>
          <w:rFonts w:hint="eastAsia" w:ascii="仿宋" w:hAnsi="仿宋" w:eastAsia="仿宋" w:cs="Times New Roman"/>
          <w:bCs/>
          <w:sz w:val="32"/>
          <w:szCs w:val="32"/>
        </w:rPr>
        <w:t>、林业专项。配合林业部门做好林业技术服务和技术推广，做好森林培育和护林防火工作，年度内不发生一起火灾事故。</w:t>
      </w:r>
    </w:p>
    <w:p w14:paraId="46A70D1F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3</w:t>
      </w:r>
      <w:r>
        <w:rPr>
          <w:rFonts w:hint="eastAsia" w:ascii="仿宋" w:hAnsi="仿宋" w:eastAsia="仿宋" w:cs="Times New Roman"/>
          <w:bCs/>
          <w:sz w:val="32"/>
          <w:szCs w:val="32"/>
        </w:rPr>
        <w:t>、水利专项。配合水利部门做好农田水机基础设施建设、开展群众安全饮水项目。</w:t>
      </w:r>
    </w:p>
    <w:p w14:paraId="09AB9F60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4</w:t>
      </w:r>
      <w:r>
        <w:rPr>
          <w:rFonts w:hint="eastAsia" w:ascii="仿宋" w:hAnsi="仿宋" w:eastAsia="仿宋" w:cs="Times New Roman"/>
          <w:bCs/>
          <w:sz w:val="32"/>
          <w:szCs w:val="32"/>
        </w:rPr>
        <w:t>、一事一议专项。做好农村一事一议档案的统一管理、监督项目的运行情况、督促项目的及时完成及确保完成质量。</w:t>
      </w:r>
    </w:p>
    <w:p w14:paraId="60F44160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hint="eastAsia" w:ascii="仿宋" w:hAnsi="仿宋" w:eastAsia="仿宋" w:cs="Times New Roman"/>
          <w:bCs/>
          <w:sz w:val="32"/>
          <w:szCs w:val="32"/>
        </w:rPr>
        <w:t>（三）卫生计生服务。配合食品药品监督管理的协调、督导，做好新型农村合作医疗等卫生方面工作。负责计划生育技术服务及人口生育管理，负责育龄妇女普查、妇女病防治、四术及协会等项工作。</w:t>
      </w:r>
    </w:p>
    <w:p w14:paraId="608FD4EA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1</w:t>
      </w:r>
      <w:r>
        <w:rPr>
          <w:rFonts w:hint="eastAsia" w:ascii="仿宋" w:hAnsi="仿宋" w:eastAsia="仿宋" w:cs="Times New Roman"/>
          <w:bCs/>
          <w:sz w:val="32"/>
          <w:szCs w:val="32"/>
        </w:rPr>
        <w:t>、卫生专项。配合食品药品监督管理的协调、督导，做好新型农村合作医疗等卫生方面工作。</w:t>
      </w:r>
    </w:p>
    <w:p w14:paraId="64F2682F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2</w:t>
      </w:r>
      <w:r>
        <w:rPr>
          <w:rFonts w:hint="eastAsia" w:ascii="仿宋" w:hAnsi="仿宋" w:eastAsia="仿宋" w:cs="Times New Roman"/>
          <w:bCs/>
          <w:sz w:val="32"/>
          <w:szCs w:val="32"/>
        </w:rPr>
        <w:t>、计生专项。完成计划生育技术服务及人口生育管理，负责育龄妇女普查、妇女病防治、四术及协会等项工作。</w:t>
      </w:r>
    </w:p>
    <w:p w14:paraId="49731609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hint="eastAsia" w:ascii="仿宋" w:hAnsi="仿宋" w:eastAsia="仿宋" w:cs="Times New Roman"/>
          <w:bCs/>
          <w:sz w:val="32"/>
          <w:szCs w:val="32"/>
        </w:rPr>
        <w:t>（四</w:t>
      </w:r>
      <w:r>
        <w:rPr>
          <w:rFonts w:ascii="仿宋" w:hAnsi="仿宋" w:eastAsia="仿宋" w:cs="Times New Roman"/>
          <w:bCs/>
          <w:sz w:val="32"/>
          <w:szCs w:val="32"/>
        </w:rPr>
        <w:t>)</w:t>
      </w:r>
      <w:r>
        <w:rPr>
          <w:rFonts w:hint="eastAsia" w:ascii="仿宋" w:hAnsi="仿宋" w:eastAsia="仿宋" w:cs="Times New Roman"/>
          <w:bCs/>
          <w:sz w:val="32"/>
          <w:szCs w:val="32"/>
        </w:rPr>
        <w:t>文化综合服务。完成群众文化娱乐、体育活动、广播电视村村通等工作。</w:t>
      </w:r>
    </w:p>
    <w:p w14:paraId="12856252">
      <w:pPr>
        <w:ind w:firstLine="640" w:firstLineChars="200"/>
        <w:rPr>
          <w:rFonts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(</w:t>
      </w:r>
      <w:r>
        <w:rPr>
          <w:rFonts w:hint="eastAsia" w:ascii="仿宋" w:hAnsi="仿宋" w:eastAsia="仿宋" w:cs="Times New Roman"/>
          <w:bCs/>
          <w:sz w:val="32"/>
          <w:szCs w:val="32"/>
        </w:rPr>
        <w:t>五</w:t>
      </w:r>
      <w:r>
        <w:rPr>
          <w:rFonts w:ascii="仿宋" w:hAnsi="仿宋" w:eastAsia="仿宋" w:cs="Times New Roman"/>
          <w:bCs/>
          <w:sz w:val="32"/>
          <w:szCs w:val="32"/>
        </w:rPr>
        <w:t>)</w:t>
      </w:r>
      <w:r>
        <w:rPr>
          <w:rFonts w:hint="eastAsia" w:ascii="仿宋" w:hAnsi="仿宋" w:eastAsia="仿宋" w:cs="Times New Roman"/>
          <w:bCs/>
          <w:sz w:val="32"/>
          <w:szCs w:val="32"/>
        </w:rPr>
        <w:t>社会保障服务。配合劳动保障部门做好劳动法的宣传贯彻、劳动就业、社会保障等工作。配合安全生产监督管理部门做好安全生产监督管理等工作。</w:t>
      </w:r>
    </w:p>
    <w:p w14:paraId="7E36A85B">
      <w:pPr>
        <w:ind w:firstLine="640" w:firstLineChars="200"/>
        <w:rPr>
          <w:rFonts w:hint="eastAsia" w:ascii="仿宋" w:hAnsi="仿宋" w:eastAsia="仿宋" w:cs="Times New Roman"/>
          <w:bCs/>
          <w:sz w:val="32"/>
          <w:szCs w:val="32"/>
        </w:rPr>
      </w:pPr>
      <w:r>
        <w:rPr>
          <w:rFonts w:ascii="仿宋" w:hAnsi="仿宋" w:eastAsia="仿宋" w:cs="Times New Roman"/>
          <w:bCs/>
          <w:sz w:val="32"/>
          <w:szCs w:val="32"/>
        </w:rPr>
        <w:t>(</w:t>
      </w:r>
      <w:r>
        <w:rPr>
          <w:rFonts w:hint="eastAsia" w:ascii="仿宋" w:hAnsi="仿宋" w:eastAsia="仿宋" w:cs="Times New Roman"/>
          <w:bCs/>
          <w:sz w:val="32"/>
          <w:szCs w:val="32"/>
        </w:rPr>
        <w:t>六</w:t>
      </w:r>
      <w:r>
        <w:rPr>
          <w:rFonts w:ascii="仿宋" w:hAnsi="仿宋" w:eastAsia="仿宋" w:cs="Times New Roman"/>
          <w:bCs/>
          <w:sz w:val="32"/>
          <w:szCs w:val="32"/>
        </w:rPr>
        <w:t>)</w:t>
      </w:r>
      <w:r>
        <w:rPr>
          <w:rFonts w:hint="eastAsia" w:ascii="仿宋" w:hAnsi="仿宋" w:eastAsia="仿宋" w:cs="Times New Roman"/>
          <w:bCs/>
          <w:sz w:val="32"/>
          <w:szCs w:val="32"/>
        </w:rPr>
        <w:t>退役军人服务。做好信访接待、资料建档归类工作，做好退役军人自主就业先进典型及最美军嫂的表扬表彰工作，保障退伍军人合法权益的落实。</w:t>
      </w:r>
    </w:p>
    <w:p w14:paraId="03D53AC5">
      <w:pPr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ascii="仿宋" w:hAnsi="仿宋" w:eastAsia="仿宋" w:cs="Times New Roman"/>
          <w:sz w:val="32"/>
          <w:szCs w:val="32"/>
        </w:rPr>
        <w:t>人民武装部及工会、共青团、妇联等群团组织按有关章程和规定设置，在</w:t>
      </w:r>
      <w:r>
        <w:rPr>
          <w:rFonts w:hint="eastAsia" w:ascii="仿宋" w:hAnsi="仿宋" w:eastAsia="仿宋" w:cs="Times New Roman"/>
          <w:sz w:val="32"/>
          <w:szCs w:val="32"/>
          <w:lang w:eastAsia="zh-CN"/>
        </w:rPr>
        <w:t>乡</w:t>
      </w:r>
      <w:r>
        <w:rPr>
          <w:rFonts w:ascii="仿宋" w:hAnsi="仿宋" w:eastAsia="仿宋" w:cs="Times New Roman"/>
          <w:sz w:val="32"/>
          <w:szCs w:val="32"/>
        </w:rPr>
        <w:t>党委统一领导下开展工作。</w:t>
      </w:r>
    </w:p>
    <w:p w14:paraId="08C75BF4">
      <w:pPr>
        <w:ind w:firstLine="643" w:firstLineChars="200"/>
        <w:rPr>
          <w:rFonts w:ascii="仿宋" w:hAnsi="仿宋" w:eastAsia="仿宋" w:cs="Times New Roman"/>
          <w:b/>
          <w:sz w:val="32"/>
          <w:szCs w:val="32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>机构设置：</w:t>
      </w:r>
    </w:p>
    <w:p w14:paraId="0C512C12">
      <w:pPr>
        <w:jc w:val="center"/>
        <w:outlineLvl w:val="0"/>
        <w:rPr>
          <w:rFonts w:ascii="Times New Roman" w:hAnsi="Times New Roman" w:eastAsia="方正小标宋_GBK" w:cs="Times New Roman"/>
          <w:sz w:val="32"/>
          <w:szCs w:val="24"/>
        </w:rPr>
      </w:pPr>
      <w:r>
        <w:rPr>
          <w:rFonts w:ascii="Times New Roman" w:hAnsi="Times New Roman" w:eastAsia="方正小标宋_GBK" w:cs="Times New Roman"/>
          <w:sz w:val="32"/>
          <w:szCs w:val="24"/>
        </w:rPr>
        <w:t>部门</w:t>
      </w:r>
      <w:r>
        <w:rPr>
          <w:rFonts w:hint="eastAsia" w:ascii="Times New Roman" w:hAnsi="Times New Roman" w:eastAsia="方正小标宋_GBK" w:cs="Times New Roman"/>
          <w:sz w:val="32"/>
          <w:szCs w:val="24"/>
        </w:rPr>
        <w:t>机构设置情况</w:t>
      </w:r>
    </w:p>
    <w:tbl>
      <w:tblPr>
        <w:tblStyle w:val="5"/>
        <w:tblW w:w="972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1134"/>
        <w:gridCol w:w="1276"/>
        <w:gridCol w:w="2902"/>
      </w:tblGrid>
      <w:tr w14:paraId="3D1E9A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restart"/>
            <w:vAlign w:val="center"/>
          </w:tcPr>
          <w:p w14:paraId="734CC764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单位名称</w:t>
            </w:r>
          </w:p>
        </w:tc>
        <w:tc>
          <w:tcPr>
            <w:tcW w:w="1134" w:type="dxa"/>
            <w:vMerge w:val="restart"/>
            <w:vAlign w:val="center"/>
          </w:tcPr>
          <w:p w14:paraId="4212149C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单位性质</w:t>
            </w:r>
          </w:p>
        </w:tc>
        <w:tc>
          <w:tcPr>
            <w:tcW w:w="1276" w:type="dxa"/>
            <w:vMerge w:val="restart"/>
            <w:vAlign w:val="center"/>
          </w:tcPr>
          <w:p w14:paraId="1BF970E6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单位规格</w:t>
            </w:r>
          </w:p>
        </w:tc>
        <w:tc>
          <w:tcPr>
            <w:tcW w:w="2902" w:type="dxa"/>
            <w:vMerge w:val="restart"/>
            <w:vAlign w:val="center"/>
          </w:tcPr>
          <w:p w14:paraId="2E08880C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经费保障形式</w:t>
            </w:r>
          </w:p>
        </w:tc>
      </w:tr>
      <w:tr w14:paraId="3E62F42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17" w:type="dxa"/>
            <w:vMerge w:val="continue"/>
            <w:vAlign w:val="center"/>
          </w:tcPr>
          <w:p w14:paraId="48992FFC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60301B58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276" w:type="dxa"/>
            <w:vMerge w:val="continue"/>
            <w:vAlign w:val="center"/>
          </w:tcPr>
          <w:p w14:paraId="38F2F401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902" w:type="dxa"/>
            <w:vMerge w:val="continue"/>
            <w:vAlign w:val="center"/>
          </w:tcPr>
          <w:p w14:paraId="2430A266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1076C8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12CC89B4"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井陉县南陉乡人民政府</w:t>
            </w:r>
          </w:p>
        </w:tc>
        <w:tc>
          <w:tcPr>
            <w:tcW w:w="1134" w:type="dxa"/>
            <w:vAlign w:val="center"/>
          </w:tcPr>
          <w:p w14:paraId="58445C54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行政</w:t>
            </w:r>
          </w:p>
        </w:tc>
        <w:tc>
          <w:tcPr>
            <w:tcW w:w="1276" w:type="dxa"/>
            <w:vAlign w:val="center"/>
          </w:tcPr>
          <w:p w14:paraId="46F0CFCF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正科级</w:t>
            </w:r>
          </w:p>
        </w:tc>
        <w:tc>
          <w:tcPr>
            <w:tcW w:w="2902" w:type="dxa"/>
            <w:vAlign w:val="center"/>
          </w:tcPr>
          <w:p w14:paraId="31E709E4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财政拨款</w:t>
            </w:r>
          </w:p>
        </w:tc>
      </w:tr>
      <w:tr w14:paraId="4F6267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48877B30"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井陉县南陉乡综合行政执法队</w:t>
            </w:r>
          </w:p>
        </w:tc>
        <w:tc>
          <w:tcPr>
            <w:tcW w:w="1134" w:type="dxa"/>
            <w:vAlign w:val="center"/>
          </w:tcPr>
          <w:p w14:paraId="38B2AB40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vAlign w:val="center"/>
          </w:tcPr>
          <w:p w14:paraId="2EF4C21F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股</w:t>
            </w:r>
            <w:r>
              <w:rPr>
                <w:rFonts w:hint="eastAsia" w:ascii="方正书宋_GBK" w:eastAsia="方正书宋_GBK"/>
              </w:rPr>
              <w:t>级</w:t>
            </w:r>
          </w:p>
        </w:tc>
        <w:tc>
          <w:tcPr>
            <w:tcW w:w="2902" w:type="dxa"/>
            <w:vAlign w:val="center"/>
          </w:tcPr>
          <w:p w14:paraId="48A756F0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财政性资金</w:t>
            </w:r>
            <w:r>
              <w:rPr>
                <w:rFonts w:hint="eastAsia" w:ascii="方正书宋_GBK" w:eastAsia="方正书宋_GBK"/>
                <w:lang w:eastAsia="zh-CN"/>
              </w:rPr>
              <w:t>基本保障</w:t>
            </w:r>
          </w:p>
        </w:tc>
      </w:tr>
      <w:tr w14:paraId="76F5A2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5F64A475"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井陉县南陉乡行政综合服务中心</w:t>
            </w:r>
          </w:p>
        </w:tc>
        <w:tc>
          <w:tcPr>
            <w:tcW w:w="1134" w:type="dxa"/>
            <w:vAlign w:val="center"/>
          </w:tcPr>
          <w:p w14:paraId="36ED0D05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vAlign w:val="center"/>
          </w:tcPr>
          <w:p w14:paraId="7FC0085A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股</w:t>
            </w:r>
            <w:r>
              <w:rPr>
                <w:rFonts w:hint="eastAsia" w:ascii="方正书宋_GBK" w:eastAsia="方正书宋_GBK"/>
              </w:rPr>
              <w:t>级</w:t>
            </w:r>
          </w:p>
        </w:tc>
        <w:tc>
          <w:tcPr>
            <w:tcW w:w="2902" w:type="dxa"/>
            <w:vAlign w:val="center"/>
          </w:tcPr>
          <w:p w14:paraId="40161E4C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</w:tr>
      <w:tr w14:paraId="3E597A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0CC68C0D"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井陉县南陉乡农业综合服务中心</w:t>
            </w:r>
          </w:p>
        </w:tc>
        <w:tc>
          <w:tcPr>
            <w:tcW w:w="1134" w:type="dxa"/>
            <w:vAlign w:val="center"/>
          </w:tcPr>
          <w:p w14:paraId="1C5DC1AD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vAlign w:val="center"/>
          </w:tcPr>
          <w:p w14:paraId="043162C6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股</w:t>
            </w:r>
            <w:r>
              <w:rPr>
                <w:rFonts w:hint="eastAsia" w:ascii="方正书宋_GBK" w:eastAsia="方正书宋_GBK"/>
              </w:rPr>
              <w:t>级</w:t>
            </w:r>
          </w:p>
        </w:tc>
        <w:tc>
          <w:tcPr>
            <w:tcW w:w="2902" w:type="dxa"/>
            <w:vAlign w:val="center"/>
          </w:tcPr>
          <w:p w14:paraId="1BC60F9D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</w:tr>
      <w:tr w14:paraId="5E6761A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417" w:type="dxa"/>
            <w:vAlign w:val="center"/>
          </w:tcPr>
          <w:p w14:paraId="33503E97">
            <w:pPr>
              <w:spacing w:line="300" w:lineRule="exact"/>
              <w:jc w:val="left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井陉县南陉乡退役军人服务站</w:t>
            </w:r>
          </w:p>
        </w:tc>
        <w:tc>
          <w:tcPr>
            <w:tcW w:w="1134" w:type="dxa"/>
            <w:vAlign w:val="center"/>
          </w:tcPr>
          <w:p w14:paraId="42121E84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Times New Roman" w:hAnsi="Times New Roman" w:eastAsia="方正书宋_GBK" w:cs="Times New Roman"/>
                <w:szCs w:val="24"/>
              </w:rPr>
              <w:t>事业</w:t>
            </w:r>
          </w:p>
        </w:tc>
        <w:tc>
          <w:tcPr>
            <w:tcW w:w="1276" w:type="dxa"/>
            <w:vAlign w:val="center"/>
          </w:tcPr>
          <w:p w14:paraId="7BA08F67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  <w:lang w:eastAsia="zh-CN"/>
              </w:rPr>
              <w:t>股</w:t>
            </w:r>
            <w:r>
              <w:rPr>
                <w:rFonts w:hint="eastAsia" w:ascii="方正书宋_GBK" w:eastAsia="方正书宋_GBK"/>
              </w:rPr>
              <w:t>级</w:t>
            </w:r>
          </w:p>
        </w:tc>
        <w:tc>
          <w:tcPr>
            <w:tcW w:w="2902" w:type="dxa"/>
            <w:vAlign w:val="center"/>
          </w:tcPr>
          <w:p w14:paraId="53A908DD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</w:tr>
    </w:tbl>
    <w:p w14:paraId="3E906C9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 w14:paraId="63406649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08537164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</w:pPr>
      <w:bookmarkStart w:id="0" w:name="_GoBack"/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2025年度我部门预算收入总计为626.06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</w:rPr>
        <w:t>万元。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与2024年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633.48</w:t>
      </w: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万元相比减少7.42万元，总收入减少1.17%，主要因2025年我部门项目资金减少。</w:t>
      </w:r>
    </w:p>
    <w:p w14:paraId="6A40806D">
      <w:pPr>
        <w:pStyle w:val="2"/>
        <w:numPr>
          <w:ilvl w:val="0"/>
          <w:numId w:val="0"/>
        </w:numPr>
        <w:ind w:firstLine="640" w:firstLineChars="200"/>
        <w:rPr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  <w:lang w:val="en-US" w:eastAsia="zh-CN"/>
        </w:rPr>
        <w:t>2025年度我部门决算支出为1176.76元，与上年度642.08万元相比增加534.68万元，增加83.27%。主要因本年我部门今年较上年项目支出增加。</w:t>
      </w:r>
    </w:p>
    <w:bookmarkEnd w:id="0"/>
    <w:p w14:paraId="1BD9DB12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28044A01">
      <w:pPr>
        <w:widowControl w:val="0"/>
        <w:numPr>
          <w:ilvl w:val="0"/>
          <w:numId w:val="0"/>
        </w:numPr>
        <w:wordWrap/>
        <w:adjustRightInd w:val="0"/>
        <w:snapToGrid w:val="0"/>
        <w:spacing w:line="560" w:lineRule="exact"/>
        <w:ind w:leftChars="200" w:right="0" w:rightChars="0" w:firstLine="320" w:firstLineChars="100"/>
        <w:textAlignment w:val="auto"/>
        <w:outlineLvl w:val="9"/>
        <w:rPr>
          <w:rFonts w:hint="default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一、项目绩效目标完成情况</w:t>
      </w:r>
    </w:p>
    <w:p w14:paraId="685BA78E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202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" w:cs="Times New Roman"/>
          <w:sz w:val="32"/>
          <w:szCs w:val="32"/>
        </w:rPr>
        <w:t>年，坚持以习近平新时代中国特色社会主义思想为指导，认真落实县委、县政府的决策部署，围绕中心，服务大局，把握新常态，立足新形势，着眼新问题，以全面建设高质量财政、更好服务全镇高质量发展为主线，以加强党的建设为保证，奋力开创全镇财政改革发展新局面，努力为建设美丽井陉提供更加有力的支撑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1DDDE1E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1、机关事务管理</w:t>
      </w:r>
    </w:p>
    <w:p w14:paraId="53481E5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完成乡镇党委、政府各项工作的督导催办，处理机关日常事务，搞好文秘、档案管理、政务公开和机关后勤保障工作；负责相关党群单位的工作；抓好农村基层组织建设和民主政治建设。负责制定乡镇财政计划和经济发展规划；为招商引资、发展民营企业和第三产业提供服务；做好乡镇统计、审计工作；负责社会治安综合治理和司法工作；做好宗教工作，打击邪教；调处矛盾纠纷；做好群众来信来访、社会稳定等工作。负责精神文明和新农村建设，以及与各部门社会事务工作的指导服务和协调。</w:t>
      </w:r>
    </w:p>
    <w:p w14:paraId="2061F3EA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绩效指标：机关事务工作任务完成率</w:t>
      </w:r>
    </w:p>
    <w:p w14:paraId="2245A4F5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2、综合行政执法</w:t>
      </w:r>
    </w:p>
    <w:p w14:paraId="3E90B02D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绩效目标：做好城乡建设、生态环境、文化市场、农业农村、安全生产、民族宗教等领域行政执法工作；配合县直相关部门做好授权、委托事项之外的其它领域行政执法工作。</w:t>
      </w:r>
    </w:p>
    <w:p w14:paraId="69AC9A64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绩效指标：综合行政执法工作任务完成率</w:t>
      </w:r>
    </w:p>
    <w:p w14:paraId="70A7943E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3、行政综合服务</w:t>
      </w:r>
    </w:p>
    <w:p w14:paraId="79ED114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做好行政审批服务事项的受理、办理工作，提供政策和业务咨询；指导村(社区)便民服务点建设。做好开展群众文化艺术娱乐、体育活动工作，做好文化市场进行监督、巡查工作，做好文物普查、保护和开发利用工作，指导村(社区)文化室建设、文体设施规划建设。</w:t>
      </w:r>
    </w:p>
    <w:p w14:paraId="5797B3BE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绩效指标：行政综合服务工作任务完成率</w:t>
      </w:r>
    </w:p>
    <w:p w14:paraId="04D9F9B5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4、农业综合服务</w:t>
      </w:r>
    </w:p>
    <w:p w14:paraId="1F571AA0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绩效目标：负责配合农口部门（农、林、牧、水）做好农业技术服务和技术推广工作，动物防疫工作；加强农田水利基本建设，增强农业抗御自然灾害的能力；做好农村一事一议项目管理。</w:t>
      </w:r>
    </w:p>
    <w:p w14:paraId="59D0B1EE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绩效指标：农业综合服务工作任务完成率</w:t>
      </w:r>
    </w:p>
    <w:p w14:paraId="56B8FD9C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5、退役军人服务</w:t>
      </w:r>
    </w:p>
    <w:p w14:paraId="0D10B4C8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绩效目标：健全各项制度机制，全面精准摸底完善建档立卡，建立镇村信息平台；落实安置和帮扶措施，做好困难军人的救助、社保、和就业创业工作；建立常态走访慰问机制。</w:t>
      </w:r>
    </w:p>
    <w:p w14:paraId="2F3E3315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绩效指标：退役军人工作任务完成率</w:t>
      </w:r>
    </w:p>
    <w:p w14:paraId="21127025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二</w:t>
      </w:r>
      <w:r>
        <w:rPr>
          <w:rFonts w:hint="eastAsia" w:ascii="仿宋" w:hAnsi="仿宋" w:eastAsia="仿宋"/>
          <w:sz w:val="32"/>
          <w:szCs w:val="32"/>
          <w:highlight w:val="none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highlight w:val="none"/>
        </w:rPr>
        <w:t>本单位整体支出绩效目标实现情况</w:t>
      </w:r>
    </w:p>
    <w:tbl>
      <w:tblPr>
        <w:tblStyle w:val="5"/>
        <w:tblW w:w="904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1585"/>
        <w:gridCol w:w="2550"/>
        <w:gridCol w:w="1410"/>
        <w:gridCol w:w="1457"/>
        <w:gridCol w:w="1397"/>
      </w:tblGrid>
      <w:tr w14:paraId="4BF0A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90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491F4D">
            <w:pPr>
              <w:widowControl/>
              <w:jc w:val="center"/>
              <w:rPr>
                <w:rFonts w:ascii="等线" w:hAnsi="宋体" w:eastAsia="等线" w:cs="宋体"/>
                <w:b/>
                <w:bCs/>
                <w:color w:val="000000"/>
                <w:kern w:val="0"/>
                <w:sz w:val="36"/>
                <w:szCs w:val="36"/>
              </w:rPr>
            </w:pPr>
            <w:r>
              <w:rPr>
                <w:rFonts w:hint="eastAsia" w:ascii="等线" w:hAnsi="宋体" w:eastAsia="等线" w:cs="宋体"/>
                <w:b/>
                <w:bCs/>
                <w:color w:val="000000"/>
                <w:kern w:val="0"/>
                <w:sz w:val="36"/>
                <w:szCs w:val="36"/>
              </w:rPr>
              <w:t>20</w:t>
            </w:r>
            <w:r>
              <w:rPr>
                <w:rFonts w:hint="eastAsia" w:ascii="等线" w:hAnsi="宋体" w:eastAsia="等线" w:cs="宋体"/>
                <w:b/>
                <w:bCs/>
                <w:color w:val="000000"/>
                <w:kern w:val="0"/>
                <w:sz w:val="36"/>
                <w:szCs w:val="36"/>
                <w:lang w:val="en-US" w:eastAsia="zh-CN"/>
              </w:rPr>
              <w:t>25</w:t>
            </w:r>
            <w:r>
              <w:rPr>
                <w:rFonts w:hint="eastAsia" w:ascii="等线" w:hAnsi="宋体" w:eastAsia="等线" w:cs="宋体"/>
                <w:b/>
                <w:bCs/>
                <w:color w:val="000000"/>
                <w:kern w:val="0"/>
                <w:sz w:val="36"/>
                <w:szCs w:val="36"/>
              </w:rPr>
              <w:t>年</w:t>
            </w:r>
            <w:r>
              <w:rPr>
                <w:rFonts w:hint="eastAsia" w:ascii="等线" w:hAnsi="宋体" w:eastAsia="等线" w:cs="宋体"/>
                <w:b/>
                <w:bCs/>
                <w:color w:val="000000"/>
                <w:kern w:val="0"/>
                <w:sz w:val="36"/>
                <w:szCs w:val="36"/>
                <w:lang w:eastAsia="zh-CN"/>
              </w:rPr>
              <w:t>南陉</w:t>
            </w:r>
            <w:r>
              <w:rPr>
                <w:rFonts w:ascii="等线" w:hAnsi="宋体" w:eastAsia="等线" w:cs="宋体"/>
                <w:b/>
                <w:bCs/>
                <w:color w:val="000000"/>
                <w:kern w:val="0"/>
                <w:sz w:val="36"/>
                <w:szCs w:val="36"/>
              </w:rPr>
              <w:t>乡</w:t>
            </w:r>
            <w:r>
              <w:rPr>
                <w:rFonts w:hint="eastAsia" w:ascii="等线" w:hAnsi="宋体" w:eastAsia="等线" w:cs="宋体"/>
                <w:b/>
                <w:bCs/>
                <w:color w:val="000000"/>
                <w:kern w:val="0"/>
                <w:sz w:val="36"/>
                <w:szCs w:val="36"/>
              </w:rPr>
              <w:t>项目目标绩效情况表</w:t>
            </w:r>
          </w:p>
        </w:tc>
      </w:tr>
      <w:tr w14:paraId="689CE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4F1F1F">
            <w:pPr>
              <w:widowControl/>
              <w:jc w:val="center"/>
              <w:rPr>
                <w:rFonts w:hint="eastAsia" w:ascii="等线" w:hAnsi="宋体" w:eastAsia="等线" w:cs="宋体"/>
                <w:b/>
                <w:bCs/>
                <w:color w:val="000000"/>
                <w:kern w:val="0"/>
                <w:sz w:val="36"/>
                <w:szCs w:val="36"/>
              </w:rPr>
            </w:pPr>
          </w:p>
        </w:tc>
        <w:tc>
          <w:tcPr>
            <w:tcW w:w="15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E38F67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A6DBE3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13E9EF"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2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7F57E3">
            <w:pPr>
              <w:widowControl/>
              <w:jc w:val="center"/>
              <w:rPr>
                <w:rFonts w:ascii="等线" w:hAnsi="宋体" w:eastAsia="等线" w:cs="宋体"/>
                <w:color w:val="000000"/>
                <w:kern w:val="0"/>
                <w:sz w:val="22"/>
              </w:rPr>
            </w:pPr>
            <w:r>
              <w:rPr>
                <w:rFonts w:hint="eastAsia" w:ascii="等线" w:hAnsi="宋体" w:eastAsia="等线" w:cs="宋体"/>
                <w:color w:val="000000"/>
                <w:kern w:val="0"/>
                <w:sz w:val="22"/>
              </w:rPr>
              <w:t>单位：</w:t>
            </w:r>
            <w:r>
              <w:rPr>
                <w:rFonts w:hint="eastAsia" w:ascii="等线" w:hAnsi="宋体" w:eastAsia="等线" w:cs="宋体"/>
                <w:color w:val="000000"/>
                <w:kern w:val="0"/>
                <w:sz w:val="22"/>
                <w:lang w:eastAsia="zh-CN"/>
              </w:rPr>
              <w:t>万</w:t>
            </w:r>
            <w:r>
              <w:rPr>
                <w:rFonts w:hint="eastAsia" w:ascii="等线" w:hAnsi="宋体" w:eastAsia="等线" w:cs="宋体"/>
                <w:color w:val="000000"/>
                <w:kern w:val="0"/>
                <w:sz w:val="22"/>
              </w:rPr>
              <w:t>元</w:t>
            </w:r>
          </w:p>
        </w:tc>
      </w:tr>
      <w:tr w14:paraId="74C22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64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7BA6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585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812AC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预算单位</w:t>
            </w:r>
          </w:p>
        </w:tc>
        <w:tc>
          <w:tcPr>
            <w:tcW w:w="25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EEBF65F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141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D0079B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财政拨款</w:t>
            </w:r>
          </w:p>
        </w:tc>
        <w:tc>
          <w:tcPr>
            <w:tcW w:w="145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6B3CA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单位实际支出</w:t>
            </w:r>
          </w:p>
        </w:tc>
        <w:tc>
          <w:tcPr>
            <w:tcW w:w="1397" w:type="dxa"/>
            <w:vMerge w:val="restart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AC3489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支出进度%</w:t>
            </w:r>
          </w:p>
        </w:tc>
      </w:tr>
      <w:tr w14:paraId="5AED8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64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51396"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85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90DE83"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nil"/>
            </w:tcBorders>
            <w:vAlign w:val="center"/>
          </w:tcPr>
          <w:p w14:paraId="66EA8F88"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DAB45F"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5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E2B7A5"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7" w:type="dxa"/>
            <w:vMerge w:val="continue"/>
            <w:tcBorders>
              <w:top w:val="single" w:color="auto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 w14:paraId="0051D39B"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 w14:paraId="257E3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6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1ECB6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5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33FD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0CA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信访稳定经费</w:t>
            </w:r>
          </w:p>
        </w:tc>
        <w:tc>
          <w:tcPr>
            <w:tcW w:w="1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91DB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3.86743</w:t>
            </w:r>
          </w:p>
        </w:tc>
        <w:tc>
          <w:tcPr>
            <w:tcW w:w="14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DF3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3.86743</w:t>
            </w:r>
          </w:p>
        </w:tc>
        <w:tc>
          <w:tcPr>
            <w:tcW w:w="1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9A7EAB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126B2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6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6F0CE7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4C56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46E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乡镇文化站免费开放运转经费</w:t>
            </w:r>
          </w:p>
        </w:tc>
        <w:tc>
          <w:tcPr>
            <w:tcW w:w="1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2D02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14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700F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1.5</w:t>
            </w:r>
          </w:p>
        </w:tc>
        <w:tc>
          <w:tcPr>
            <w:tcW w:w="1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F5DFD2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4D40F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</w:trPr>
        <w:tc>
          <w:tcPr>
            <w:tcW w:w="6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FF9292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15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CCA9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D94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团委工作经费</w:t>
            </w:r>
          </w:p>
        </w:tc>
        <w:tc>
          <w:tcPr>
            <w:tcW w:w="1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D587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4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5A53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48D069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5BA47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CFA9DB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5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8DD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E9C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南陉乡2025年劳务派遣人员经费</w:t>
            </w:r>
          </w:p>
        </w:tc>
        <w:tc>
          <w:tcPr>
            <w:tcW w:w="1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9E0D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22.91052</w:t>
            </w:r>
          </w:p>
        </w:tc>
        <w:tc>
          <w:tcPr>
            <w:tcW w:w="14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2A81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22.91052</w:t>
            </w:r>
          </w:p>
        </w:tc>
        <w:tc>
          <w:tcPr>
            <w:tcW w:w="1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751B79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4D625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B8313A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5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F2B1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13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冀财教[2024]109号提前下达2025年公共图书馆、美术馆、文化馆（站）免费开放补助资金</w:t>
            </w:r>
          </w:p>
        </w:tc>
        <w:tc>
          <w:tcPr>
            <w:tcW w:w="14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8449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45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726E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E78E1C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  <w:tr w14:paraId="396501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1E0096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914D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7E1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2025年下沉工作队经费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58D3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2943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BC56C5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0A1F9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1B7A14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0FC4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6E9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2025年交通道路占地补偿款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37B7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47.54184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4B9B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47.54184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40FD0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775FB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DBFC2F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205D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964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优化生育经费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3139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0.46662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DC52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0.46662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E1DF35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46031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DB18F3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4F5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C96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绿化经费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6BD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color w:val="auto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4.5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AD32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4.5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1100B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0F19C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AC429F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72B0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EC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冀财社[2024]161号关于提前下达2025年中央财政困难群众救助补助资金预算的通知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6296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0.2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FEF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0.2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DF22E5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57EAE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1FBFB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AAFF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D46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冀财教[2024]149号提前下达2025年省级公共图书馆、美术馆、文化馆（站）免费开放补助资金预算的通知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948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0.5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D0A7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.5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BC44E7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3012C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1DCC6D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FAA0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CD7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基层武装经费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0F9A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7532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97986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5DE28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E5E48E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900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227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环境整治经费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6C25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5D27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8A62B7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37816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855BB1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F556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D16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护林防火经费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B66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47F8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E7471D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6BE22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2FB174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786C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1E0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办公楼取暖经费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E0F2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E0B2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1C588D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6EBF3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32D72">
            <w:pPr>
              <w:widowControl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92F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04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井陉县南陉乡人民政府偿还拖欠企业账款项目（第五批）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0A59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25.3918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B547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25.3918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46CAE9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1A1942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5989F1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F959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FF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井陉县南陉乡人民政府偿还拖欠企业账款项目（第十一批）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6BD3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9.141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4E3A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9.141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537377">
            <w:pPr>
              <w:widowControl/>
              <w:jc w:val="both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109F6C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812C0">
            <w:pPr>
              <w:widowControl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216BE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09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井陉县南陉乡人民政府偿还拖欠企业账款项目（第六批、第六批补充）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13E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22.7249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1C82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22.7249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CC0280">
            <w:pPr>
              <w:widowControl/>
              <w:jc w:val="both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7EEEE3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5323D1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612D43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A1A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冀财农[2024]109号关于提前下达2025年省级农村综合改革转移支付预算的通知(农村公益事业建设奖补)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AFF7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6541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47.853466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933F2">
            <w:pPr>
              <w:widowControl/>
              <w:jc w:val="both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99.69</w:t>
            </w:r>
          </w:p>
        </w:tc>
      </w:tr>
      <w:tr w14:paraId="565F1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7A0CFD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59351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16"/>
                <w:szCs w:val="16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F0A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冀财教[2025]44号2025年中央支持地方公共文化服务体系建设补助资金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F778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8B2A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3C6879">
            <w:pPr>
              <w:widowControl/>
              <w:jc w:val="both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1C14A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82DC3A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21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76384">
            <w:pPr>
              <w:widowControl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01D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冀财建【2025】114号河北省财政厅关于下达以工代赈2025年第三批中央基建投资预算的通知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92C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448.34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135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425.985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6DA3BE">
            <w:pPr>
              <w:widowControl/>
              <w:jc w:val="both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/>
              </w:rPr>
              <w:t>95.0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</w:t>
            </w:r>
          </w:p>
        </w:tc>
      </w:tr>
      <w:tr w14:paraId="5BED9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4D98B2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22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9886BC">
            <w:pPr>
              <w:widowControl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98B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南陉乡2025年三支一扶志愿者生活补贴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639F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0.1004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158E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0.1004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3D5DFA">
            <w:pPr>
              <w:widowControl/>
              <w:jc w:val="both"/>
              <w:rPr>
                <w:rFonts w:hint="default" w:ascii="宋体" w:hAnsi="宋体" w:eastAsia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100</w:t>
            </w:r>
          </w:p>
        </w:tc>
      </w:tr>
      <w:tr w14:paraId="7F15A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</w:trPr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237B8">
            <w:pPr>
              <w:widowControl/>
              <w:jc w:val="center"/>
              <w:rPr>
                <w:rFonts w:hint="default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23</w:t>
            </w:r>
          </w:p>
        </w:tc>
        <w:tc>
          <w:tcPr>
            <w:tcW w:w="15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31376A">
            <w:pPr>
              <w:widowControl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井陉县南陉乡人民政府</w:t>
            </w:r>
          </w:p>
        </w:tc>
        <w:tc>
          <w:tcPr>
            <w:tcW w:w="2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3C2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维持机关基本运转经费</w:t>
            </w:r>
          </w:p>
        </w:tc>
        <w:tc>
          <w:tcPr>
            <w:tcW w:w="1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8E52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4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572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</w:t>
            </w:r>
          </w:p>
        </w:tc>
        <w:tc>
          <w:tcPr>
            <w:tcW w:w="1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7FF40F">
            <w:pPr>
              <w:widowControl/>
              <w:jc w:val="both"/>
              <w:rPr>
                <w:rFonts w:hint="default" w:ascii="宋体" w:hAnsi="宋体" w:cs="宋体"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49A9506B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</w:p>
    <w:p w14:paraId="1877D3E8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C4E5901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D7AA574">
      <w:pPr>
        <w:autoSpaceDE w:val="0"/>
        <w:autoSpaceDN w:val="0"/>
        <w:adjustRightInd w:val="0"/>
        <w:ind w:firstLine="480" w:firstLineChars="15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评价工作要求，全面收集评价所需基础信息资料（包括被评价单位的基本概况、财政资金的使用情况和绩效自评资料等），对资料进行分类整理、审查和分析。到项目实施现场勘察、核实所掌握的有关信息资料，满足评价工作需要。按照工作方案确定的评价指标体系、评价标准和评价方法，依据所收集的资料，对评价对象的绩效情况进行量、定性分析和综合评价，形成评价结论。</w:t>
      </w:r>
    </w:p>
    <w:p w14:paraId="4664086A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0D19B17D">
      <w:pPr>
        <w:pStyle w:val="2"/>
      </w:pPr>
      <w:r>
        <w:rPr>
          <w:rFonts w:hint="eastAsia" w:ascii="仿宋" w:hAnsi="仿宋" w:eastAsia="仿宋"/>
          <w:sz w:val="32"/>
          <w:szCs w:val="32"/>
        </w:rPr>
        <w:t>采取业务科室汇报相关科室进行效果评价的办法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5A5408D7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4DB4AA25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19A068AE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20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25</w:t>
      </w:r>
      <w:r>
        <w:rPr>
          <w:rFonts w:hint="eastAsia" w:ascii="Times New Roman" w:hAnsi="Times New Roman" w:eastAsia="仿宋" w:cs="Times New Roman"/>
          <w:sz w:val="32"/>
          <w:szCs w:val="32"/>
        </w:rPr>
        <w:t>年，坚持以习近平新时代中国特色社会主义思想为指导，认真落实县委、县政府的决策部署，围绕中心，服务大局，把握新常态，立足新形势，着眼新问题，以全面建设高质量财政、更好服务全镇高质量发展为主线，以加强党的建设为保证，奋力开创全镇财政改革发展新局面，努力为建设美丽井陉提供更加有力的支撑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 w14:paraId="03F53196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76A7AE9E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1、机关事务管理</w:t>
      </w:r>
    </w:p>
    <w:p w14:paraId="7B5BCDE3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目标：完成乡镇党委、政府各项工作的督导催办，处理机关日常事务，搞好文秘、档案管理、政务公开和机关后勤保障工作；负责相关党群单位的工作；抓好农村基层组织建设和民主政治建设。负责制定乡镇财政计划和经济发展规划；为招商引资、发展民营企业和第三产业提供服务；做好乡镇统计、审计工作；负责社会治安综合治理和司法工作；做好宗教工作，打击邪教；调处矛盾纠纷；做好群众来信来访、社会稳定等工作。负责精神文明和新农村建设，以及与各部门社会事务工作的指导服务和协调。</w:t>
      </w:r>
    </w:p>
    <w:p w14:paraId="28B504FD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绩效指标：机关事务工作任务完成率</w:t>
      </w:r>
    </w:p>
    <w:p w14:paraId="6B662E5B">
      <w:pPr>
        <w:numPr>
          <w:ilvl w:val="0"/>
          <w:numId w:val="4"/>
        </w:num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综合行政执法</w:t>
      </w:r>
    </w:p>
    <w:p w14:paraId="45703BFC">
      <w:pPr>
        <w:numPr>
          <w:ilvl w:val="0"/>
          <w:numId w:val="0"/>
        </w:numPr>
        <w:autoSpaceDE w:val="0"/>
        <w:autoSpaceDN w:val="0"/>
        <w:adjustRightInd w:val="0"/>
        <w:jc w:val="left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" w:cs="Times New Roman"/>
          <w:sz w:val="32"/>
          <w:szCs w:val="32"/>
        </w:rPr>
        <w:t>绩效目标：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做好城乡建设、生态环境、文化市场、农业农村、安全生产、民族宗教等领域行政执法工作；配合县直相关部门做好授权、委托事项之外的其它领域行政执法工作。</w:t>
      </w:r>
    </w:p>
    <w:p w14:paraId="1F7D472A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综合行政执法</w:t>
      </w:r>
      <w:r>
        <w:rPr>
          <w:rFonts w:hint="eastAsia" w:ascii="Times New Roman" w:hAnsi="Times New Roman" w:eastAsia="仿宋" w:cs="Times New Roman"/>
          <w:sz w:val="32"/>
          <w:szCs w:val="32"/>
        </w:rPr>
        <w:t>工作任务完成率</w:t>
      </w:r>
    </w:p>
    <w:p w14:paraId="4F3FEE31">
      <w:pPr>
        <w:numPr>
          <w:ilvl w:val="0"/>
          <w:numId w:val="4"/>
        </w:numPr>
        <w:autoSpaceDE w:val="0"/>
        <w:autoSpaceDN w:val="0"/>
        <w:adjustRightInd w:val="0"/>
        <w:ind w:left="198" w:leftChars="0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行政综合服务</w:t>
      </w:r>
    </w:p>
    <w:p w14:paraId="74E70FFA">
      <w:pPr>
        <w:numPr>
          <w:ilvl w:val="0"/>
          <w:numId w:val="0"/>
        </w:numPr>
        <w:autoSpaceDE w:val="0"/>
        <w:autoSpaceDN w:val="0"/>
        <w:adjustRightInd w:val="0"/>
        <w:jc w:val="left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" w:cs="Times New Roman"/>
          <w:sz w:val="32"/>
          <w:szCs w:val="32"/>
        </w:rPr>
        <w:t>绩效目标：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做好行政审批服务事项的受理、办理工作，提供政策和业务咨询；指导村(社区)便民服务点建设。做好开展群众文化艺术娱乐、体育活动工作，做好文化市场进行监督、巡查工作，做好文物普查、保护和开发利用工作，指导村(社区)文化室建设、文体设施规划建设。</w:t>
      </w:r>
    </w:p>
    <w:p w14:paraId="412BBB42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行政综合服务</w:t>
      </w:r>
      <w:r>
        <w:rPr>
          <w:rFonts w:hint="eastAsia" w:ascii="Times New Roman" w:hAnsi="Times New Roman" w:eastAsia="仿宋" w:cs="Times New Roman"/>
          <w:sz w:val="32"/>
          <w:szCs w:val="32"/>
        </w:rPr>
        <w:t>工作任务完成率</w:t>
      </w:r>
    </w:p>
    <w:p w14:paraId="28667605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" w:cs="Times New Roman"/>
          <w:sz w:val="32"/>
          <w:szCs w:val="32"/>
        </w:rPr>
        <w:t>、农业综合服务</w:t>
      </w:r>
    </w:p>
    <w:p w14:paraId="655BCDDC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绩效目标：负责配合农口部门（农、林、牧、水）做好农业技术服务和技术推广工作，动物防疫工作；加强农田水利基本建设，增强农业抗御自然灾害的能力；做好农村一事一议项目管理。</w:t>
      </w:r>
    </w:p>
    <w:p w14:paraId="50DA28F9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农业综合服务</w:t>
      </w:r>
      <w:r>
        <w:rPr>
          <w:rFonts w:hint="eastAsia" w:ascii="Times New Roman" w:hAnsi="Times New Roman" w:eastAsia="仿宋" w:cs="Times New Roman"/>
          <w:sz w:val="32"/>
          <w:szCs w:val="32"/>
        </w:rPr>
        <w:t>工作任务完成率</w:t>
      </w:r>
    </w:p>
    <w:p w14:paraId="588C2D0A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" w:cs="Times New Roman"/>
          <w:sz w:val="32"/>
          <w:szCs w:val="32"/>
        </w:rPr>
        <w:t>、退役军人服务</w:t>
      </w:r>
    </w:p>
    <w:p w14:paraId="174CE439"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绩效目标：健全各项制度机制，全面精准摸底完善建档立卡，建立镇村信息平台；落实安置和帮扶措施，做好困难军人的救助、社保、和就业创业工作；建立常态走访慰问机制。</w:t>
      </w:r>
    </w:p>
    <w:p w14:paraId="41ADEB25">
      <w:pPr>
        <w:autoSpaceDE w:val="0"/>
        <w:autoSpaceDN w:val="0"/>
        <w:adjustRightInd w:val="0"/>
        <w:ind w:left="198"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绩效指标：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退役军人</w:t>
      </w:r>
      <w:r>
        <w:rPr>
          <w:rFonts w:hint="eastAsia" w:ascii="Times New Roman" w:hAnsi="Times New Roman" w:eastAsia="仿宋" w:cs="Times New Roman"/>
          <w:sz w:val="32"/>
          <w:szCs w:val="32"/>
        </w:rPr>
        <w:t>工作任务完成率</w:t>
      </w:r>
    </w:p>
    <w:p w14:paraId="1BEF9AA0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76860035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根据项目执行情况和项目绩效情况，总得分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91.3</w:t>
      </w:r>
      <w:r>
        <w:rPr>
          <w:rFonts w:hint="eastAsia" w:ascii="仿宋" w:hAnsi="仿宋" w:eastAsia="仿宋"/>
          <w:sz w:val="32"/>
          <w:szCs w:val="32"/>
          <w:lang w:eastAsia="zh-CN"/>
        </w:rPr>
        <w:t>分，得出综合评价等级为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优秀</w:t>
      </w:r>
      <w:r>
        <w:rPr>
          <w:rFonts w:hint="eastAsia" w:ascii="仿宋" w:hAnsi="仿宋" w:eastAsia="仿宋"/>
          <w:sz w:val="32"/>
          <w:szCs w:val="32"/>
        </w:rPr>
        <w:t>。</w:t>
      </w:r>
    </w:p>
    <w:p w14:paraId="26B1E0A8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854FE71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69F6AD2D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</w:pPr>
      <w:r>
        <w:rPr>
          <w:rFonts w:hint="eastAsia" w:ascii="仿宋" w:hAnsi="仿宋" w:eastAsia="仿宋"/>
          <w:sz w:val="32"/>
          <w:szCs w:val="32"/>
        </w:rPr>
        <w:t>各项目有序开展实施，</w:t>
      </w:r>
      <w:r>
        <w:rPr>
          <w:rFonts w:hint="eastAsia" w:ascii="仿宋" w:hAnsi="仿宋" w:eastAsia="仿宋"/>
          <w:sz w:val="32"/>
          <w:szCs w:val="32"/>
          <w:lang w:eastAsia="zh-CN"/>
        </w:rPr>
        <w:t>大部分</w:t>
      </w:r>
      <w:r>
        <w:rPr>
          <w:rFonts w:hint="eastAsia" w:ascii="仿宋" w:hAnsi="仿宋" w:eastAsia="仿宋"/>
          <w:sz w:val="32"/>
          <w:szCs w:val="32"/>
        </w:rPr>
        <w:t>项目取得了预期效果，但是有些项目进度缓慢。</w:t>
      </w:r>
    </w:p>
    <w:p w14:paraId="20C0AC33">
      <w:pPr>
        <w:numPr>
          <w:ilvl w:val="0"/>
          <w:numId w:val="3"/>
        </w:numPr>
        <w:spacing w:line="560" w:lineRule="exact"/>
        <w:ind w:left="0" w:leftChars="0"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483B212F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</w:pPr>
      <w:r>
        <w:rPr>
          <w:rFonts w:hint="eastAsia" w:ascii="仿宋" w:hAnsi="仿宋" w:eastAsia="仿宋"/>
          <w:sz w:val="32"/>
          <w:szCs w:val="32"/>
          <w:lang w:eastAsia="zh-CN"/>
        </w:rPr>
        <w:t>针对各项目逐一突破，</w:t>
      </w:r>
      <w:r>
        <w:rPr>
          <w:rFonts w:hint="eastAsia" w:ascii="仿宋" w:hAnsi="仿宋" w:eastAsia="仿宋"/>
          <w:sz w:val="32"/>
          <w:szCs w:val="32"/>
        </w:rPr>
        <w:t>与对</w:t>
      </w:r>
      <w:r>
        <w:rPr>
          <w:rFonts w:hint="eastAsia" w:ascii="仿宋" w:hAnsi="仿宋" w:eastAsia="仿宋"/>
          <w:sz w:val="32"/>
          <w:szCs w:val="32"/>
          <w:lang w:eastAsia="zh-CN"/>
        </w:rPr>
        <w:t>应</w:t>
      </w:r>
      <w:r>
        <w:rPr>
          <w:rFonts w:hint="eastAsia" w:ascii="仿宋" w:hAnsi="仿宋" w:eastAsia="仿宋"/>
          <w:sz w:val="32"/>
          <w:szCs w:val="32"/>
        </w:rPr>
        <w:t>科室</w:t>
      </w:r>
      <w:r>
        <w:rPr>
          <w:rFonts w:hint="eastAsia" w:ascii="仿宋" w:hAnsi="仿宋" w:eastAsia="仿宋"/>
          <w:sz w:val="32"/>
          <w:szCs w:val="32"/>
          <w:lang w:eastAsia="zh-CN"/>
        </w:rPr>
        <w:t>及时进行</w:t>
      </w:r>
      <w:r>
        <w:rPr>
          <w:rFonts w:hint="eastAsia" w:ascii="仿宋" w:hAnsi="仿宋" w:eastAsia="仿宋"/>
          <w:sz w:val="32"/>
          <w:szCs w:val="32"/>
        </w:rPr>
        <w:t>沟通</w:t>
      </w:r>
      <w:r>
        <w:rPr>
          <w:rFonts w:hint="eastAsia" w:ascii="仿宋" w:hAnsi="仿宋" w:eastAsia="仿宋"/>
          <w:sz w:val="32"/>
          <w:szCs w:val="32"/>
          <w:lang w:eastAsia="zh-CN"/>
        </w:rPr>
        <w:t>，制定计划，按进度表推进</w:t>
      </w:r>
      <w:r>
        <w:rPr>
          <w:rFonts w:hint="eastAsia" w:ascii="仿宋" w:hAnsi="仿宋" w:eastAsia="仿宋"/>
          <w:sz w:val="32"/>
          <w:szCs w:val="32"/>
        </w:rPr>
        <w:t>项目的建设，确保按时按质按量的完成年初预算绩效指标。</w:t>
      </w:r>
    </w:p>
    <w:p w14:paraId="2A90543F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</w:t>
      </w:r>
      <w:r>
        <w:rPr>
          <w:rFonts w:hint="eastAsia" w:ascii="黑体" w:hAnsi="黑体" w:eastAsia="黑体"/>
          <w:sz w:val="32"/>
          <w:szCs w:val="32"/>
          <w:highlight w:val="none"/>
        </w:rPr>
        <w:t>评价工作组人员名单及签字</w:t>
      </w:r>
    </w:p>
    <w:tbl>
      <w:tblPr>
        <w:tblStyle w:val="5"/>
        <w:tblpPr w:leftFromText="180" w:rightFromText="180" w:vertAnchor="text" w:horzAnchor="page" w:tblpX="2152" w:tblpY="361"/>
        <w:tblOverlap w:val="never"/>
        <w:tblW w:w="734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5"/>
        <w:gridCol w:w="3315"/>
        <w:gridCol w:w="1180"/>
        <w:gridCol w:w="1476"/>
      </w:tblGrid>
      <w:tr w14:paraId="63F2D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6AA0639E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</w:rPr>
              <w:t>姓名</w:t>
            </w:r>
          </w:p>
        </w:tc>
        <w:tc>
          <w:tcPr>
            <w:tcW w:w="3315" w:type="dxa"/>
          </w:tcPr>
          <w:p w14:paraId="1376EC9E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</w:rPr>
              <w:t>工作单位</w:t>
            </w:r>
          </w:p>
        </w:tc>
        <w:tc>
          <w:tcPr>
            <w:tcW w:w="1180" w:type="dxa"/>
          </w:tcPr>
          <w:p w14:paraId="30EA0A84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</w:rPr>
              <w:t>职务</w:t>
            </w:r>
          </w:p>
        </w:tc>
        <w:tc>
          <w:tcPr>
            <w:tcW w:w="1476" w:type="dxa"/>
          </w:tcPr>
          <w:p w14:paraId="73B7B178">
            <w:pPr>
              <w:spacing w:line="600" w:lineRule="exact"/>
              <w:rPr>
                <w:rFonts w:ascii="方正仿宋简体" w:hAnsi="方正仿宋简体" w:eastAsia="方正仿宋简体" w:cs="方正仿宋简体"/>
                <w:sz w:val="32"/>
                <w:szCs w:val="32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2"/>
                <w:szCs w:val="32"/>
              </w:rPr>
              <w:t>签字</w:t>
            </w:r>
          </w:p>
        </w:tc>
      </w:tr>
      <w:tr w14:paraId="73CE1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1375" w:type="dxa"/>
          </w:tcPr>
          <w:p w14:paraId="6CA1431E">
            <w:pPr>
              <w:spacing w:line="600" w:lineRule="exact"/>
              <w:rPr>
                <w:rFonts w:hint="eastAsia" w:ascii="楷体_GB2312" w:hAnsi="楷体_GB2312" w:eastAsia="楷体_GB2312"/>
                <w:sz w:val="32"/>
                <w:szCs w:val="32"/>
                <w:lang w:eastAsia="zh-CN"/>
              </w:rPr>
            </w:pPr>
            <w:r>
              <w:rPr>
                <w:rFonts w:hint="eastAsia" w:ascii="楷体_GB2312" w:hAnsi="楷体_GB2312" w:eastAsia="楷体_GB2312"/>
                <w:sz w:val="32"/>
                <w:szCs w:val="32"/>
              </w:rPr>
              <w:t>刘</w:t>
            </w:r>
            <w:r>
              <w:rPr>
                <w:rFonts w:hint="eastAsia" w:ascii="楷体_GB2312" w:hAnsi="楷体_GB2312" w:eastAsia="楷体_GB2312"/>
                <w:sz w:val="32"/>
                <w:szCs w:val="32"/>
                <w:lang w:eastAsia="zh-CN"/>
              </w:rPr>
              <w:t>盼</w:t>
            </w:r>
          </w:p>
        </w:tc>
        <w:tc>
          <w:tcPr>
            <w:tcW w:w="3315" w:type="dxa"/>
          </w:tcPr>
          <w:p w14:paraId="16470A08">
            <w:pPr>
              <w:spacing w:line="600" w:lineRule="exact"/>
              <w:rPr>
                <w:rFonts w:ascii="楷体_GB2312" w:hAnsi="楷体_GB2312" w:eastAsia="楷体_GB2312"/>
                <w:sz w:val="30"/>
                <w:szCs w:val="30"/>
              </w:rPr>
            </w:pPr>
            <w:r>
              <w:rPr>
                <w:rFonts w:hint="eastAsia" w:ascii="楷体_GB2312" w:hAnsi="楷体_GB2312" w:eastAsia="楷体_GB2312"/>
                <w:sz w:val="30"/>
                <w:szCs w:val="30"/>
                <w:lang w:eastAsia="zh-CN"/>
              </w:rPr>
              <w:t>井陉县</w:t>
            </w:r>
            <w:r>
              <w:rPr>
                <w:rFonts w:hint="eastAsia" w:ascii="楷体_GB2312" w:hAnsi="楷体_GB2312" w:eastAsia="楷体_GB2312"/>
                <w:sz w:val="30"/>
                <w:szCs w:val="30"/>
              </w:rPr>
              <w:t>南陉乡人民政府</w:t>
            </w:r>
          </w:p>
        </w:tc>
        <w:tc>
          <w:tcPr>
            <w:tcW w:w="1180" w:type="dxa"/>
          </w:tcPr>
          <w:p w14:paraId="0E7074DB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  <w:r>
              <w:rPr>
                <w:rFonts w:hint="eastAsia" w:ascii="楷体_GB2312" w:hAnsi="楷体_GB2312" w:eastAsia="楷体_GB2312"/>
                <w:sz w:val="32"/>
                <w:szCs w:val="32"/>
              </w:rPr>
              <w:t>副书记</w:t>
            </w:r>
          </w:p>
        </w:tc>
        <w:tc>
          <w:tcPr>
            <w:tcW w:w="1476" w:type="dxa"/>
          </w:tcPr>
          <w:p w14:paraId="7919AD3D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</w:p>
        </w:tc>
      </w:tr>
      <w:tr w14:paraId="43BE1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</w:trPr>
        <w:tc>
          <w:tcPr>
            <w:tcW w:w="1375" w:type="dxa"/>
          </w:tcPr>
          <w:p w14:paraId="1B6D591E">
            <w:pPr>
              <w:spacing w:line="600" w:lineRule="exact"/>
              <w:rPr>
                <w:rFonts w:hint="eastAsia" w:ascii="楷体_GB2312" w:hAnsi="楷体_GB2312" w:eastAsia="楷体_GB2312"/>
                <w:sz w:val="32"/>
                <w:szCs w:val="32"/>
                <w:lang w:eastAsia="zh-CN"/>
              </w:rPr>
            </w:pPr>
            <w:r>
              <w:rPr>
                <w:rFonts w:hint="eastAsia" w:ascii="楷体_GB2312" w:hAnsi="楷体_GB2312" w:eastAsia="楷体_GB2312"/>
                <w:sz w:val="32"/>
                <w:szCs w:val="32"/>
                <w:lang w:eastAsia="zh-CN"/>
              </w:rPr>
              <w:t>刘静</w:t>
            </w:r>
          </w:p>
        </w:tc>
        <w:tc>
          <w:tcPr>
            <w:tcW w:w="3315" w:type="dxa"/>
            <w:vAlign w:val="top"/>
          </w:tcPr>
          <w:p w14:paraId="3CA8ADD9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  <w:r>
              <w:rPr>
                <w:rFonts w:hint="eastAsia" w:ascii="楷体_GB2312" w:hAnsi="楷体_GB2312" w:eastAsia="楷体_GB2312"/>
                <w:sz w:val="30"/>
                <w:szCs w:val="30"/>
                <w:lang w:eastAsia="zh-CN"/>
              </w:rPr>
              <w:t>井陉县</w:t>
            </w:r>
            <w:r>
              <w:rPr>
                <w:rFonts w:hint="eastAsia" w:ascii="楷体_GB2312" w:hAnsi="楷体_GB2312" w:eastAsia="楷体_GB2312"/>
                <w:sz w:val="30"/>
                <w:szCs w:val="30"/>
              </w:rPr>
              <w:t>南陉乡人民政府</w:t>
            </w:r>
          </w:p>
        </w:tc>
        <w:tc>
          <w:tcPr>
            <w:tcW w:w="1180" w:type="dxa"/>
          </w:tcPr>
          <w:p w14:paraId="50D0FF5C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  <w:r>
              <w:rPr>
                <w:rFonts w:hint="eastAsia" w:ascii="楷体_GB2312" w:hAnsi="楷体_GB2312" w:eastAsia="楷体_GB2312"/>
                <w:sz w:val="32"/>
                <w:szCs w:val="32"/>
              </w:rPr>
              <w:t>会计</w:t>
            </w:r>
          </w:p>
        </w:tc>
        <w:tc>
          <w:tcPr>
            <w:tcW w:w="1476" w:type="dxa"/>
          </w:tcPr>
          <w:p w14:paraId="4B0AC9C7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</w:p>
        </w:tc>
      </w:tr>
      <w:tr w14:paraId="1DE9D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375" w:type="dxa"/>
          </w:tcPr>
          <w:p w14:paraId="0E55F961">
            <w:pPr>
              <w:spacing w:line="600" w:lineRule="exact"/>
              <w:rPr>
                <w:rFonts w:hint="eastAsia" w:ascii="楷体_GB2312" w:hAnsi="楷体_GB2312" w:eastAsia="楷体_GB2312"/>
                <w:sz w:val="32"/>
                <w:szCs w:val="32"/>
                <w:lang w:eastAsia="zh-CN"/>
              </w:rPr>
            </w:pPr>
            <w:r>
              <w:rPr>
                <w:rFonts w:hint="eastAsia" w:ascii="楷体_GB2312" w:hAnsi="楷体_GB2312" w:eastAsia="楷体_GB2312"/>
                <w:sz w:val="32"/>
                <w:szCs w:val="32"/>
                <w:lang w:eastAsia="zh-CN"/>
              </w:rPr>
              <w:t>李玲玉</w:t>
            </w:r>
          </w:p>
        </w:tc>
        <w:tc>
          <w:tcPr>
            <w:tcW w:w="3315" w:type="dxa"/>
            <w:vAlign w:val="top"/>
          </w:tcPr>
          <w:p w14:paraId="452B1BA6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  <w:r>
              <w:rPr>
                <w:rFonts w:hint="eastAsia" w:ascii="楷体_GB2312" w:hAnsi="楷体_GB2312" w:eastAsia="楷体_GB2312"/>
                <w:sz w:val="30"/>
                <w:szCs w:val="30"/>
                <w:lang w:eastAsia="zh-CN"/>
              </w:rPr>
              <w:t>井陉县</w:t>
            </w:r>
            <w:r>
              <w:rPr>
                <w:rFonts w:hint="eastAsia" w:ascii="楷体_GB2312" w:hAnsi="楷体_GB2312" w:eastAsia="楷体_GB2312"/>
                <w:sz w:val="30"/>
                <w:szCs w:val="30"/>
              </w:rPr>
              <w:t>南陉乡人民政府</w:t>
            </w:r>
          </w:p>
        </w:tc>
        <w:tc>
          <w:tcPr>
            <w:tcW w:w="1180" w:type="dxa"/>
          </w:tcPr>
          <w:p w14:paraId="22DC8D05">
            <w:pPr>
              <w:spacing w:line="600" w:lineRule="exact"/>
              <w:rPr>
                <w:rFonts w:hint="eastAsia" w:ascii="楷体_GB2312" w:hAnsi="楷体_GB2312" w:eastAsia="楷体_GB2312"/>
                <w:sz w:val="32"/>
                <w:szCs w:val="32"/>
                <w:lang w:eastAsia="zh-CN"/>
              </w:rPr>
            </w:pPr>
            <w:r>
              <w:rPr>
                <w:rFonts w:hint="eastAsia" w:ascii="楷体_GB2312" w:hAnsi="楷体_GB2312" w:eastAsia="楷体_GB2312"/>
                <w:sz w:val="32"/>
                <w:szCs w:val="32"/>
                <w:lang w:eastAsia="zh-CN"/>
              </w:rPr>
              <w:t>会计</w:t>
            </w:r>
          </w:p>
        </w:tc>
        <w:tc>
          <w:tcPr>
            <w:tcW w:w="1476" w:type="dxa"/>
          </w:tcPr>
          <w:p w14:paraId="1C385521">
            <w:pPr>
              <w:spacing w:line="600" w:lineRule="exact"/>
              <w:rPr>
                <w:rFonts w:ascii="楷体_GB2312" w:hAnsi="楷体_GB2312" w:eastAsia="楷体_GB2312"/>
                <w:sz w:val="32"/>
                <w:szCs w:val="32"/>
              </w:rPr>
            </w:pPr>
          </w:p>
        </w:tc>
      </w:tr>
    </w:tbl>
    <w:p w14:paraId="3939D36A">
      <w:pPr>
        <w:tabs>
          <w:tab w:val="left" w:pos="639"/>
        </w:tabs>
        <w:bidi w:val="0"/>
        <w:jc w:val="left"/>
        <w:rPr>
          <w:rFonts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 w14:paraId="73E5063A">
      <w:pPr>
        <w:bidi w:val="0"/>
        <w:rPr>
          <w:rFonts w:ascii="Calibri" w:hAnsi="Calibri" w:eastAsia="宋体" w:cs="黑体"/>
          <w:kern w:val="2"/>
          <w:sz w:val="21"/>
          <w:szCs w:val="22"/>
          <w:lang w:val="en-US" w:eastAsia="zh-CN" w:bidi="ar-SA"/>
        </w:rPr>
      </w:pPr>
    </w:p>
    <w:p w14:paraId="0506967C">
      <w:pPr>
        <w:bidi w:val="0"/>
        <w:rPr>
          <w:lang w:val="en-US" w:eastAsia="zh-CN"/>
        </w:rPr>
      </w:pPr>
    </w:p>
    <w:p w14:paraId="15CFD96C">
      <w:pPr>
        <w:bidi w:val="0"/>
        <w:rPr>
          <w:lang w:val="en-US" w:eastAsia="zh-CN"/>
        </w:rPr>
      </w:pPr>
    </w:p>
    <w:p w14:paraId="4724979A">
      <w:pPr>
        <w:bidi w:val="0"/>
        <w:rPr>
          <w:lang w:val="en-US" w:eastAsia="zh-CN"/>
        </w:rPr>
      </w:pPr>
    </w:p>
    <w:p w14:paraId="2C53D36B">
      <w:pPr>
        <w:bidi w:val="0"/>
        <w:rPr>
          <w:lang w:val="en-US" w:eastAsia="zh-CN"/>
        </w:rPr>
      </w:pPr>
    </w:p>
    <w:p w14:paraId="697C6C54">
      <w:pPr>
        <w:bidi w:val="0"/>
        <w:rPr>
          <w:lang w:val="en-US" w:eastAsia="zh-CN"/>
        </w:rPr>
      </w:pPr>
    </w:p>
    <w:p w14:paraId="3784C303">
      <w:pPr>
        <w:bidi w:val="0"/>
        <w:rPr>
          <w:lang w:val="en-US" w:eastAsia="zh-CN"/>
        </w:rPr>
      </w:pPr>
    </w:p>
    <w:p w14:paraId="45676DAF">
      <w:pPr>
        <w:bidi w:val="0"/>
        <w:rPr>
          <w:lang w:val="en-US" w:eastAsia="zh-CN"/>
        </w:rPr>
      </w:pPr>
    </w:p>
    <w:p w14:paraId="27071C80">
      <w:pPr>
        <w:bidi w:val="0"/>
        <w:rPr>
          <w:lang w:val="en-US" w:eastAsia="zh-CN"/>
        </w:rPr>
      </w:pPr>
    </w:p>
    <w:p w14:paraId="0065E2B3">
      <w:pPr>
        <w:bidi w:val="0"/>
        <w:rPr>
          <w:lang w:val="en-US" w:eastAsia="zh-CN"/>
        </w:rPr>
      </w:pPr>
    </w:p>
    <w:p w14:paraId="4F294905">
      <w:pPr>
        <w:bidi w:val="0"/>
        <w:jc w:val="center"/>
        <w:rPr>
          <w:lang w:val="en-US" w:eastAsia="zh-CN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书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roman"/>
    <w:pitch w:val="default"/>
    <w:sig w:usb0="A00002BF" w:usb1="38CF7CFA" w:usb2="00000016" w:usb3="00000000" w:csb0="0004000F" w:csb1="00000000"/>
  </w:font>
  <w:font w:name="方正仿宋简体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591294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07D8F5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07D8F5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933636"/>
    <w:multiLevelType w:val="singleLevel"/>
    <w:tmpl w:val="9B93363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3">
    <w:nsid w:val="605A984F"/>
    <w:multiLevelType w:val="singleLevel"/>
    <w:tmpl w:val="605A984F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gxMzVhZTBlNDUyZWUxNDVhMjNkN2E1NjFlOTE5NDcifQ=="/>
  </w:docVars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987FE8"/>
    <w:rsid w:val="01B104CA"/>
    <w:rsid w:val="02106AB0"/>
    <w:rsid w:val="02555ED9"/>
    <w:rsid w:val="02B43A28"/>
    <w:rsid w:val="02EB05EB"/>
    <w:rsid w:val="03031491"/>
    <w:rsid w:val="03555A65"/>
    <w:rsid w:val="03575C81"/>
    <w:rsid w:val="03B24C65"/>
    <w:rsid w:val="03CD1A9F"/>
    <w:rsid w:val="042A0CA0"/>
    <w:rsid w:val="046F331E"/>
    <w:rsid w:val="054B711F"/>
    <w:rsid w:val="05917228"/>
    <w:rsid w:val="05BB6053"/>
    <w:rsid w:val="05FE0636"/>
    <w:rsid w:val="06EC048E"/>
    <w:rsid w:val="07956271"/>
    <w:rsid w:val="07E31891"/>
    <w:rsid w:val="08E104C7"/>
    <w:rsid w:val="090B5543"/>
    <w:rsid w:val="09721397"/>
    <w:rsid w:val="0AF56F2D"/>
    <w:rsid w:val="0BB63BED"/>
    <w:rsid w:val="0C0B3930"/>
    <w:rsid w:val="0C782EF0"/>
    <w:rsid w:val="0D8609C6"/>
    <w:rsid w:val="0E813BB2"/>
    <w:rsid w:val="0EB97A43"/>
    <w:rsid w:val="0EBD2122"/>
    <w:rsid w:val="0EC341CA"/>
    <w:rsid w:val="0F214EAE"/>
    <w:rsid w:val="0FA955F0"/>
    <w:rsid w:val="1088747A"/>
    <w:rsid w:val="10EE19D3"/>
    <w:rsid w:val="11651569"/>
    <w:rsid w:val="11B71E6A"/>
    <w:rsid w:val="12541D09"/>
    <w:rsid w:val="144B521C"/>
    <w:rsid w:val="147E12BF"/>
    <w:rsid w:val="14E37374"/>
    <w:rsid w:val="14FE5F5C"/>
    <w:rsid w:val="169A3A63"/>
    <w:rsid w:val="17312619"/>
    <w:rsid w:val="17AA6EC0"/>
    <w:rsid w:val="19157D18"/>
    <w:rsid w:val="19A277FE"/>
    <w:rsid w:val="19E460E8"/>
    <w:rsid w:val="1AAF0063"/>
    <w:rsid w:val="1BD9502D"/>
    <w:rsid w:val="1BE140DE"/>
    <w:rsid w:val="1C3A1F70"/>
    <w:rsid w:val="1C4A7CD9"/>
    <w:rsid w:val="1C556DAA"/>
    <w:rsid w:val="1CCE26B8"/>
    <w:rsid w:val="1E1E2F7C"/>
    <w:rsid w:val="1E9E60BA"/>
    <w:rsid w:val="1EFD54D7"/>
    <w:rsid w:val="1F49071C"/>
    <w:rsid w:val="20857532"/>
    <w:rsid w:val="21C30312"/>
    <w:rsid w:val="21DA565B"/>
    <w:rsid w:val="21EE1107"/>
    <w:rsid w:val="22456F79"/>
    <w:rsid w:val="22916662"/>
    <w:rsid w:val="22F73E0B"/>
    <w:rsid w:val="23E34C9B"/>
    <w:rsid w:val="243C43AB"/>
    <w:rsid w:val="24816262"/>
    <w:rsid w:val="248C197D"/>
    <w:rsid w:val="252959AF"/>
    <w:rsid w:val="256C6F12"/>
    <w:rsid w:val="25ED1BDA"/>
    <w:rsid w:val="26802C75"/>
    <w:rsid w:val="269E759F"/>
    <w:rsid w:val="26A61FB0"/>
    <w:rsid w:val="26CD39E1"/>
    <w:rsid w:val="272A498F"/>
    <w:rsid w:val="277A6671"/>
    <w:rsid w:val="27B8643F"/>
    <w:rsid w:val="27D05536"/>
    <w:rsid w:val="284E0B51"/>
    <w:rsid w:val="292D35B7"/>
    <w:rsid w:val="2A030937"/>
    <w:rsid w:val="2B674404"/>
    <w:rsid w:val="2B69017C"/>
    <w:rsid w:val="2CA90A4C"/>
    <w:rsid w:val="2CC338BC"/>
    <w:rsid w:val="2CF03F85"/>
    <w:rsid w:val="2D6D5DB6"/>
    <w:rsid w:val="2D6F75A0"/>
    <w:rsid w:val="2E156399"/>
    <w:rsid w:val="2F794705"/>
    <w:rsid w:val="2F9257C7"/>
    <w:rsid w:val="2FE53B49"/>
    <w:rsid w:val="31151E97"/>
    <w:rsid w:val="32096215"/>
    <w:rsid w:val="331309CD"/>
    <w:rsid w:val="33150BE9"/>
    <w:rsid w:val="33174961"/>
    <w:rsid w:val="33285E13"/>
    <w:rsid w:val="333D5A4A"/>
    <w:rsid w:val="33EB6CFF"/>
    <w:rsid w:val="34030A42"/>
    <w:rsid w:val="346D235F"/>
    <w:rsid w:val="350E769E"/>
    <w:rsid w:val="35170512"/>
    <w:rsid w:val="3553678F"/>
    <w:rsid w:val="35613C72"/>
    <w:rsid w:val="3566572C"/>
    <w:rsid w:val="35A12947"/>
    <w:rsid w:val="360F7B72"/>
    <w:rsid w:val="36D36DF1"/>
    <w:rsid w:val="37387040"/>
    <w:rsid w:val="381E5E4A"/>
    <w:rsid w:val="38C42E95"/>
    <w:rsid w:val="390414E4"/>
    <w:rsid w:val="391F00CC"/>
    <w:rsid w:val="39F257E0"/>
    <w:rsid w:val="39FD5F33"/>
    <w:rsid w:val="3A0674B1"/>
    <w:rsid w:val="3A1C460B"/>
    <w:rsid w:val="3A4009AF"/>
    <w:rsid w:val="3A563FC1"/>
    <w:rsid w:val="3A8F74D3"/>
    <w:rsid w:val="3AD4138A"/>
    <w:rsid w:val="3B0548E0"/>
    <w:rsid w:val="3B443E1A"/>
    <w:rsid w:val="3B625C0A"/>
    <w:rsid w:val="3B836E46"/>
    <w:rsid w:val="3BBF4E7C"/>
    <w:rsid w:val="3BF325FA"/>
    <w:rsid w:val="3C4B567C"/>
    <w:rsid w:val="3CC01BC6"/>
    <w:rsid w:val="3CEE1963"/>
    <w:rsid w:val="3EAE5A4E"/>
    <w:rsid w:val="3F0571B1"/>
    <w:rsid w:val="3F93711E"/>
    <w:rsid w:val="3FAA26B9"/>
    <w:rsid w:val="3FAF1A7E"/>
    <w:rsid w:val="3FBD063E"/>
    <w:rsid w:val="3FDD65EB"/>
    <w:rsid w:val="3FF04F29"/>
    <w:rsid w:val="40B03CFF"/>
    <w:rsid w:val="41792343"/>
    <w:rsid w:val="42BF46CD"/>
    <w:rsid w:val="436B78D3"/>
    <w:rsid w:val="44A26055"/>
    <w:rsid w:val="45AB2CE7"/>
    <w:rsid w:val="45D466E2"/>
    <w:rsid w:val="45ED3300"/>
    <w:rsid w:val="46D11A60"/>
    <w:rsid w:val="47484C91"/>
    <w:rsid w:val="47942B83"/>
    <w:rsid w:val="47F22E4F"/>
    <w:rsid w:val="4871646A"/>
    <w:rsid w:val="48B14AB8"/>
    <w:rsid w:val="48B60321"/>
    <w:rsid w:val="48B60C1B"/>
    <w:rsid w:val="48BD6EB4"/>
    <w:rsid w:val="490E3CB9"/>
    <w:rsid w:val="49753D38"/>
    <w:rsid w:val="4A58168F"/>
    <w:rsid w:val="4A6D6357"/>
    <w:rsid w:val="4A9B5A20"/>
    <w:rsid w:val="4B5300A9"/>
    <w:rsid w:val="4C03562B"/>
    <w:rsid w:val="4C275E5D"/>
    <w:rsid w:val="4C9C27FE"/>
    <w:rsid w:val="4C9E5354"/>
    <w:rsid w:val="4D1A70D0"/>
    <w:rsid w:val="4D720CBA"/>
    <w:rsid w:val="4DF96CE5"/>
    <w:rsid w:val="4F3828BE"/>
    <w:rsid w:val="502142D2"/>
    <w:rsid w:val="512260B4"/>
    <w:rsid w:val="51A76A58"/>
    <w:rsid w:val="51E753C7"/>
    <w:rsid w:val="5212481A"/>
    <w:rsid w:val="52287B99"/>
    <w:rsid w:val="5257047F"/>
    <w:rsid w:val="52BD6ACB"/>
    <w:rsid w:val="52ED493F"/>
    <w:rsid w:val="538434F5"/>
    <w:rsid w:val="539D0113"/>
    <w:rsid w:val="53A31B4E"/>
    <w:rsid w:val="55294C21"/>
    <w:rsid w:val="55537534"/>
    <w:rsid w:val="55652EB2"/>
    <w:rsid w:val="55AA4D69"/>
    <w:rsid w:val="55C4407D"/>
    <w:rsid w:val="55D1679A"/>
    <w:rsid w:val="55F10BEA"/>
    <w:rsid w:val="561A74F1"/>
    <w:rsid w:val="56290384"/>
    <w:rsid w:val="569357FD"/>
    <w:rsid w:val="56E04EE6"/>
    <w:rsid w:val="59044790"/>
    <w:rsid w:val="597244E8"/>
    <w:rsid w:val="5B3752F1"/>
    <w:rsid w:val="5B394BC5"/>
    <w:rsid w:val="5B4517BC"/>
    <w:rsid w:val="5B712B41"/>
    <w:rsid w:val="5BBB7CD0"/>
    <w:rsid w:val="5C910A31"/>
    <w:rsid w:val="5D153410"/>
    <w:rsid w:val="5D451CAE"/>
    <w:rsid w:val="5DA622BA"/>
    <w:rsid w:val="5DD21301"/>
    <w:rsid w:val="5E082F75"/>
    <w:rsid w:val="5E203E1A"/>
    <w:rsid w:val="5EB71C30"/>
    <w:rsid w:val="5EBF1885"/>
    <w:rsid w:val="5EC24ED2"/>
    <w:rsid w:val="5EFB03E4"/>
    <w:rsid w:val="5F4D0194"/>
    <w:rsid w:val="5FE1582B"/>
    <w:rsid w:val="601E5955"/>
    <w:rsid w:val="61E57855"/>
    <w:rsid w:val="62856942"/>
    <w:rsid w:val="635F3637"/>
    <w:rsid w:val="642D103F"/>
    <w:rsid w:val="645A5BAC"/>
    <w:rsid w:val="64ED07CF"/>
    <w:rsid w:val="655D5954"/>
    <w:rsid w:val="669422A1"/>
    <w:rsid w:val="66AF0CE5"/>
    <w:rsid w:val="676A4358"/>
    <w:rsid w:val="68DD74D8"/>
    <w:rsid w:val="69117181"/>
    <w:rsid w:val="6AA27932"/>
    <w:rsid w:val="6AC537CF"/>
    <w:rsid w:val="6C087402"/>
    <w:rsid w:val="6C0F54CE"/>
    <w:rsid w:val="6D6D6950"/>
    <w:rsid w:val="6D934609"/>
    <w:rsid w:val="6D942690"/>
    <w:rsid w:val="6DCD73EF"/>
    <w:rsid w:val="6E427DDD"/>
    <w:rsid w:val="6E5B14A6"/>
    <w:rsid w:val="6E775CD9"/>
    <w:rsid w:val="6EC30F1E"/>
    <w:rsid w:val="6EDF562C"/>
    <w:rsid w:val="70BF3967"/>
    <w:rsid w:val="711B255E"/>
    <w:rsid w:val="72CC5EC7"/>
    <w:rsid w:val="72FF44EF"/>
    <w:rsid w:val="73530396"/>
    <w:rsid w:val="735E0AA5"/>
    <w:rsid w:val="738844E4"/>
    <w:rsid w:val="738D1AFA"/>
    <w:rsid w:val="73B07597"/>
    <w:rsid w:val="74024296"/>
    <w:rsid w:val="749D7B1B"/>
    <w:rsid w:val="74AE3AD6"/>
    <w:rsid w:val="75800B89"/>
    <w:rsid w:val="75AF3FAA"/>
    <w:rsid w:val="75CF2D53"/>
    <w:rsid w:val="75DB4D9F"/>
    <w:rsid w:val="77163BB5"/>
    <w:rsid w:val="77B84C6C"/>
    <w:rsid w:val="77BF27B0"/>
    <w:rsid w:val="7860333A"/>
    <w:rsid w:val="793622EC"/>
    <w:rsid w:val="79B853F7"/>
    <w:rsid w:val="79E104AA"/>
    <w:rsid w:val="7A212F9C"/>
    <w:rsid w:val="7A7C4677"/>
    <w:rsid w:val="7AAF0F69"/>
    <w:rsid w:val="7B670E83"/>
    <w:rsid w:val="7BB51E06"/>
    <w:rsid w:val="7C1E1BC0"/>
    <w:rsid w:val="7C387F7C"/>
    <w:rsid w:val="7D692C90"/>
    <w:rsid w:val="7EB3658E"/>
    <w:rsid w:val="7EE34CC4"/>
    <w:rsid w:val="7FC06DB4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qFormat/>
    <w:uiPriority w:val="0"/>
    <w:pPr>
      <w:widowControl w:val="0"/>
      <w:ind w:firstLine="420" w:firstLineChars="20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100</Words>
  <Characters>570</Characters>
  <Lines>4</Lines>
  <Paragraphs>1</Paragraphs>
  <TotalTime>55</TotalTime>
  <ScaleCrop>false</ScaleCrop>
  <LinksUpToDate>false</LinksUpToDate>
  <CharactersWithSpaces>669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2026-04-16T07:48:08Z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807859DDDB204D7484EDDFBB4E9D1D2E</vt:lpwstr>
  </property>
  <property fmtid="{D5CDD505-2E9C-101B-9397-08002B2CF9AE}" pid="4" name="KSOTemplateDocerSaveRecord">
    <vt:lpwstr>eyJoZGlkIjoiYjQ1NWJkY2YwNmNkZjg5YzBkYjQ0YzQ5MzcwOGE1YmYifQ==</vt:lpwstr>
  </property>
</Properties>
</file>