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588EFF">
      <w:pPr>
        <w:spacing w:line="560" w:lineRule="exact"/>
        <w:jc w:val="center"/>
        <w:rPr>
          <w:rFonts w:ascii="宋体" w:hAnsi="宋体" w:cs="宋体"/>
          <w:b/>
          <w:bCs/>
          <w:sz w:val="44"/>
          <w:szCs w:val="44"/>
        </w:rPr>
      </w:pPr>
    </w:p>
    <w:p w14:paraId="368AC3A3">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井陉县南峪镇人民政府</w:t>
      </w:r>
    </w:p>
    <w:p w14:paraId="63F476F6">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2DEB4218">
      <w:pPr>
        <w:spacing w:line="560" w:lineRule="exact"/>
        <w:jc w:val="center"/>
        <w:rPr>
          <w:rFonts w:ascii="华文楷体" w:eastAsia="华文楷体"/>
          <w:sz w:val="32"/>
          <w:szCs w:val="32"/>
        </w:rPr>
      </w:pPr>
    </w:p>
    <w:p w14:paraId="0C14B72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井陉县南峪镇人民政府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年整体支出情况实施了财政支出绩效自评，形成本评价报告。</w:t>
      </w:r>
    </w:p>
    <w:p w14:paraId="474EC22A">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15FC504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75C0B6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部门职能：</w:t>
      </w:r>
    </w:p>
    <w:p w14:paraId="79921E66">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南峪镇人民政府本级。宣传贯彻执行党的路线方针政策和上级党组织及本镇党员代表大会（党员大会）的决议。贯彻执行法律、法规、规章和上级人民代表大会及其常务委员会决议及上级政府的决定、命令，执行本级人民代表大会的决议。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D8801D7">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综合行政执法队。根据有关法律法规和上级部门授权、委托，承担城乡建设、生态环境、文化市场、农业农村、安全生产、民族宗教等领域行政执法工作。配合县直相关部门做好授权、委托事项之外的其它领域行政执法工作。</w:t>
      </w:r>
    </w:p>
    <w:p w14:paraId="2EB12270">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行政综合服务中心。负责行政审批服务事项的受理、办理工作，提供政策和业务咨询；指导村（社区）便民服务点建设。负责开展群众文化艺术娱乐、体育活动，负责文化市场进行监督、巡查工作，负责文物普查、保护和开发利用工作，指导村（社区）文化室建设、文体设施规划建设。</w:t>
      </w:r>
    </w:p>
    <w:p w14:paraId="26A5F862">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农业综合服务中心。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0E8B387F">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退役军人服务站</w:t>
      </w:r>
      <w:r>
        <w:rPr>
          <w:rFonts w:hint="eastAsia" w:ascii="仿宋" w:hAnsi="仿宋" w:eastAsia="仿宋"/>
          <w:sz w:val="32"/>
          <w:szCs w:val="32"/>
          <w:highlight w:val="none"/>
          <w:lang w:eastAsia="zh-CN"/>
        </w:rPr>
        <w:t>。</w:t>
      </w:r>
      <w:r>
        <w:rPr>
          <w:rFonts w:hint="eastAsia" w:ascii="仿宋" w:hAnsi="仿宋" w:eastAsia="仿宋"/>
          <w:sz w:val="32"/>
          <w:szCs w:val="32"/>
          <w:highlight w:val="none"/>
        </w:rPr>
        <w:t xml:space="preserve">负责退役军人就业创业扶持、拥军优属、优抚帮扶、走访慰问、信访接待、权益保障等工作；配合武装部做好征兵、民兵、预备役、国防教育、国民经济动员、人民防空、国防交通、国防设施保护等相关工作。 </w:t>
      </w:r>
    </w:p>
    <w:p w14:paraId="5537AEFC">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428EC57C">
      <w:pPr>
        <w:adjustRightInd w:val="0"/>
        <w:snapToGrid w:val="0"/>
        <w:spacing w:line="560" w:lineRule="exact"/>
        <w:ind w:firstLine="640" w:firstLineChars="200"/>
        <w:rPr>
          <w:rFonts w:hint="eastAsia" w:ascii="仿宋" w:hAnsi="仿宋" w:eastAsia="仿宋" w:cs="楷体_GB2312"/>
          <w:sz w:val="32"/>
          <w:szCs w:val="32"/>
        </w:rPr>
      </w:pPr>
      <w:r>
        <w:rPr>
          <w:rFonts w:hint="eastAsia" w:ascii="楷体" w:hAnsi="楷体" w:eastAsia="楷体" w:cs="楷体_GB2312"/>
          <w:bCs/>
          <w:sz w:val="32"/>
          <w:szCs w:val="32"/>
          <w:lang w:eastAsia="zh-CN"/>
        </w:rPr>
        <w:tab/>
      </w:r>
      <w:r>
        <w:rPr>
          <w:rFonts w:hint="eastAsia" w:ascii="仿宋" w:hAnsi="仿宋" w:eastAsia="仿宋" w:cs="楷体_GB2312"/>
          <w:sz w:val="32"/>
          <w:szCs w:val="32"/>
        </w:rPr>
        <w:t>部门预算安排总体情况</w:t>
      </w:r>
    </w:p>
    <w:p w14:paraId="205FA228">
      <w:pPr>
        <w:adjustRightInd w:val="0"/>
        <w:snapToGrid w:val="0"/>
        <w:spacing w:line="560" w:lineRule="exact"/>
        <w:ind w:firstLine="640" w:firstLineChars="200"/>
        <w:rPr>
          <w:rFonts w:hint="eastAsia" w:ascii="仿宋" w:hAnsi="仿宋" w:eastAsia="仿宋"/>
          <w:sz w:val="32"/>
          <w:szCs w:val="32"/>
        </w:rPr>
      </w:pPr>
      <w:r>
        <w:rPr>
          <w:rFonts w:ascii="仿宋" w:hAnsi="仿宋" w:eastAsia="仿宋" w:cs="楷体_GB2312"/>
          <w:sz w:val="32"/>
          <w:szCs w:val="32"/>
        </w:rPr>
        <w:t>1、收入说明</w:t>
      </w:r>
    </w:p>
    <w:p w14:paraId="6A3FA32C">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反映本部门当年全部收入。2026年预算收入6610492.21元，其中：一般公共预算收入6608528.00元，单位资金收入0.00元，上年结转结余1964.21元。</w:t>
      </w:r>
    </w:p>
    <w:p w14:paraId="3E55C12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2、支出说明</w:t>
      </w:r>
    </w:p>
    <w:p w14:paraId="6AAEEE64">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收支预算总表支出栏、基本支出表、项目支出表按经济分类和支出功能分类科目编制，反映井陉县南峪镇人民政府年度部门预算中支出预算的总体情况。2026年支出预算6610492.21元，其中基本支出6016782.00元，包括人员经费5575782.00元和日常公用经费441000.00元；项目支出593710.21元，主要为维持机关基本运转经费45000元、办公楼修缮经费20000元、办公楼取暖经费60000元、团委工作经费10000元、环境整治经费115000元、基层武装经费30000元、优化生育经费11200元、护林防火经费40000元、信访稳定经费20000元、劳务派遣人员支出59226元、下沉工作队经费80000元、交通道路占地补偿款34020元、绵河河道治理工程占地补偿资金5600元、恢复重建北辛公路占用台头村土地补偿经费9700元等19项。</w:t>
      </w:r>
    </w:p>
    <w:p w14:paraId="30AF739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3、比上年增减情况</w:t>
      </w:r>
    </w:p>
    <w:p w14:paraId="03A23B9E">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2026年预算收支安排6610492.21元，较2025年预算增加396151.03元，其中：基本支出增加474080.82元，主要为新录用人员增加导致基本支出增加。项目支出减少77929.79元，主要为2026年无三支一扶人员支出12048元，无公车购置费用40000元以及党政事务工作经费（非税）8500元等项目，不做相应预算安排。</w:t>
      </w:r>
    </w:p>
    <w:p w14:paraId="2D236CD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部门决算安排总体情况</w:t>
      </w:r>
    </w:p>
    <w:p w14:paraId="64CE5F6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1、收入说明</w:t>
      </w:r>
    </w:p>
    <w:p w14:paraId="0E910F7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2025</w:t>
      </w:r>
      <w:r>
        <w:rPr>
          <w:rFonts w:hint="eastAsia" w:ascii="仿宋" w:hAnsi="仿宋" w:eastAsia="仿宋"/>
          <w:sz w:val="32"/>
          <w:szCs w:val="32"/>
        </w:rPr>
        <w:t>年度我部门财政收入732.58</w:t>
      </w:r>
      <w:r>
        <w:rPr>
          <w:rFonts w:hint="eastAsia" w:ascii="仿宋" w:hAnsi="仿宋" w:eastAsia="仿宋"/>
          <w:sz w:val="32"/>
          <w:szCs w:val="32"/>
          <w:lang w:val="en-US" w:eastAsia="zh-CN"/>
        </w:rPr>
        <w:t>万</w:t>
      </w:r>
      <w:r>
        <w:rPr>
          <w:rFonts w:hint="eastAsia" w:ascii="仿宋" w:hAnsi="仿宋" w:eastAsia="仿宋"/>
          <w:sz w:val="32"/>
          <w:szCs w:val="32"/>
        </w:rPr>
        <w:t>元，其中一般公共预算收入</w:t>
      </w:r>
      <w:r>
        <w:rPr>
          <w:rFonts w:hint="eastAsia" w:ascii="仿宋" w:hAnsi="仿宋" w:eastAsia="仿宋"/>
          <w:sz w:val="32"/>
          <w:szCs w:val="32"/>
          <w:lang w:val="en-US" w:eastAsia="zh-CN"/>
        </w:rPr>
        <w:t>709.48万</w:t>
      </w:r>
      <w:r>
        <w:rPr>
          <w:rFonts w:hint="eastAsia" w:ascii="仿宋" w:hAnsi="仿宋" w:eastAsia="仿宋"/>
          <w:sz w:val="32"/>
          <w:szCs w:val="32"/>
        </w:rPr>
        <w:t>元，政府基金预算财政收入</w:t>
      </w:r>
      <w:r>
        <w:rPr>
          <w:rFonts w:hint="eastAsia" w:ascii="仿宋" w:hAnsi="仿宋" w:eastAsia="仿宋"/>
          <w:sz w:val="32"/>
          <w:szCs w:val="32"/>
          <w:lang w:val="en-US" w:eastAsia="zh-CN"/>
        </w:rPr>
        <w:t>23.1万元</w:t>
      </w:r>
      <w:r>
        <w:rPr>
          <w:rFonts w:hint="eastAsia" w:ascii="仿宋" w:hAnsi="仿宋" w:eastAsia="仿宋"/>
          <w:sz w:val="32"/>
          <w:szCs w:val="32"/>
        </w:rPr>
        <w:t xml:space="preserve">。  </w:t>
      </w:r>
    </w:p>
    <w:p w14:paraId="7161365C">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2、支出说明</w:t>
      </w:r>
    </w:p>
    <w:p w14:paraId="15B3ADB8">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2025</w:t>
      </w:r>
      <w:r>
        <w:rPr>
          <w:rFonts w:hint="eastAsia" w:ascii="仿宋" w:hAnsi="仿宋" w:eastAsia="仿宋"/>
          <w:sz w:val="32"/>
          <w:szCs w:val="32"/>
        </w:rPr>
        <w:t>年度我部门财政支出732.58</w:t>
      </w:r>
      <w:r>
        <w:rPr>
          <w:rFonts w:hint="eastAsia" w:ascii="仿宋" w:hAnsi="仿宋" w:eastAsia="仿宋"/>
          <w:sz w:val="32"/>
          <w:szCs w:val="32"/>
          <w:lang w:val="en-US" w:eastAsia="zh-CN"/>
        </w:rPr>
        <w:t>万</w:t>
      </w:r>
      <w:r>
        <w:rPr>
          <w:rFonts w:hint="eastAsia" w:ascii="仿宋" w:hAnsi="仿宋" w:eastAsia="仿宋"/>
          <w:sz w:val="32"/>
          <w:szCs w:val="32"/>
        </w:rPr>
        <w:t>元，其中基本支出</w:t>
      </w:r>
      <w:r>
        <w:rPr>
          <w:rFonts w:hint="eastAsia" w:ascii="仿宋" w:hAnsi="仿宋" w:eastAsia="仿宋"/>
          <w:sz w:val="32"/>
          <w:szCs w:val="32"/>
          <w:lang w:val="en-US" w:eastAsia="zh-CN"/>
        </w:rPr>
        <w:t>575.85</w:t>
      </w:r>
      <w:r>
        <w:rPr>
          <w:rFonts w:hint="eastAsia" w:ascii="仿宋" w:hAnsi="仿宋" w:eastAsia="仿宋"/>
          <w:sz w:val="32"/>
          <w:szCs w:val="32"/>
        </w:rPr>
        <w:t>万元（人员经费</w:t>
      </w:r>
      <w:r>
        <w:rPr>
          <w:rFonts w:hint="eastAsia" w:ascii="仿宋" w:hAnsi="仿宋" w:eastAsia="仿宋"/>
          <w:sz w:val="32"/>
          <w:szCs w:val="32"/>
          <w:lang w:val="en-US" w:eastAsia="zh-CN"/>
        </w:rPr>
        <w:t>534.99</w:t>
      </w:r>
      <w:r>
        <w:rPr>
          <w:rFonts w:hint="eastAsia" w:ascii="仿宋" w:hAnsi="仿宋" w:eastAsia="仿宋"/>
          <w:sz w:val="32"/>
          <w:szCs w:val="32"/>
        </w:rPr>
        <w:t>万元</w:t>
      </w:r>
      <w:r>
        <w:rPr>
          <w:rFonts w:hint="eastAsia" w:ascii="仿宋" w:hAnsi="仿宋" w:eastAsia="仿宋"/>
          <w:sz w:val="32"/>
          <w:szCs w:val="32"/>
          <w:lang w:eastAsia="zh-CN"/>
        </w:rPr>
        <w:t>、</w:t>
      </w:r>
      <w:r>
        <w:rPr>
          <w:rFonts w:hint="eastAsia" w:ascii="仿宋" w:hAnsi="仿宋" w:eastAsia="仿宋"/>
          <w:sz w:val="32"/>
          <w:szCs w:val="32"/>
        </w:rPr>
        <w:t>日常公用经费</w:t>
      </w:r>
      <w:r>
        <w:rPr>
          <w:rFonts w:hint="eastAsia" w:ascii="仿宋" w:hAnsi="仿宋" w:eastAsia="仿宋"/>
          <w:sz w:val="32"/>
          <w:szCs w:val="32"/>
          <w:lang w:val="en-US" w:eastAsia="zh-CN"/>
        </w:rPr>
        <w:t>40.86</w:t>
      </w:r>
      <w:r>
        <w:rPr>
          <w:rFonts w:hint="eastAsia" w:ascii="仿宋" w:hAnsi="仿宋" w:eastAsia="仿宋"/>
          <w:sz w:val="32"/>
          <w:szCs w:val="32"/>
        </w:rPr>
        <w:t>万元）</w:t>
      </w:r>
      <w:r>
        <w:rPr>
          <w:rFonts w:hint="eastAsia" w:ascii="仿宋" w:hAnsi="仿宋" w:eastAsia="仿宋"/>
          <w:sz w:val="32"/>
          <w:szCs w:val="32"/>
          <w:lang w:eastAsia="zh-CN"/>
        </w:rPr>
        <w:t>，</w:t>
      </w:r>
      <w:r>
        <w:rPr>
          <w:rFonts w:hint="eastAsia" w:ascii="仿宋" w:hAnsi="仿宋" w:eastAsia="仿宋"/>
          <w:sz w:val="32"/>
          <w:szCs w:val="32"/>
        </w:rPr>
        <w:t>项目支出</w:t>
      </w:r>
      <w:r>
        <w:rPr>
          <w:rFonts w:hint="eastAsia" w:ascii="仿宋" w:hAnsi="仿宋" w:eastAsia="仿宋"/>
          <w:sz w:val="32"/>
          <w:szCs w:val="32"/>
          <w:lang w:val="en-US" w:eastAsia="zh-CN"/>
        </w:rPr>
        <w:t>156.73</w:t>
      </w:r>
      <w:r>
        <w:rPr>
          <w:rFonts w:hint="eastAsia" w:ascii="仿宋" w:hAnsi="仿宋" w:eastAsia="仿宋"/>
          <w:sz w:val="32"/>
          <w:szCs w:val="32"/>
        </w:rPr>
        <w:t>万元。</w:t>
      </w:r>
    </w:p>
    <w:p w14:paraId="5AE57C4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15CC74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完成人大代表议政、人代会，做好各项工作的迎查、考核，完成乡镇财政计划和经济发展规划，做好统计、审计工作；做好与各职责部门的社会事务工作；完成机关日常事务，搞好政务公开和机关后勤保障工作，维护好社会的稳定。提供群众满意的农业服务、林业服务及护林防火工作，确保一事一议项目的顺利运行及实施。做好与食品药品监督管理的协调</w:t>
      </w:r>
      <w:r>
        <w:rPr>
          <w:rFonts w:hint="eastAsia" w:ascii="仿宋" w:hAnsi="仿宋" w:eastAsia="仿宋"/>
          <w:sz w:val="32"/>
          <w:szCs w:val="32"/>
          <w:lang w:eastAsia="zh-CN"/>
        </w:rPr>
        <w:t>，</w:t>
      </w:r>
      <w:r>
        <w:rPr>
          <w:rFonts w:hint="eastAsia" w:ascii="仿宋" w:hAnsi="仿宋" w:eastAsia="仿宋"/>
          <w:sz w:val="32"/>
          <w:szCs w:val="32"/>
        </w:rPr>
        <w:t>提高文体活动质量，增强群众的参与度，提供群众满意的服务。保障部门做好相关宣传咨询工作；农村居民养老保险、民政低保、残疾等事务办理等服务；配合安全生产监督管理部门做好安全生产监督管理等工作。保障部门做好相关宣传咨询工作；做好困难军人的救助、社保、和就业创业工作，农村居民养老保险、民政低保、残疾、社会捐赠等事务办理等服务；配合安全生产监督管理部门做好安全生产监督管理等工作。</w:t>
      </w:r>
    </w:p>
    <w:p w14:paraId="11740F5C">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15BF9EE">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0918DC8C">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方正仿宋简体"/>
          <w:sz w:val="32"/>
          <w:szCs w:val="32"/>
        </w:rPr>
        <w:t>我镇项目绩效自评成立了专门组织，对所有项目进行了详细考核评价，并结合我镇实际和各村实际情况，合理安排资金的拨付使用。</w:t>
      </w:r>
    </w:p>
    <w:p w14:paraId="6CE0AB9F">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5EEBF86">
      <w:pPr>
        <w:numPr>
          <w:ilvl w:val="0"/>
          <w:numId w:val="0"/>
        </w:numPr>
        <w:spacing w:line="240" w:lineRule="auto"/>
        <w:ind w:left="0" w:leftChars="0" w:firstLine="640" w:firstLineChars="200"/>
        <w:rPr>
          <w:rFonts w:ascii="楷体" w:hAnsi="楷体" w:eastAsia="楷体" w:cs="楷体_GB2312"/>
          <w:bCs/>
          <w:sz w:val="32"/>
          <w:szCs w:val="32"/>
        </w:rPr>
      </w:pPr>
      <w:r>
        <w:rPr>
          <w:rFonts w:hint="eastAsia" w:ascii="仿宋" w:hAnsi="仿宋" w:eastAsia="仿宋" w:cs="方正仿宋简体"/>
          <w:sz w:val="32"/>
          <w:szCs w:val="32"/>
        </w:rPr>
        <w:t>项目为一般财政拨款，我镇积极申请上级财政资金，到位率100%</w:t>
      </w:r>
      <w:r>
        <w:rPr>
          <w:rFonts w:hint="eastAsia" w:ascii="仿宋" w:hAnsi="仿宋" w:eastAsia="仿宋" w:cs="方正仿宋简体"/>
          <w:sz w:val="32"/>
          <w:szCs w:val="32"/>
          <w:lang w:eastAsia="zh-CN"/>
        </w:rPr>
        <w:t>；</w:t>
      </w:r>
      <w:r>
        <w:rPr>
          <w:rFonts w:hint="eastAsia" w:ascii="仿宋" w:hAnsi="仿宋" w:eastAsia="仿宋" w:cs="方正仿宋简体"/>
          <w:sz w:val="32"/>
          <w:szCs w:val="32"/>
        </w:rPr>
        <w:t>资金管理制度健全，执行率高、管控规范；严格按照项目进度规范使用资金，完善支出手续，项目均验收合格，确保工作落地见效。</w:t>
      </w:r>
      <w:bookmarkStart w:id="0" w:name="_GoBack"/>
      <w:bookmarkEnd w:id="0"/>
    </w:p>
    <w:p w14:paraId="389A603F">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761A9BA5">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03528378">
      <w:pPr>
        <w:spacing w:line="500" w:lineRule="exact"/>
        <w:ind w:firstLine="640" w:firstLineChars="200"/>
        <w:rPr>
          <w:rFonts w:ascii="仿宋" w:hAnsi="仿宋" w:eastAsia="仿宋"/>
          <w:sz w:val="32"/>
          <w:szCs w:val="32"/>
        </w:rPr>
      </w:pPr>
      <w:r>
        <w:rPr>
          <w:rFonts w:hint="eastAsia" w:ascii="仿宋" w:hAnsi="仿宋" w:eastAsia="仿宋"/>
          <w:sz w:val="32"/>
          <w:szCs w:val="32"/>
        </w:rPr>
        <w:t>根据我镇各项目实施完成情况通过绩效自评结果对比倒查的年初绩效目标设定质量情况，我镇各项目基本能按照项目预算计划完成既定目标，绩效目标设定清晰准确，绩效指标比较全面完整、科学合理，绩效标准恰当适宜、易于评价。</w:t>
      </w:r>
    </w:p>
    <w:p w14:paraId="45F364AE">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4FF6ADED">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1、机关事务管理</w:t>
      </w:r>
    </w:p>
    <w:p w14:paraId="032C0D9E">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完成人大代表议政、人代会，做好各项工作的迎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治理工作，做好防范邪教工作。</w:t>
      </w:r>
    </w:p>
    <w:p w14:paraId="54E34B10">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绩效指标：机关事务工作任务完成率</w:t>
      </w:r>
    </w:p>
    <w:p w14:paraId="35EB5FC9">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2、综合行政执法</w:t>
      </w:r>
    </w:p>
    <w:p w14:paraId="0B47B9BE">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绩效目标：承担综合行政执法工作，做好食品安全隐患排查，本区域内小作坊、小餐饮。小摊点的监督管理工作，协助市场监督管理部门对药品零售活动进行监督，协助有关部门查处传销行为等。</w:t>
      </w:r>
    </w:p>
    <w:p w14:paraId="5A7123AB">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绩效指标：综合行政执法工作任务完成率</w:t>
      </w:r>
    </w:p>
    <w:p w14:paraId="49FBFDC1">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3、行政综合服务</w:t>
      </w:r>
    </w:p>
    <w:p w14:paraId="10EC360A">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乡政府财政收支平衡工作。</w:t>
      </w:r>
    </w:p>
    <w:p w14:paraId="1FE37038">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绩效指标：行政综合服务工作任务完成率</w:t>
      </w:r>
    </w:p>
    <w:p w14:paraId="3DBDB10E">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4、农业综合服务</w:t>
      </w:r>
    </w:p>
    <w:p w14:paraId="3B2BC836">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62D8B55A">
      <w:pPr>
        <w:spacing w:line="560" w:lineRule="exact"/>
        <w:ind w:firstLine="800" w:firstLineChars="250"/>
        <w:rPr>
          <w:rFonts w:hint="eastAsia" w:ascii="楷体" w:hAnsi="楷体" w:eastAsia="楷体" w:cs="楷体_GB2312"/>
          <w:bCs/>
          <w:sz w:val="32"/>
          <w:szCs w:val="32"/>
        </w:rPr>
      </w:pPr>
      <w:r>
        <w:rPr>
          <w:rFonts w:hint="eastAsia" w:ascii="仿宋" w:hAnsi="仿宋" w:eastAsia="仿宋"/>
          <w:sz w:val="32"/>
          <w:szCs w:val="32"/>
        </w:rPr>
        <w:t>绩效指标：农业综合服务工作任务完成率</w:t>
      </w:r>
    </w:p>
    <w:p w14:paraId="7B15A7C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6A5F381">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w:t>
      </w:r>
      <w:r>
        <w:rPr>
          <w:rFonts w:hint="eastAsia" w:ascii="仿宋" w:hAnsi="仿宋" w:eastAsia="仿宋"/>
          <w:sz w:val="32"/>
          <w:szCs w:val="32"/>
          <w:lang w:val="en-US" w:eastAsia="zh-CN"/>
        </w:rPr>
        <w:t>为95分</w:t>
      </w:r>
      <w:r>
        <w:rPr>
          <w:rFonts w:hint="eastAsia" w:ascii="仿宋" w:hAnsi="仿宋" w:eastAsia="仿宋"/>
          <w:sz w:val="32"/>
          <w:szCs w:val="32"/>
        </w:rPr>
        <w:t>，满分100分，得出综合绩效评价等级为优秀。</w:t>
      </w:r>
    </w:p>
    <w:p w14:paraId="7F7D63E8">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7D9AACE">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6C3ED4F2">
      <w:pPr>
        <w:spacing w:line="500" w:lineRule="exact"/>
        <w:ind w:firstLine="640" w:firstLineChars="200"/>
        <w:rPr>
          <w:rFonts w:ascii="仿宋" w:hAnsi="仿宋" w:eastAsia="仿宋"/>
          <w:sz w:val="32"/>
          <w:szCs w:val="32"/>
        </w:rPr>
      </w:pPr>
      <w:r>
        <w:rPr>
          <w:rFonts w:hint="eastAsia" w:ascii="仿宋" w:hAnsi="仿宋" w:eastAsia="仿宋"/>
          <w:sz w:val="32"/>
          <w:szCs w:val="32"/>
        </w:rPr>
        <w:t>有些项目暂时取得了预期效果，但是缺乏保护机制的建立，未达到保持长久的效果。部分项目未能服务全部群众：例如：部分青少年常年不在家不能及时享受相应的指导服务。</w:t>
      </w:r>
    </w:p>
    <w:p w14:paraId="7E4423AF">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rPr>
        <w:t>部分群众防火意识仍然不强，防火灭火技能欠缺；未能将所有维修项目纳入规划。</w:t>
      </w:r>
    </w:p>
    <w:p w14:paraId="0A33D409">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72B9D6A5">
      <w:pPr>
        <w:spacing w:line="500" w:lineRule="exact"/>
        <w:ind w:firstLine="640" w:firstLineChars="200"/>
        <w:rPr>
          <w:rFonts w:hint="eastAsia" w:ascii="楷体" w:hAnsi="楷体" w:eastAsia="楷体"/>
          <w:bCs/>
          <w:sz w:val="32"/>
          <w:szCs w:val="32"/>
        </w:rPr>
      </w:pPr>
      <w:r>
        <w:rPr>
          <w:rFonts w:hint="eastAsia" w:ascii="仿宋" w:hAnsi="仿宋" w:eastAsia="仿宋"/>
          <w:sz w:val="32"/>
          <w:szCs w:val="32"/>
        </w:rPr>
        <w:t>建立治理成效保护机制和奖惩机制，纳入年终项目考核范围，将该项目保护效果作为年终考核的重要一项；建立奖惩机制，多措并举，积极开展各种宣传，积极</w:t>
      </w:r>
      <w:r>
        <w:rPr>
          <w:rFonts w:hint="eastAsia" w:ascii="仿宋" w:hAnsi="仿宋" w:eastAsia="仿宋"/>
          <w:sz w:val="32"/>
          <w:szCs w:val="32"/>
          <w:lang w:eastAsia="zh-CN"/>
        </w:rPr>
        <w:t>调解</w:t>
      </w:r>
      <w:r>
        <w:rPr>
          <w:rFonts w:hint="eastAsia" w:ascii="仿宋" w:hAnsi="仿宋" w:eastAsia="仿宋"/>
          <w:sz w:val="32"/>
          <w:szCs w:val="32"/>
        </w:rPr>
        <w:t>人民群众矛盾。加大宣传力度，继续加强防火宣传工作，</w:t>
      </w:r>
      <w:r>
        <w:rPr>
          <w:rFonts w:hint="eastAsia" w:ascii="仿宋" w:hAnsi="仿宋" w:eastAsia="仿宋"/>
          <w:sz w:val="32"/>
          <w:szCs w:val="32"/>
          <w:lang w:eastAsia="zh-CN"/>
        </w:rPr>
        <w:t>增强</w:t>
      </w:r>
      <w:r>
        <w:rPr>
          <w:rFonts w:hint="eastAsia" w:ascii="仿宋" w:hAnsi="仿宋" w:eastAsia="仿宋"/>
          <w:sz w:val="32"/>
          <w:szCs w:val="32"/>
        </w:rPr>
        <w:t>群众防火意识。加强勤俭节约宣传，提高思想认识，强化项目规划意识。</w:t>
      </w:r>
    </w:p>
    <w:p w14:paraId="0555AEB3">
      <w:pPr>
        <w:keepNext w:val="0"/>
        <w:keepLines w:val="0"/>
        <w:pageBreakBefore w:val="0"/>
        <w:widowControl w:val="0"/>
        <w:numPr>
          <w:ilvl w:val="0"/>
          <w:numId w:val="4"/>
        </w:numPr>
        <w:kinsoku/>
        <w:wordWrap/>
        <w:overflowPunct/>
        <w:topLinePunct w:val="0"/>
        <w:autoSpaceDE/>
        <w:autoSpaceDN/>
        <w:bidi w:val="0"/>
        <w:adjustRightInd w:val="0"/>
        <w:snapToGrid w:val="0"/>
        <w:spacing w:after="157" w:afterLines="50" w:line="560" w:lineRule="exact"/>
        <w:ind w:firstLine="640" w:firstLineChars="200"/>
        <w:textAlignment w:val="auto"/>
        <w:rPr>
          <w:rFonts w:hint="eastAsia" w:ascii="黑体" w:hAnsi="黑体" w:eastAsia="黑体"/>
          <w:sz w:val="32"/>
          <w:szCs w:val="32"/>
        </w:rPr>
      </w:pPr>
      <w:r>
        <w:rPr>
          <w:rFonts w:hint="eastAsia" w:ascii="黑体" w:hAnsi="黑体" w:eastAsia="黑体"/>
          <w:sz w:val="32"/>
          <w:szCs w:val="32"/>
        </w:rPr>
        <w:t>评价工作组人员名单及签字</w:t>
      </w:r>
    </w:p>
    <w:p w14:paraId="413E4994">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杜丽梅</w:t>
      </w:r>
      <w:r>
        <w:rPr>
          <w:rFonts w:hint="eastAsia" w:ascii="方正仿宋简体" w:hAnsi="方正仿宋简体" w:eastAsia="方正仿宋简体" w:cs="方正仿宋简体"/>
          <w:sz w:val="32"/>
          <w:szCs w:val="32"/>
        </w:rPr>
        <w:t xml:space="preserve"> 南峪镇人民政府 </w:t>
      </w:r>
      <w:r>
        <w:rPr>
          <w:rFonts w:hint="eastAsia" w:ascii="方正仿宋简体" w:hAnsi="方正仿宋简体" w:eastAsia="方正仿宋简体" w:cs="方正仿宋简体"/>
          <w:sz w:val="32"/>
          <w:szCs w:val="32"/>
          <w:lang w:eastAsia="zh-CN"/>
        </w:rPr>
        <w:t>人大主席</w:t>
      </w:r>
    </w:p>
    <w:p w14:paraId="71266EFD">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lang w:val="en-US" w:eastAsia="zh-CN"/>
        </w:rPr>
        <w:t>王晓晶</w:t>
      </w:r>
      <w:r>
        <w:rPr>
          <w:rFonts w:hint="eastAsia" w:ascii="方正仿宋简体" w:hAnsi="方正仿宋简体" w:eastAsia="方正仿宋简体" w:cs="方正仿宋简体"/>
          <w:sz w:val="32"/>
          <w:szCs w:val="32"/>
        </w:rPr>
        <w:t xml:space="preserve"> 南峪镇人民政府 财务会计</w:t>
      </w:r>
    </w:p>
    <w:p w14:paraId="6F134DAC">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方正仿宋简体" w:hAnsi="方正仿宋简体" w:eastAsia="方正仿宋简体" w:cs="方正仿宋简体"/>
          <w:sz w:val="32"/>
          <w:szCs w:val="32"/>
        </w:rPr>
      </w:pPr>
    </w:p>
    <w:p w14:paraId="30D44CD1">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方正仿宋简体" w:hAnsi="方正仿宋简体" w:eastAsia="方正仿宋简体" w:cs="方正仿宋简体"/>
          <w:sz w:val="32"/>
          <w:szCs w:val="32"/>
        </w:rPr>
      </w:pPr>
    </w:p>
    <w:p w14:paraId="1A641532">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方正仿宋简体" w:hAnsi="方正仿宋简体" w:eastAsia="方正仿宋简体" w:cs="方正仿宋简体"/>
          <w:sz w:val="32"/>
          <w:szCs w:val="32"/>
        </w:rPr>
      </w:pPr>
    </w:p>
    <w:p w14:paraId="2A2A3F6A">
      <w:pPr>
        <w:spacing w:line="560" w:lineRule="exact"/>
        <w:ind w:left="5120" w:hanging="5120" w:hangingChars="1600"/>
        <w:rPr>
          <w:rFonts w:hint="eastAsia" w:ascii="仿宋" w:hAnsi="仿宋" w:eastAsia="仿宋"/>
          <w:sz w:val="32"/>
          <w:szCs w:val="36"/>
        </w:rPr>
      </w:pPr>
      <w:r>
        <w:rPr>
          <w:rFonts w:hint="eastAsia" w:ascii="仿宋" w:hAnsi="仿宋" w:eastAsia="仿宋"/>
          <w:sz w:val="32"/>
          <w:szCs w:val="36"/>
        </w:rPr>
        <w:t xml:space="preserve">                                 </w:t>
      </w:r>
    </w:p>
    <w:p w14:paraId="7DBE9A05">
      <w:pPr>
        <w:spacing w:line="560" w:lineRule="exact"/>
        <w:ind w:left="5107" w:leftChars="2432" w:firstLine="0" w:firstLineChars="0"/>
        <w:rPr>
          <w:rFonts w:hint="eastAsia" w:ascii="仿宋" w:hAnsi="仿宋" w:eastAsia="仿宋"/>
          <w:sz w:val="32"/>
          <w:szCs w:val="36"/>
        </w:rPr>
      </w:pPr>
      <w:r>
        <w:rPr>
          <w:rFonts w:hint="eastAsia" w:ascii="仿宋" w:hAnsi="仿宋" w:eastAsia="仿宋"/>
          <w:sz w:val="32"/>
          <w:szCs w:val="36"/>
        </w:rPr>
        <w:t>井陉县南峪镇人民政府</w:t>
      </w:r>
    </w:p>
    <w:p w14:paraId="2CC8B78E">
      <w:pPr>
        <w:spacing w:line="560" w:lineRule="exact"/>
        <w:rPr>
          <w:rFonts w:ascii="仿宋" w:hAnsi="仿宋" w:eastAsia="仿宋"/>
        </w:rPr>
      </w:pPr>
      <w:r>
        <w:rPr>
          <w:rFonts w:hint="eastAsia" w:ascii="仿宋" w:hAnsi="仿宋" w:eastAsia="仿宋"/>
          <w:sz w:val="32"/>
          <w:szCs w:val="36"/>
        </w:rPr>
        <w:t xml:space="preserve">                                   202</w:t>
      </w:r>
      <w:r>
        <w:rPr>
          <w:rFonts w:hint="eastAsia" w:ascii="仿宋" w:hAnsi="仿宋" w:eastAsia="仿宋"/>
          <w:sz w:val="32"/>
          <w:szCs w:val="36"/>
          <w:lang w:val="en-US" w:eastAsia="zh-CN"/>
        </w:rPr>
        <w:t>6</w:t>
      </w:r>
      <w:r>
        <w:rPr>
          <w:rFonts w:hint="eastAsia" w:ascii="仿宋" w:hAnsi="仿宋" w:eastAsia="仿宋"/>
          <w:sz w:val="32"/>
          <w:szCs w:val="36"/>
        </w:rPr>
        <w:t>年</w:t>
      </w:r>
      <w:r>
        <w:rPr>
          <w:rFonts w:hint="eastAsia" w:ascii="仿宋" w:hAnsi="仿宋" w:eastAsia="仿宋"/>
          <w:sz w:val="32"/>
          <w:szCs w:val="36"/>
          <w:lang w:val="en-US" w:eastAsia="zh-CN"/>
        </w:rPr>
        <w:t>4</w:t>
      </w:r>
      <w:r>
        <w:rPr>
          <w:rFonts w:hint="eastAsia" w:ascii="仿宋" w:hAnsi="仿宋" w:eastAsia="仿宋"/>
          <w:sz w:val="32"/>
          <w:szCs w:val="36"/>
        </w:rPr>
        <w:t>月</w:t>
      </w:r>
      <w:r>
        <w:rPr>
          <w:rFonts w:hint="eastAsia" w:ascii="仿宋" w:hAnsi="仿宋" w:eastAsia="仿宋"/>
          <w:sz w:val="32"/>
          <w:szCs w:val="36"/>
          <w:lang w:val="en-US" w:eastAsia="zh-CN"/>
        </w:rPr>
        <w:t>10</w:t>
      </w:r>
      <w:r>
        <w:rPr>
          <w:rFonts w:hint="eastAsia" w:ascii="仿宋" w:hAnsi="仿宋" w:eastAsia="仿宋"/>
          <w:sz w:val="32"/>
          <w:szCs w:val="36"/>
        </w:rPr>
        <w:t>日</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97EB65">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BD092F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6BD092F2">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3020B94D"/>
    <w:multiLevelType w:val="singleLevel"/>
    <w:tmpl w:val="3020B94D"/>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7C6D4EA5"/>
    <w:multiLevelType w:val="singleLevel"/>
    <w:tmpl w:val="7C6D4EA5"/>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86526A"/>
    <w:rsid w:val="01B104CA"/>
    <w:rsid w:val="02106AB0"/>
    <w:rsid w:val="02B43A28"/>
    <w:rsid w:val="043A366E"/>
    <w:rsid w:val="046F331E"/>
    <w:rsid w:val="07956271"/>
    <w:rsid w:val="09721397"/>
    <w:rsid w:val="0BB63BED"/>
    <w:rsid w:val="0D927FE1"/>
    <w:rsid w:val="0EB97A43"/>
    <w:rsid w:val="0EBD2122"/>
    <w:rsid w:val="0F214EAE"/>
    <w:rsid w:val="11B71E6A"/>
    <w:rsid w:val="11CB1D14"/>
    <w:rsid w:val="12A42B62"/>
    <w:rsid w:val="136B07DB"/>
    <w:rsid w:val="19290C12"/>
    <w:rsid w:val="1AAF0063"/>
    <w:rsid w:val="1BE140DE"/>
    <w:rsid w:val="1D497F91"/>
    <w:rsid w:val="1E5F5CBE"/>
    <w:rsid w:val="213056EF"/>
    <w:rsid w:val="2378512C"/>
    <w:rsid w:val="237D0994"/>
    <w:rsid w:val="248C197D"/>
    <w:rsid w:val="252959AF"/>
    <w:rsid w:val="2540154B"/>
    <w:rsid w:val="26661BB3"/>
    <w:rsid w:val="26E11A60"/>
    <w:rsid w:val="277A6671"/>
    <w:rsid w:val="292D35B7"/>
    <w:rsid w:val="31151E97"/>
    <w:rsid w:val="33EB6CFF"/>
    <w:rsid w:val="34E40873"/>
    <w:rsid w:val="35A12947"/>
    <w:rsid w:val="36272711"/>
    <w:rsid w:val="37387040"/>
    <w:rsid w:val="375241BA"/>
    <w:rsid w:val="39B27192"/>
    <w:rsid w:val="3A2B6E91"/>
    <w:rsid w:val="3B0548E0"/>
    <w:rsid w:val="3B625C0A"/>
    <w:rsid w:val="3B8B1A48"/>
    <w:rsid w:val="3C8F5568"/>
    <w:rsid w:val="3CEE1963"/>
    <w:rsid w:val="3D430101"/>
    <w:rsid w:val="3F680A01"/>
    <w:rsid w:val="40953369"/>
    <w:rsid w:val="428C377F"/>
    <w:rsid w:val="436B78D3"/>
    <w:rsid w:val="48B60C1B"/>
    <w:rsid w:val="4B29302C"/>
    <w:rsid w:val="4C9C27FE"/>
    <w:rsid w:val="4C9C38C8"/>
    <w:rsid w:val="4CFB5F8D"/>
    <w:rsid w:val="505446A7"/>
    <w:rsid w:val="50F32112"/>
    <w:rsid w:val="512260B4"/>
    <w:rsid w:val="52BD6ACB"/>
    <w:rsid w:val="53364538"/>
    <w:rsid w:val="53F56B75"/>
    <w:rsid w:val="54AD1515"/>
    <w:rsid w:val="552705DC"/>
    <w:rsid w:val="55537534"/>
    <w:rsid w:val="561A74F1"/>
    <w:rsid w:val="597244E8"/>
    <w:rsid w:val="5C0F1DCA"/>
    <w:rsid w:val="5EB71C30"/>
    <w:rsid w:val="60065007"/>
    <w:rsid w:val="626E292D"/>
    <w:rsid w:val="62E96ED1"/>
    <w:rsid w:val="66AF0CE5"/>
    <w:rsid w:val="67446DCC"/>
    <w:rsid w:val="69A2191C"/>
    <w:rsid w:val="6A9A56DA"/>
    <w:rsid w:val="6AA27932"/>
    <w:rsid w:val="6AC537CF"/>
    <w:rsid w:val="6E5B14A6"/>
    <w:rsid w:val="70D70CB1"/>
    <w:rsid w:val="711B255E"/>
    <w:rsid w:val="73EC4A73"/>
    <w:rsid w:val="742807AA"/>
    <w:rsid w:val="7758241F"/>
    <w:rsid w:val="7851759A"/>
    <w:rsid w:val="79D25C5B"/>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3335</Words>
  <Characters>3581</Characters>
  <Lines>4</Lines>
  <Paragraphs>1</Paragraphs>
  <TotalTime>31</TotalTime>
  <ScaleCrop>false</ScaleCrop>
  <LinksUpToDate>false</LinksUpToDate>
  <CharactersWithSpaces>3680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阿楚er</cp:lastModifiedBy>
  <cp:lastPrinted>2026-04-22T07:30:00Z</cp:lastPrinted>
  <dcterms:modified xsi:type="dcterms:W3CDTF">2026-04-29T03:51:19Z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807859DDDB204D7484EDDFBB4E9D1D2E</vt:lpwstr>
  </property>
  <property fmtid="{D5CDD505-2E9C-101B-9397-08002B2CF9AE}" pid="4" name="KSOTemplateDocerSaveRecord">
    <vt:lpwstr>eyJoZGlkIjoiY2U0MmMxZWJiNDk4MGZiMzcxNmE2Y2MxMTc5YTg0Y2EiLCJ1c2VySWQiOiI0MjM4NzEyOTIifQ==</vt:lpwstr>
  </property>
</Properties>
</file>