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A43BB3">
      <w:pPr>
        <w:adjustRightInd w:val="0"/>
        <w:snapToGrid w:val="0"/>
        <w:spacing w:line="560" w:lineRule="exact"/>
        <w:rPr>
          <w:rFonts w:ascii="宋体" w:hAnsi="宋体" w:cs="宋体"/>
          <w:b/>
          <w:bCs/>
          <w:sz w:val="44"/>
          <w:szCs w:val="44"/>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D7FE6EF">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中共井陉县纪律检查委员会</w:t>
      </w:r>
    </w:p>
    <w:p w14:paraId="4C70B94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32C0D58F">
      <w:pPr>
        <w:spacing w:line="560" w:lineRule="exact"/>
        <w:jc w:val="center"/>
        <w:rPr>
          <w:rFonts w:ascii="华文楷体" w:eastAsia="华文楷体"/>
          <w:sz w:val="32"/>
          <w:szCs w:val="32"/>
        </w:rPr>
      </w:pPr>
    </w:p>
    <w:p w14:paraId="0A0EB04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我</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5D5A0D5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2D514D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9E6D145">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1、部门职能：</w:t>
      </w:r>
      <w:r>
        <w:rPr>
          <w:rFonts w:hint="eastAsia" w:ascii="仿宋" w:hAnsi="仿宋" w:eastAsia="仿宋" w:cs="仿宋"/>
          <w:sz w:val="32"/>
          <w:szCs w:val="32"/>
          <w:lang w:eastAsia="zh-CN"/>
        </w:rPr>
        <w:t>一是坚持以习近平新时代中国特色社会主义思想为指导，深入贯彻落实历届全会精神，坚持稳中求进总基调，以党的政治建设为统领，协助党委全面从严治党，一体推进不敢腐、不能腐、不想腐，巩固反腐败斗争压倒性胜利，实现依规治党和依法治国有机统一，健全党和国家监督体系。二是紧紧围绕监督基本职责，着力构建全覆盖、无盲区的大监督格局，深化运用监督执纪“四种形态”，加强对中央八项规定及实施细则精神执行情况的监督检查，扎实开展纠正“四风”和作风纪律专项整治，坚决整治群众身边腐败问题，提高人民群众的获得感幸福感安全感。</w:t>
      </w:r>
    </w:p>
    <w:p w14:paraId="293FB77A">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2、组织机构及人员、资产情况：</w:t>
      </w:r>
      <w:r>
        <w:rPr>
          <w:rFonts w:hint="eastAsia" w:ascii="仿宋" w:hAnsi="仿宋" w:eastAsia="仿宋" w:cs="仿宋"/>
          <w:sz w:val="32"/>
          <w:szCs w:val="32"/>
          <w:lang w:eastAsia="zh-CN"/>
        </w:rPr>
        <w:t>中共井陉县纪委是财政拨款的行政机关，编制5</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名，一个下设事业机构--井陉县廉政教育中心，编制</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名。</w:t>
      </w:r>
      <w:r>
        <w:rPr>
          <w:rFonts w:hint="eastAsia" w:ascii="仿宋" w:hAnsi="仿宋" w:eastAsia="仿宋" w:cs="仿宋"/>
          <w:sz w:val="32"/>
          <w:szCs w:val="32"/>
          <w:lang w:val="en-US" w:eastAsia="zh-CN"/>
        </w:rPr>
        <w:t>2025年底在职行政人员56人，事业在职人员6人，共计62人。</w:t>
      </w:r>
    </w:p>
    <w:p w14:paraId="5EF8021E">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2025</w:t>
      </w:r>
      <w:r>
        <w:rPr>
          <w:rFonts w:hint="eastAsia" w:ascii="仿宋" w:hAnsi="仿宋" w:eastAsia="仿宋" w:cs="仿宋"/>
          <w:sz w:val="32"/>
          <w:szCs w:val="32"/>
          <w:lang w:eastAsia="zh-CN"/>
        </w:rPr>
        <w:t>年年末本单位固定资产</w:t>
      </w:r>
      <w:r>
        <w:rPr>
          <w:rFonts w:hint="eastAsia" w:ascii="仿宋" w:hAnsi="仿宋" w:eastAsia="仿宋" w:cs="仿宋"/>
          <w:sz w:val="32"/>
          <w:szCs w:val="32"/>
          <w:lang w:val="en-US" w:eastAsia="zh-CN"/>
        </w:rPr>
        <w:t>394.40</w:t>
      </w:r>
      <w:r>
        <w:rPr>
          <w:rFonts w:hint="eastAsia" w:ascii="仿宋" w:hAnsi="仿宋" w:eastAsia="仿宋" w:cs="仿宋"/>
          <w:sz w:val="32"/>
          <w:szCs w:val="32"/>
          <w:lang w:eastAsia="zh-CN"/>
        </w:rPr>
        <w:t>万元，占总资产的</w:t>
      </w:r>
      <w:r>
        <w:rPr>
          <w:rFonts w:hint="eastAsia" w:ascii="仿宋" w:hAnsi="仿宋" w:eastAsia="仿宋" w:cs="仿宋"/>
          <w:sz w:val="32"/>
          <w:szCs w:val="32"/>
          <w:lang w:val="en-US" w:eastAsia="zh-CN"/>
        </w:rPr>
        <w:t>20.30</w:t>
      </w:r>
      <w:r>
        <w:rPr>
          <w:rFonts w:hint="eastAsia" w:ascii="仿宋" w:hAnsi="仿宋" w:eastAsia="仿宋" w:cs="仿宋"/>
          <w:sz w:val="32"/>
          <w:szCs w:val="32"/>
          <w:lang w:eastAsia="zh-CN"/>
        </w:rPr>
        <w:t>%；流动资产为</w:t>
      </w:r>
      <w:r>
        <w:rPr>
          <w:rFonts w:hint="eastAsia" w:ascii="仿宋" w:hAnsi="仿宋" w:eastAsia="仿宋" w:cs="仿宋"/>
          <w:sz w:val="32"/>
          <w:szCs w:val="32"/>
          <w:lang w:val="en-US" w:eastAsia="zh-CN"/>
        </w:rPr>
        <w:t>1546.55万元</w:t>
      </w:r>
      <w:r>
        <w:rPr>
          <w:rFonts w:hint="eastAsia" w:ascii="仿宋" w:hAnsi="仿宋" w:eastAsia="仿宋" w:cs="仿宋"/>
          <w:sz w:val="32"/>
          <w:szCs w:val="32"/>
          <w:lang w:eastAsia="zh-CN"/>
        </w:rPr>
        <w:t>,占总资产的</w:t>
      </w:r>
      <w:r>
        <w:rPr>
          <w:rFonts w:hint="eastAsia" w:ascii="仿宋" w:hAnsi="仿宋" w:eastAsia="仿宋" w:cs="仿宋"/>
          <w:sz w:val="32"/>
          <w:szCs w:val="32"/>
          <w:lang w:val="en-US" w:eastAsia="zh-CN"/>
        </w:rPr>
        <w:t>79.6</w:t>
      </w:r>
      <w:r>
        <w:rPr>
          <w:rFonts w:hint="eastAsia" w:ascii="仿宋" w:hAnsi="仿宋" w:eastAsia="仿宋" w:cs="仿宋"/>
          <w:sz w:val="32"/>
          <w:szCs w:val="32"/>
          <w:lang w:eastAsia="zh-CN"/>
        </w:rPr>
        <w:t>%；无形资产为</w:t>
      </w:r>
      <w:r>
        <w:rPr>
          <w:rFonts w:hint="eastAsia" w:ascii="仿宋" w:hAnsi="仿宋" w:eastAsia="仿宋" w:cs="仿宋"/>
          <w:sz w:val="32"/>
          <w:szCs w:val="32"/>
          <w:lang w:val="en-US" w:eastAsia="zh-CN"/>
        </w:rPr>
        <w:t>2.04万元，</w:t>
      </w:r>
      <w:r>
        <w:rPr>
          <w:rFonts w:hint="eastAsia" w:ascii="仿宋" w:hAnsi="仿宋" w:eastAsia="仿宋" w:cs="仿宋"/>
          <w:sz w:val="32"/>
          <w:szCs w:val="32"/>
          <w:lang w:eastAsia="zh-CN"/>
        </w:rPr>
        <w:t>占总资产的</w:t>
      </w:r>
      <w:r>
        <w:rPr>
          <w:rFonts w:hint="eastAsia" w:ascii="仿宋" w:hAnsi="仿宋" w:eastAsia="仿宋" w:cs="仿宋"/>
          <w:sz w:val="32"/>
          <w:szCs w:val="32"/>
          <w:lang w:val="en-US" w:eastAsia="zh-CN"/>
        </w:rPr>
        <w:t>0.11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w:t>
      </w:r>
    </w:p>
    <w:p w14:paraId="7445839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rPr>
        <w:t>部门收支预决算情况</w:t>
      </w:r>
    </w:p>
    <w:p w14:paraId="10C4AA12">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2025年度单位总收入1178.47万元，比上年总收入973.90万元增加了204.57万元，增加21.01%，比年初预算1060.46万元增加118.01万元，完成年初预算数的111.13%。2025年度单位总支出1178.47万元，比上年总支出973.90万元增加了204.57万元，增加21.01%，比年初预算1060.46万元增加118.01万元，完成年初预算数的111.13%；其中基本支出1041.10万元，人员经费859.81万元，公用经费181.29万元；项目支出137.37万元。收支情况较上年增加的原因是：2025年有人员和项目经费增加，整体收支增加。比年初预算增加的主要原因：2025年有人员和项目经费增加，整体收支增加。2025年年末无结转，主要原因是严格按财政规定做到应支尽支。</w:t>
      </w:r>
    </w:p>
    <w:p w14:paraId="1FA02F4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9FB62D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整体支出绩效目标：一是承办县管干部的违纪违法案件和其他比较重要和复杂案件的初核、审查并提出处理建议，承办应由委（局）机关参与调查事故、事件中涉及的监督对象违纪违法行为和需要问责情形的调查并提出处理建议，按照查办腐败案件以上级纪委领导为主的要求，监督、指导各乡镇案件查处工作。对有关对象违反党纪政纪和违纪违法行为进行调查处理。组织协调案件查办工作。二是承担县委惩治和预防腐败体系领导小组办公室的日常工作，积极开展预防腐败政策理论及重大课题等调查研究工作。三是监督检查党内法规政策、国家法律法规、党风廉政建设等的执行情况；履行县委巡察办职能；贯彻落实有关部署，开展常态化全覆盖监督。</w:t>
      </w:r>
    </w:p>
    <w:p w14:paraId="46C0B33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2、分项绩效目标：</w:t>
      </w:r>
    </w:p>
    <w:p w14:paraId="566F09D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(1)办案问责方面。</w:t>
      </w:r>
    </w:p>
    <w:p w14:paraId="59F0C17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绩效目标：维护党纪国法尊严，坚决惩处腐败分子，有效遏制腐败现象。</w:t>
      </w:r>
    </w:p>
    <w:p w14:paraId="4ECD3D18">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绩效指标：立案任务完成率、结案任务完成率。</w:t>
      </w:r>
    </w:p>
    <w:p w14:paraId="034B9B5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（2）监督检查及巡视督查方面。</w:t>
      </w:r>
    </w:p>
    <w:p w14:paraId="2A4B836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绩效目标：加大问责力度，促进“两个责任”有效落实；巡视监督常态化、全覆盖。</w:t>
      </w:r>
    </w:p>
    <w:p w14:paraId="391980F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绩效指标：监督检查任务完成率</w:t>
      </w:r>
    </w:p>
    <w:p w14:paraId="674BE42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（3）党风廉政建设方面。</w:t>
      </w:r>
    </w:p>
    <w:p w14:paraId="252A7E0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绩效目标：积极发挥职能作用，加强党风廉政建设，营造风清气正、干事创业的工作氛围。</w:t>
      </w:r>
    </w:p>
    <w:p w14:paraId="63264E5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绩效指标：党风廉政建设覆盖率</w:t>
      </w:r>
    </w:p>
    <w:p w14:paraId="0DA9C0B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（4）纪检监察事务管理方面。</w:t>
      </w:r>
    </w:p>
    <w:p w14:paraId="6E8E4F4F">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目标：按照2025年县纪委机关工作谋划，完成机关人事、财务、会务、接待、公文办理、党建、宣传、派驻纪检组及机关群团组织、离退休人员服务、信息化建设与维护、基础设施建设与维护、文印、后勤服务以及领导交办的其他工作，持续做好“监督执纪问责”主业的保障和服务工作。</w:t>
      </w:r>
    </w:p>
    <w:p w14:paraId="03F7386E">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绩效指标：工作任务完成率</w:t>
      </w:r>
    </w:p>
    <w:p w14:paraId="1009DED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（5）派驻纪检监察机构管理方面。</w:t>
      </w:r>
    </w:p>
    <w:p w14:paraId="6C379B6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绩效目标：督促驻在部门领导班子落实全面从严治党的主体责任，履行对驻在部门的监督责任。</w:t>
      </w:r>
    </w:p>
    <w:p w14:paraId="40C75A9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color w:val="000000"/>
          <w:sz w:val="32"/>
          <w:szCs w:val="32"/>
          <w:lang w:val="en-US" w:eastAsia="zh-CN"/>
        </w:rPr>
        <w:t>绩效指标：目标任务完成率</w:t>
      </w:r>
    </w:p>
    <w:p w14:paraId="1C335CE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F06A7D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B8D191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sz w:val="32"/>
          <w:szCs w:val="32"/>
        </w:rPr>
        <w:t xml:space="preserve">     </w:t>
      </w:r>
      <w:r>
        <w:rPr>
          <w:rFonts w:hint="eastAsia" w:ascii="仿宋" w:hAnsi="仿宋" w:eastAsia="仿宋" w:cs="仿宋"/>
          <w:color w:val="000000"/>
          <w:sz w:val="32"/>
          <w:szCs w:val="32"/>
          <w:lang w:val="en-US" w:eastAsia="zh-CN"/>
        </w:rPr>
        <w:t>根据县财政局《关于开展2025年度财政专项资金部门绩效自评价工作的通知》文件通知，成立绩效评价工作小组，对办案专项经费项目进行核查评价。</w:t>
      </w:r>
    </w:p>
    <w:p w14:paraId="105F790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仿宋" w:hAnsi="仿宋" w:eastAsia="仿宋"/>
          <w:sz w:val="32"/>
          <w:szCs w:val="32"/>
        </w:rPr>
      </w:pPr>
      <w:r>
        <w:rPr>
          <w:rFonts w:hint="eastAsia" w:ascii="仿宋" w:hAnsi="仿宋" w:eastAsia="仿宋" w:cs="仿宋"/>
          <w:color w:val="000000"/>
          <w:sz w:val="32"/>
          <w:szCs w:val="32"/>
          <w:lang w:val="en-US" w:eastAsia="zh-CN"/>
        </w:rPr>
        <w:t>工作小组针对项目进行前期调研，对相关文件、申报资料等进行收集整理，查询相关文件、会议纪要和记账凭证进行核实、汇总，安排专门的调研、实地考察、访谈等工作，结合具体项目内容，设计绩效评价的指标体系，真实、完整、全面的评价项目的实施及完成情况。</w:t>
      </w:r>
    </w:p>
    <w:p w14:paraId="3C788A55">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E936502">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本次绩效评价遵循“客观、公正、科学、规范”的原则，结合项目的特点采用了以下方法：一是资料整理法。通过对相关记账凭证和业务合同等财务资料查阅、核实、汇总分析，评价项目资金使用的规范性、支出范围的相关性和合理性等指标。二是访谈调查法。了解社会公众对当前我县的发展大环境的评价，以社会公众的满意度为评价标准衡量我县查办案件取得的成果。</w:t>
      </w:r>
    </w:p>
    <w:p w14:paraId="35E83C0B">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楷体" w:hAnsi="楷体" w:eastAsia="楷体" w:cs="楷体_GB2312"/>
          <w:bCs/>
          <w:sz w:val="32"/>
          <w:szCs w:val="32"/>
        </w:rPr>
      </w:pPr>
      <w:r>
        <w:rPr>
          <w:rFonts w:hint="eastAsia" w:ascii="仿宋" w:hAnsi="仿宋" w:eastAsia="仿宋" w:cs="仿宋"/>
          <w:color w:val="000000"/>
          <w:sz w:val="32"/>
          <w:szCs w:val="32"/>
          <w:lang w:val="en-US" w:eastAsia="zh-CN"/>
        </w:rPr>
        <w:t>通过以上方法收集有关资料，进行研究分析，确定各项指标完成程度及得分，找出项目实施中存在的问题，分析原因，提出建议，形成绩效评价报告。</w:t>
      </w:r>
    </w:p>
    <w:p w14:paraId="45D07EA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27BBDD6">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06242F6">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2025年本部门绩效目标总体完成情况良好，基本实现了预期目标，专项资金支出较为科学，能够较好地保证业务工作的正常运转。但仍存在一些细节问题：一是绩效目标表述有待进一步细化，不够具体，较为笼统。二是绩效预算资金还不够科学合理，有待进一步优化设置。</w:t>
      </w:r>
    </w:p>
    <w:p w14:paraId="22D3B77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B81E69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1、2025年纪检监察办案经费项目：根据该项目绩效自评情况，围绕绩效评价指标体系，对产出、效益、预算执行指标进行分析，指标得分98分，失分2分。</w:t>
      </w:r>
    </w:p>
    <w:p w14:paraId="651E87A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2、2025年廉政教育中心经费项目：根据该项目绩效自评情况，围绕绩效评价指标体系，对产出、效益、预算执行指标进行分析，指标得分95分，失分5分。</w:t>
      </w:r>
    </w:p>
    <w:p w14:paraId="2F91782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3、2025年纪检监察网络运行维护费项目：根据该项目绩效自评情况，围绕绩效评价指标体系，对产出、效益、预算执行、满意度指标进行分析，指标得分97分，失分3分。</w:t>
      </w:r>
    </w:p>
    <w:p w14:paraId="5DD7107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FF0000"/>
          <w:sz w:val="32"/>
          <w:szCs w:val="32"/>
          <w:lang w:val="en-US" w:eastAsia="zh-CN"/>
        </w:rPr>
      </w:pPr>
      <w:r>
        <w:rPr>
          <w:rFonts w:hint="eastAsia" w:ascii="仿宋" w:hAnsi="仿宋" w:eastAsia="仿宋" w:cs="仿宋"/>
          <w:color w:val="000000" w:themeColor="text1"/>
          <w:sz w:val="32"/>
          <w:szCs w:val="32"/>
          <w:lang w:val="en-US" w:eastAsia="zh-CN"/>
          <w14:textFill>
            <w14:solidFill>
              <w14:schemeClr w14:val="tx1"/>
            </w14:solidFill>
          </w14:textFill>
        </w:rPr>
        <w:t>4、2025年纪检监察办案经费（2）项目：根据该项目绩效自评情况，围绕绩效评价指标体系，对产出、效益、预算执行指标进行分析，指标得分98分，失分2分。</w:t>
      </w:r>
    </w:p>
    <w:p w14:paraId="5E026D1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5、2025年纪委办公场所改造经费目：根据该项目绩效自评情况，围绕绩效评价指标体系，对产出、效益、预算执行、满意度指标进行分析，指标得分95分，失分5分。</w:t>
      </w:r>
    </w:p>
    <w:p w14:paraId="4E350A8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6、2025年财政投资项目复审经费目：根据该项目绩效自评情况，围绕绩效评价指标体系，对产出、效益、预算执行指标进行分析，指标得分96分，失分4分。</w:t>
      </w:r>
    </w:p>
    <w:p w14:paraId="14E37429">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FF0000"/>
          <w:sz w:val="32"/>
          <w:szCs w:val="32"/>
          <w:lang w:val="en-US" w:eastAsia="zh-CN"/>
        </w:rPr>
      </w:pPr>
      <w:r>
        <w:rPr>
          <w:rFonts w:hint="eastAsia" w:ascii="仿宋" w:hAnsi="仿宋" w:eastAsia="仿宋" w:cs="仿宋"/>
          <w:color w:val="000000" w:themeColor="text1"/>
          <w:sz w:val="32"/>
          <w:szCs w:val="32"/>
          <w:lang w:val="en-US" w:eastAsia="zh-CN"/>
          <w14:textFill>
            <w14:solidFill>
              <w14:schemeClr w14:val="tx1"/>
            </w14:solidFill>
          </w14:textFill>
        </w:rPr>
        <w:t>7、2025年财政投资项目复审经费（第二批）目：根据该项目绩效自评情况，围绕绩效评价指标体系，对产出、效益、预算执行指标进行分析，指标得分96分，失分4分。</w:t>
      </w:r>
    </w:p>
    <w:p w14:paraId="28BA4F7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仿宋" w:hAnsi="仿宋" w:eastAsia="仿宋" w:cs="仿宋"/>
          <w:color w:val="FF0000"/>
          <w:sz w:val="32"/>
          <w:szCs w:val="32"/>
          <w:lang w:val="en-US" w:eastAsia="zh-CN"/>
        </w:rPr>
      </w:pPr>
      <w:r>
        <w:rPr>
          <w:rFonts w:hint="eastAsia" w:ascii="仿宋" w:hAnsi="仿宋" w:eastAsia="仿宋" w:cs="仿宋"/>
          <w:color w:val="000000" w:themeColor="text1"/>
          <w:sz w:val="32"/>
          <w:szCs w:val="32"/>
          <w:lang w:val="en-US" w:eastAsia="zh-CN"/>
          <w14:textFill>
            <w14:solidFill>
              <w14:schemeClr w14:val="tx1"/>
            </w14:solidFill>
          </w14:textFill>
        </w:rPr>
        <w:t>8、2025年纪委办案经费目：根据该项目绩效自评情况，围绕绩效评价指标体系，对产出、效益、预算执行指标进行分析，指标得分96分，失分4分。</w:t>
      </w:r>
    </w:p>
    <w:p w14:paraId="6D1787D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D83329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根据项目执行情况和项目绩效情况，给出总得分，指标体系设定满分100分，得出综合评价结论和项目综合绩效评价等级。项目综合评价分为4个等级：得分≥85分为优秀；75≤得分&lt;85分为良好；60≤得分&lt;75分为一般；得分&lt;60分为较差。</w:t>
      </w:r>
    </w:p>
    <w:p w14:paraId="51BF9B2A">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FF0000"/>
          <w:sz w:val="32"/>
          <w:szCs w:val="32"/>
          <w:lang w:val="en-US" w:eastAsia="zh-CN"/>
        </w:rPr>
      </w:pPr>
      <w:r>
        <w:rPr>
          <w:rFonts w:hint="eastAsia" w:ascii="仿宋" w:hAnsi="仿宋" w:eastAsia="仿宋" w:cs="仿宋"/>
          <w:color w:val="000000" w:themeColor="text1"/>
          <w:sz w:val="32"/>
          <w:szCs w:val="32"/>
          <w:lang w:val="en-US" w:eastAsia="zh-CN"/>
          <w14:textFill>
            <w14:solidFill>
              <w14:schemeClr w14:val="tx1"/>
            </w14:solidFill>
          </w14:textFill>
        </w:rPr>
        <w:t>通过业务数据统计、访谈、调查等方式取得的信息，根据编制的项目专项资金绩效评价指标和评分标准，2025年纪检监察办案经费项目绩效评价的得分结果为98分，绩效评价等级为优秀；2025年廉政教育中心经费项目绩效评价的得分结果为95分，绩效评价等级为优秀；2025年纪检监察网络运维护费项目</w:t>
      </w:r>
      <w:bookmarkStart w:id="0" w:name="_GoBack"/>
      <w:bookmarkEnd w:id="0"/>
      <w:r>
        <w:rPr>
          <w:rFonts w:hint="eastAsia" w:ascii="仿宋" w:hAnsi="仿宋" w:eastAsia="仿宋" w:cs="仿宋"/>
          <w:color w:val="000000" w:themeColor="text1"/>
          <w:sz w:val="32"/>
          <w:szCs w:val="32"/>
          <w:lang w:val="en-US" w:eastAsia="zh-CN"/>
          <w14:textFill>
            <w14:solidFill>
              <w14:schemeClr w14:val="tx1"/>
            </w14:solidFill>
          </w14:textFill>
        </w:rPr>
        <w:t>绩效评价的得分结果为97分，绩效评价等级为优秀；2025年纪检监察办案经费（2）项目绩效评价的得分结果为98分，绩效评价等级为优秀；2025年纪委办公场所改造经费项目绩效评价的得分结果为95分，绩效评价等级为优秀；2025年财政投资项目复审经费项目绩效评价的得分结果为96分，绩效评价等级为优秀；2025年财政投资项目复审经费（第二批）项目绩效评价的得分结果为96分，绩效评价等级为优秀；2025年纪委办案经费项目绩效评价的得分结果为96分，绩效评价等级为优秀。</w:t>
      </w:r>
    </w:p>
    <w:p w14:paraId="1DC147C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8F1904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50382C9">
      <w:pPr>
        <w:spacing w:line="560" w:lineRule="exact"/>
        <w:ind w:firstLine="640" w:firstLineChars="200"/>
        <w:rPr>
          <w:rFonts w:hint="eastAsia" w:ascii="楷体" w:hAnsi="楷体" w:eastAsia="楷体"/>
          <w:bCs/>
          <w:sz w:val="32"/>
          <w:szCs w:val="32"/>
        </w:rPr>
      </w:pPr>
      <w:r>
        <w:rPr>
          <w:rFonts w:hint="eastAsia" w:ascii="仿宋" w:hAnsi="仿宋" w:eastAsia="仿宋" w:cs="仿宋"/>
          <w:color w:val="000000"/>
          <w:sz w:val="32"/>
          <w:szCs w:val="32"/>
          <w:lang w:val="en-US" w:eastAsia="zh-CN"/>
        </w:rPr>
        <w:t>资金预算还不够科学细化，没有考虑到物价上涨等客观因素对预算执行的影响。项目产出效益指标还需再完善。</w:t>
      </w:r>
    </w:p>
    <w:p w14:paraId="354E3667">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201C6CF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楷体" w:hAnsi="楷体" w:eastAsia="楷体"/>
          <w:bCs/>
          <w:sz w:val="32"/>
          <w:szCs w:val="32"/>
        </w:rPr>
      </w:pPr>
      <w:r>
        <w:rPr>
          <w:rFonts w:hint="eastAsia" w:ascii="仿宋" w:hAnsi="仿宋" w:eastAsia="仿宋" w:cs="仿宋"/>
          <w:color w:val="000000"/>
          <w:sz w:val="32"/>
          <w:szCs w:val="32"/>
          <w:lang w:val="en-US" w:eastAsia="zh-CN"/>
        </w:rPr>
        <w:t>针对自评发现的问题，我委将分项逐步整改，科学合理设定绩效目标和绩效指标，及时改进设定方式，提高绩效目标设定质量。</w:t>
      </w:r>
    </w:p>
    <w:p w14:paraId="1DD36C3C">
      <w:pPr>
        <w:numPr>
          <w:ilvl w:val="0"/>
          <w:numId w:val="3"/>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评价工作组人员名单（姓名、工作单位、职务、职称）</w:t>
      </w:r>
    </w:p>
    <w:tbl>
      <w:tblPr>
        <w:tblStyle w:val="4"/>
        <w:tblW w:w="68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1232"/>
        <w:gridCol w:w="1561"/>
        <w:gridCol w:w="4035"/>
      </w:tblGrid>
      <w:tr w14:paraId="54D4A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14:paraId="0A85A3A3">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姓名</w:t>
            </w:r>
          </w:p>
        </w:tc>
        <w:tc>
          <w:tcPr>
            <w:tcW w:w="1561" w:type="dxa"/>
            <w:tcBorders>
              <w:top w:val="single" w:color="auto" w:sz="4" w:space="0"/>
              <w:left w:val="single" w:color="auto" w:sz="4" w:space="0"/>
              <w:bottom w:val="single" w:color="auto" w:sz="4" w:space="0"/>
              <w:right w:val="single" w:color="auto" w:sz="4" w:space="0"/>
            </w:tcBorders>
            <w:shd w:val="clear" w:color="auto" w:fill="auto"/>
            <w:vAlign w:val="center"/>
          </w:tcPr>
          <w:p w14:paraId="1A53473F">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工作单位</w:t>
            </w:r>
          </w:p>
        </w:tc>
        <w:tc>
          <w:tcPr>
            <w:tcW w:w="4035" w:type="dxa"/>
            <w:tcBorders>
              <w:top w:val="single" w:color="auto" w:sz="4" w:space="0"/>
              <w:left w:val="single" w:color="auto" w:sz="4" w:space="0"/>
              <w:bottom w:val="single" w:color="auto" w:sz="4" w:space="0"/>
              <w:right w:val="single" w:color="auto" w:sz="4" w:space="0"/>
            </w:tcBorders>
            <w:shd w:val="clear" w:color="auto" w:fill="auto"/>
            <w:vAlign w:val="center"/>
          </w:tcPr>
          <w:p w14:paraId="24881EF6">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职务</w:t>
            </w:r>
          </w:p>
        </w:tc>
      </w:tr>
      <w:tr w14:paraId="1F0BD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14:paraId="7392B8B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李彦所</w:t>
            </w:r>
          </w:p>
        </w:tc>
        <w:tc>
          <w:tcPr>
            <w:tcW w:w="1561" w:type="dxa"/>
            <w:tcBorders>
              <w:top w:val="single" w:color="auto" w:sz="4" w:space="0"/>
              <w:left w:val="single" w:color="auto" w:sz="4" w:space="0"/>
              <w:bottom w:val="single" w:color="auto" w:sz="4" w:space="0"/>
              <w:right w:val="single" w:color="auto" w:sz="4" w:space="0"/>
            </w:tcBorders>
            <w:shd w:val="clear" w:color="auto" w:fill="auto"/>
            <w:vAlign w:val="center"/>
          </w:tcPr>
          <w:p w14:paraId="56FDE7B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县纪委</w:t>
            </w:r>
          </w:p>
        </w:tc>
        <w:tc>
          <w:tcPr>
            <w:tcW w:w="4035" w:type="dxa"/>
            <w:tcBorders>
              <w:top w:val="single" w:color="auto" w:sz="4" w:space="0"/>
              <w:left w:val="single" w:color="auto" w:sz="4" w:space="0"/>
              <w:bottom w:val="single" w:color="auto" w:sz="4" w:space="0"/>
              <w:right w:val="single" w:color="auto" w:sz="4" w:space="0"/>
            </w:tcBorders>
            <w:shd w:val="clear" w:color="auto" w:fill="auto"/>
            <w:vAlign w:val="center"/>
          </w:tcPr>
          <w:p w14:paraId="5C4EBE1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县纪委副书记、监委副主任</w:t>
            </w:r>
          </w:p>
        </w:tc>
      </w:tr>
      <w:tr w14:paraId="135DA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14:paraId="47D742D7">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张跃强</w:t>
            </w:r>
          </w:p>
        </w:tc>
        <w:tc>
          <w:tcPr>
            <w:tcW w:w="1561" w:type="dxa"/>
            <w:tcBorders>
              <w:top w:val="single" w:color="auto" w:sz="4" w:space="0"/>
              <w:left w:val="single" w:color="auto" w:sz="4" w:space="0"/>
              <w:bottom w:val="single" w:color="auto" w:sz="4" w:space="0"/>
              <w:right w:val="single" w:color="auto" w:sz="4" w:space="0"/>
            </w:tcBorders>
            <w:shd w:val="clear" w:color="auto" w:fill="auto"/>
            <w:vAlign w:val="center"/>
          </w:tcPr>
          <w:p w14:paraId="0EEFFC2A">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县纪委</w:t>
            </w:r>
          </w:p>
        </w:tc>
        <w:tc>
          <w:tcPr>
            <w:tcW w:w="4035" w:type="dxa"/>
            <w:tcBorders>
              <w:top w:val="single" w:color="auto" w:sz="4" w:space="0"/>
              <w:left w:val="single" w:color="auto" w:sz="4" w:space="0"/>
              <w:bottom w:val="single" w:color="auto" w:sz="4" w:space="0"/>
              <w:right w:val="single" w:color="auto" w:sz="4" w:space="0"/>
            </w:tcBorders>
            <w:shd w:val="clear" w:color="auto" w:fill="auto"/>
            <w:vAlign w:val="center"/>
          </w:tcPr>
          <w:p w14:paraId="054FD57E">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sz w:val="32"/>
                <w:szCs w:val="32"/>
                <w:lang w:val="en-US"/>
              </w:rPr>
            </w:pPr>
            <w:r>
              <w:rPr>
                <w:rFonts w:hint="eastAsia" w:ascii="方正仿宋简体" w:hAnsi="方正仿宋简体" w:eastAsia="方正仿宋简体" w:cs="方正仿宋简体"/>
                <w:kern w:val="2"/>
                <w:sz w:val="32"/>
                <w:szCs w:val="32"/>
                <w:lang w:val="en-US" w:eastAsia="zh-CN" w:bidi="ar"/>
              </w:rPr>
              <w:t>县纪委常委</w:t>
            </w:r>
          </w:p>
        </w:tc>
      </w:tr>
      <w:tr w14:paraId="23035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1232" w:type="dxa"/>
            <w:tcBorders>
              <w:top w:val="single" w:color="auto" w:sz="4" w:space="0"/>
              <w:left w:val="single" w:color="auto" w:sz="4" w:space="0"/>
              <w:bottom w:val="single" w:color="auto" w:sz="4" w:space="0"/>
              <w:right w:val="single" w:color="auto" w:sz="4" w:space="0"/>
            </w:tcBorders>
            <w:shd w:val="clear" w:color="auto" w:fill="auto"/>
            <w:vAlign w:val="center"/>
          </w:tcPr>
          <w:p w14:paraId="6E410EC0">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kern w:val="2"/>
                <w:sz w:val="32"/>
                <w:szCs w:val="32"/>
                <w:lang w:val="en-US" w:eastAsia="zh-CN" w:bidi="ar"/>
              </w:rPr>
            </w:pPr>
            <w:r>
              <w:rPr>
                <w:rFonts w:hint="eastAsia" w:ascii="方正仿宋简体" w:hAnsi="方正仿宋简体" w:eastAsia="方正仿宋简体" w:cs="方正仿宋简体"/>
                <w:kern w:val="2"/>
                <w:sz w:val="32"/>
                <w:szCs w:val="32"/>
                <w:lang w:val="en-US" w:eastAsia="zh-CN" w:bidi="ar"/>
              </w:rPr>
              <w:t>陈洁</w:t>
            </w:r>
          </w:p>
        </w:tc>
        <w:tc>
          <w:tcPr>
            <w:tcW w:w="1561" w:type="dxa"/>
            <w:tcBorders>
              <w:top w:val="single" w:color="auto" w:sz="4" w:space="0"/>
              <w:left w:val="single" w:color="auto" w:sz="4" w:space="0"/>
              <w:bottom w:val="single" w:color="auto" w:sz="4" w:space="0"/>
              <w:right w:val="single" w:color="auto" w:sz="4" w:space="0"/>
            </w:tcBorders>
            <w:shd w:val="clear" w:color="auto" w:fill="auto"/>
            <w:vAlign w:val="center"/>
          </w:tcPr>
          <w:p w14:paraId="34288855">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kern w:val="2"/>
                <w:sz w:val="32"/>
                <w:szCs w:val="32"/>
                <w:lang w:val="en-US" w:eastAsia="zh-CN" w:bidi="ar"/>
              </w:rPr>
            </w:pPr>
            <w:r>
              <w:rPr>
                <w:rFonts w:hint="eastAsia" w:ascii="方正仿宋简体" w:hAnsi="方正仿宋简体" w:eastAsia="方正仿宋简体" w:cs="方正仿宋简体"/>
                <w:kern w:val="2"/>
                <w:sz w:val="32"/>
                <w:szCs w:val="32"/>
                <w:lang w:val="en-US" w:eastAsia="zh-CN" w:bidi="ar"/>
              </w:rPr>
              <w:t>县纪委</w:t>
            </w:r>
          </w:p>
        </w:tc>
        <w:tc>
          <w:tcPr>
            <w:tcW w:w="4035" w:type="dxa"/>
            <w:tcBorders>
              <w:top w:val="single" w:color="auto" w:sz="4" w:space="0"/>
              <w:left w:val="single" w:color="auto" w:sz="4" w:space="0"/>
              <w:bottom w:val="single" w:color="auto" w:sz="4" w:space="0"/>
              <w:right w:val="single" w:color="auto" w:sz="4" w:space="0"/>
            </w:tcBorders>
            <w:shd w:val="clear" w:color="auto" w:fill="auto"/>
            <w:vAlign w:val="center"/>
          </w:tcPr>
          <w:p w14:paraId="1F903C5B">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560" w:lineRule="exact"/>
              <w:ind w:left="0" w:right="0"/>
              <w:jc w:val="center"/>
              <w:textAlignment w:val="auto"/>
              <w:rPr>
                <w:rFonts w:hint="eastAsia" w:ascii="方正仿宋简体" w:hAnsi="方正仿宋简体" w:eastAsia="方正仿宋简体" w:cs="方正仿宋简体"/>
                <w:kern w:val="2"/>
                <w:sz w:val="32"/>
                <w:szCs w:val="32"/>
                <w:lang w:val="en-US" w:eastAsia="zh-CN" w:bidi="ar"/>
              </w:rPr>
            </w:pPr>
            <w:r>
              <w:rPr>
                <w:rFonts w:hint="eastAsia" w:ascii="方正仿宋简体" w:hAnsi="方正仿宋简体" w:eastAsia="方正仿宋简体" w:cs="方正仿宋简体"/>
                <w:kern w:val="2"/>
                <w:sz w:val="32"/>
                <w:szCs w:val="32"/>
                <w:lang w:val="en-US" w:eastAsia="zh-CN" w:bidi="ar"/>
              </w:rPr>
              <w:t>财务人员</w:t>
            </w:r>
          </w:p>
        </w:tc>
      </w:tr>
    </w:tbl>
    <w:p w14:paraId="0200C4A1">
      <w:pPr>
        <w:adjustRightInd w:val="0"/>
        <w:snapToGrid w:val="0"/>
        <w:spacing w:line="560" w:lineRule="exact"/>
        <w:ind w:firstLine="640" w:firstLineChars="200"/>
        <w:rPr>
          <w:rFonts w:ascii="黑体" w:hAnsi="黑体" w:eastAsia="黑体"/>
          <w:sz w:val="32"/>
          <w:szCs w:val="32"/>
        </w:rPr>
      </w:pPr>
    </w:p>
    <w:p w14:paraId="6188B745">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F8D6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B6DF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B6DF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F424CB"/>
    <w:multiLevelType w:val="singleLevel"/>
    <w:tmpl w:val="E5F424CB"/>
    <w:lvl w:ilvl="0" w:tentative="0">
      <w:start w:val="6"/>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2E6C23BE"/>
    <w:rsid w:val="2F571A4D"/>
    <w:rsid w:val="31151E97"/>
    <w:rsid w:val="33EB6CFF"/>
    <w:rsid w:val="35A12947"/>
    <w:rsid w:val="37387040"/>
    <w:rsid w:val="3B0548E0"/>
    <w:rsid w:val="3B625C0A"/>
    <w:rsid w:val="3CEE1963"/>
    <w:rsid w:val="40746E2C"/>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CA739A8"/>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37</TotalTime>
  <ScaleCrop>false</ScaleCrop>
  <LinksUpToDate>false</LinksUpToDate>
  <CharactersWithSpaces>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2026-04-29T06:25:44Z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807859DDDB204D7484EDDFBB4E9D1D2E</vt:lpwstr>
  </property>
</Properties>
</file>