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FAEE68">
      <w:pPr>
        <w:adjustRightInd w:val="0"/>
        <w:snapToGrid w:val="0"/>
        <w:spacing w:line="560" w:lineRule="exact"/>
        <w:rPr>
          <w:rFonts w:hint="eastAsia" w:ascii="黑体" w:hAnsi="黑体" w:eastAsia="黑体" w:cs="黑体"/>
          <w:sz w:val="32"/>
          <w:szCs w:val="32"/>
          <w:highlight w:val="none"/>
          <w:lang w:eastAsia="zh-CN"/>
        </w:rPr>
      </w:pPr>
    </w:p>
    <w:p w14:paraId="7A9CB7DE">
      <w:pPr>
        <w:spacing w:line="560" w:lineRule="exact"/>
        <w:jc w:val="center"/>
        <w:rPr>
          <w:rFonts w:ascii="宋体" w:hAnsi="宋体" w:cs="宋体"/>
          <w:b/>
          <w:bCs/>
          <w:sz w:val="44"/>
          <w:szCs w:val="44"/>
          <w:highlight w:val="none"/>
        </w:rPr>
      </w:pPr>
    </w:p>
    <w:p w14:paraId="5E4A4E99">
      <w:pPr>
        <w:spacing w:line="560" w:lineRule="exact"/>
        <w:jc w:val="center"/>
        <w:rPr>
          <w:rFonts w:hint="eastAsia" w:ascii="宋体" w:hAnsi="宋体" w:cs="宋体"/>
          <w:b/>
          <w:bCs/>
          <w:sz w:val="44"/>
          <w:szCs w:val="44"/>
          <w:highlight w:val="none"/>
          <w:lang w:val="en-US" w:eastAsia="zh-CN"/>
        </w:rPr>
      </w:pPr>
      <w:r>
        <w:rPr>
          <w:rFonts w:hint="eastAsia" w:ascii="宋体" w:hAnsi="宋体" w:cs="宋体"/>
          <w:b/>
          <w:bCs/>
          <w:sz w:val="44"/>
          <w:szCs w:val="44"/>
          <w:highlight w:val="none"/>
          <w:lang w:val="en-US" w:eastAsia="zh-CN"/>
        </w:rPr>
        <w:t>中共井陉县委组织部</w:t>
      </w:r>
    </w:p>
    <w:p w14:paraId="49F08D7C">
      <w:pPr>
        <w:spacing w:line="560" w:lineRule="exact"/>
        <w:jc w:val="center"/>
        <w:rPr>
          <w:rFonts w:ascii="宋体" w:hAnsi="宋体" w:cs="宋体"/>
          <w:b/>
          <w:bCs/>
          <w:sz w:val="44"/>
          <w:szCs w:val="44"/>
          <w:highlight w:val="none"/>
        </w:rPr>
      </w:pPr>
      <w:r>
        <w:rPr>
          <w:rFonts w:hint="eastAsia" w:ascii="宋体" w:hAnsi="宋体" w:cs="宋体"/>
          <w:b/>
          <w:bCs/>
          <w:sz w:val="44"/>
          <w:szCs w:val="44"/>
          <w:highlight w:val="none"/>
        </w:rPr>
        <w:t>202</w:t>
      </w:r>
      <w:r>
        <w:rPr>
          <w:rFonts w:hint="eastAsia" w:ascii="宋体" w:hAnsi="宋体" w:cs="宋体"/>
          <w:b/>
          <w:bCs/>
          <w:sz w:val="44"/>
          <w:szCs w:val="44"/>
          <w:highlight w:val="none"/>
          <w:lang w:val="en-US" w:eastAsia="zh-CN"/>
        </w:rPr>
        <w:t>5</w:t>
      </w:r>
      <w:r>
        <w:rPr>
          <w:rFonts w:hint="eastAsia" w:ascii="宋体" w:hAnsi="宋体" w:cs="宋体"/>
          <w:b/>
          <w:bCs/>
          <w:sz w:val="44"/>
          <w:szCs w:val="44"/>
          <w:highlight w:val="none"/>
        </w:rPr>
        <w:t>年度整体支出绩效自评报告</w:t>
      </w:r>
    </w:p>
    <w:p w14:paraId="779AD335">
      <w:pPr>
        <w:spacing w:line="560" w:lineRule="exact"/>
        <w:jc w:val="center"/>
        <w:rPr>
          <w:rFonts w:ascii="华文楷体" w:eastAsia="华文楷体"/>
          <w:sz w:val="32"/>
          <w:szCs w:val="32"/>
          <w:highlight w:val="none"/>
        </w:rPr>
      </w:pPr>
    </w:p>
    <w:p w14:paraId="7FDBB1D9">
      <w:pPr>
        <w:adjustRightInd w:val="0"/>
        <w:snapToGrid w:val="0"/>
        <w:spacing w:line="560"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贯彻落实市委市政府《关于全面落实预算绩效管理的实施意见》（石发﹝2019﹞8号）文件精神，遵循“科学性、规范性、客观性和公正性”的原则，对</w:t>
      </w:r>
      <w:r>
        <w:rPr>
          <w:rFonts w:hint="eastAsia" w:ascii="仿宋" w:hAnsi="仿宋" w:eastAsia="仿宋"/>
          <w:sz w:val="32"/>
          <w:szCs w:val="32"/>
          <w:highlight w:val="none"/>
          <w:lang w:val="en-US" w:eastAsia="zh-CN"/>
        </w:rPr>
        <w:t>中共井陉县委组织部</w:t>
      </w: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年整体支出情况实施了财政支出绩效自评价，形成本评价报告。</w:t>
      </w:r>
    </w:p>
    <w:p w14:paraId="6CE9E849">
      <w:pPr>
        <w:adjustRightInd w:val="0"/>
        <w:snapToGrid w:val="0"/>
        <w:spacing w:line="560" w:lineRule="exact"/>
        <w:rPr>
          <w:rFonts w:ascii="黑体" w:hAnsi="黑体" w:eastAsia="黑体"/>
          <w:b/>
          <w:bCs/>
          <w:sz w:val="32"/>
          <w:szCs w:val="36"/>
          <w:highlight w:val="none"/>
        </w:rPr>
      </w:pPr>
      <w:r>
        <w:rPr>
          <w:rFonts w:hint="eastAsia" w:ascii="黑体" w:hAnsi="黑体" w:eastAsia="黑体"/>
          <w:sz w:val="32"/>
          <w:szCs w:val="32"/>
          <w:highlight w:val="none"/>
        </w:rPr>
        <w:t xml:space="preserve">     一、部门</w:t>
      </w:r>
      <w:r>
        <w:rPr>
          <w:rFonts w:hint="eastAsia" w:ascii="黑体" w:hAnsi="黑体" w:eastAsia="黑体"/>
          <w:sz w:val="32"/>
          <w:szCs w:val="36"/>
          <w:highlight w:val="none"/>
        </w:rPr>
        <w:t>基本情况</w:t>
      </w:r>
    </w:p>
    <w:p w14:paraId="709612E9">
      <w:pPr>
        <w:adjustRightInd w:val="0"/>
        <w:snapToGrid w:val="0"/>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（一）部门概况</w:t>
      </w:r>
    </w:p>
    <w:p w14:paraId="324CFA8B">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主要职能</w:t>
      </w:r>
      <w:r>
        <w:rPr>
          <w:rFonts w:hint="eastAsia" w:ascii="仿宋" w:hAnsi="仿宋" w:eastAsia="仿宋"/>
          <w:sz w:val="32"/>
          <w:szCs w:val="32"/>
          <w:highlight w:val="none"/>
          <w:lang w:eastAsia="zh-CN"/>
        </w:rPr>
        <w:t>：</w:t>
      </w:r>
      <w:r>
        <w:rPr>
          <w:rFonts w:hint="eastAsia" w:ascii="仿宋" w:hAnsi="仿宋" w:eastAsia="仿宋"/>
          <w:sz w:val="32"/>
          <w:szCs w:val="32"/>
          <w:highlight w:val="none"/>
        </w:rPr>
        <w:t>（</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系会议”牵头抓总工作。</w:t>
      </w:r>
    </w:p>
    <w:p w14:paraId="4535DD29">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w:t>
      </w:r>
      <w:r>
        <w:rPr>
          <w:rFonts w:hint="eastAsia" w:ascii="仿宋" w:hAnsi="仿宋" w:eastAsia="仿宋"/>
          <w:sz w:val="32"/>
          <w:szCs w:val="32"/>
          <w:highlight w:val="none"/>
          <w:lang w:val="en-US" w:eastAsia="zh-CN"/>
        </w:rPr>
        <w:t>老干部局</w:t>
      </w:r>
      <w:r>
        <w:rPr>
          <w:rFonts w:hint="eastAsia" w:ascii="仿宋" w:hAnsi="仿宋" w:eastAsia="仿宋"/>
          <w:sz w:val="32"/>
          <w:szCs w:val="32"/>
          <w:highlight w:val="none"/>
        </w:rPr>
        <w:t>和</w:t>
      </w:r>
      <w:r>
        <w:rPr>
          <w:rFonts w:hint="eastAsia" w:ascii="仿宋" w:hAnsi="仿宋" w:eastAsia="仿宋"/>
          <w:sz w:val="32"/>
          <w:szCs w:val="32"/>
          <w:highlight w:val="none"/>
          <w:lang w:val="en-US" w:eastAsia="zh-CN"/>
        </w:rPr>
        <w:t>县委县直机关工作委员会</w:t>
      </w:r>
      <w:r>
        <w:rPr>
          <w:rFonts w:hint="eastAsia" w:ascii="仿宋" w:hAnsi="仿宋" w:eastAsia="仿宋"/>
          <w:sz w:val="32"/>
          <w:szCs w:val="32"/>
          <w:highlight w:val="none"/>
        </w:rPr>
        <w:t>职责。</w:t>
      </w:r>
    </w:p>
    <w:p w14:paraId="41752AD0">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3</w:t>
      </w:r>
      <w:r>
        <w:rPr>
          <w:rFonts w:hint="eastAsia" w:ascii="仿宋" w:hAnsi="仿宋" w:eastAsia="仿宋" w:cs="仿宋"/>
          <w:sz w:val="32"/>
          <w:szCs w:val="32"/>
          <w:highlight w:val="none"/>
        </w:rPr>
        <w:t>）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1EDFD18A">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rPr>
        <w:t>）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733CCB20">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）负责公务员、参照公务员法管理事业单位工作人员录用调配、考核奖惩、培训和工资福利等工作；研究拟订公务员管理办法并组织实施；指导全县公务员、参照公务员法管理事业单位工作人员队伍建设。</w:t>
      </w:r>
    </w:p>
    <w:p w14:paraId="292345CB">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rPr>
        <w:t>）负责全县人才工作和人才队伍建设的牵头抓总、统筹协调、推进落实；负责做好</w:t>
      </w:r>
      <w:bookmarkStart w:id="0" w:name="_GoBack"/>
      <w:bookmarkEnd w:id="0"/>
      <w:r>
        <w:rPr>
          <w:rFonts w:hint="eastAsia" w:ascii="仿宋" w:hAnsi="仿宋" w:eastAsia="仿宋" w:cs="仿宋"/>
          <w:sz w:val="32"/>
          <w:szCs w:val="32"/>
          <w:highlight w:val="none"/>
        </w:rPr>
        <w:t>市管优秀专家等重点人才推荐申报、联系服务工作；负责县管拔尖人才的选拔管理；承担县委人才工作领导小组办公室日常工作。</w:t>
      </w:r>
    </w:p>
    <w:p w14:paraId="509BED09">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7</w:t>
      </w:r>
      <w:r>
        <w:rPr>
          <w:rFonts w:hint="eastAsia" w:ascii="仿宋" w:hAnsi="仿宋" w:eastAsia="仿宋" w:cs="仿宋"/>
          <w:sz w:val="32"/>
          <w:szCs w:val="32"/>
          <w:highlight w:val="none"/>
        </w:rPr>
        <w:t>）负责组织系统新闻宣传、信息化建设和组织史征编工作。</w:t>
      </w:r>
    </w:p>
    <w:p w14:paraId="07562D73">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）负责全县组织工作的检查督促，及时向县委反映重要情况并提出建议。</w:t>
      </w:r>
    </w:p>
    <w:p w14:paraId="109B5FD3">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9</w:t>
      </w:r>
      <w:r>
        <w:rPr>
          <w:rFonts w:hint="eastAsia" w:ascii="仿宋" w:hAnsi="仿宋" w:eastAsia="仿宋" w:cs="仿宋"/>
          <w:sz w:val="32"/>
          <w:szCs w:val="32"/>
          <w:highlight w:val="none"/>
        </w:rPr>
        <w:t>）统一管理县委机构编制委员会办公室，归口管理县委老干部局。</w:t>
      </w:r>
    </w:p>
    <w:p w14:paraId="2DBA035D">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10</w:t>
      </w:r>
      <w:r>
        <w:rPr>
          <w:rFonts w:hint="eastAsia" w:ascii="仿宋" w:hAnsi="仿宋" w:eastAsia="仿宋" w:cs="仿宋"/>
          <w:sz w:val="32"/>
          <w:szCs w:val="32"/>
          <w:highlight w:val="none"/>
        </w:rPr>
        <w:t>）完成县委交办的其他任务。</w:t>
      </w:r>
    </w:p>
    <w:p w14:paraId="6D494806">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机构</w:t>
      </w:r>
      <w:r>
        <w:rPr>
          <w:rFonts w:hint="eastAsia" w:ascii="仿宋" w:hAnsi="仿宋" w:eastAsia="仿宋" w:cs="仿宋"/>
          <w:sz w:val="32"/>
          <w:szCs w:val="32"/>
          <w:highlight w:val="none"/>
          <w:lang w:val="en-US" w:eastAsia="zh-CN"/>
        </w:rPr>
        <w:t>及人员情况</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井陉县委组织部是财政拨款的正科级行政机关，编制</w:t>
      </w:r>
      <w:r>
        <w:rPr>
          <w:rFonts w:hint="eastAsia" w:ascii="仿宋" w:hAnsi="仿宋" w:eastAsia="仿宋" w:cs="仿宋"/>
          <w:sz w:val="32"/>
          <w:szCs w:val="32"/>
          <w:highlight w:val="none"/>
          <w:lang w:val="en-US" w:eastAsia="zh-CN"/>
        </w:rPr>
        <w:t>31</w:t>
      </w:r>
      <w:r>
        <w:rPr>
          <w:rFonts w:hint="eastAsia" w:ascii="仿宋" w:hAnsi="仿宋" w:eastAsia="仿宋" w:cs="仿宋"/>
          <w:sz w:val="32"/>
          <w:szCs w:val="32"/>
          <w:highlight w:val="none"/>
        </w:rPr>
        <w:t>人，</w:t>
      </w:r>
      <w:r>
        <w:rPr>
          <w:rFonts w:hint="eastAsia" w:ascii="仿宋" w:hAnsi="仿宋" w:eastAsia="仿宋" w:cs="仿宋"/>
          <w:kern w:val="0"/>
          <w:sz w:val="32"/>
          <w:szCs w:val="32"/>
          <w:highlight w:val="none"/>
        </w:rPr>
        <w:t>下设井陉县干部信息管理中心（副科级事业单位）</w:t>
      </w:r>
      <w:r>
        <w:rPr>
          <w:rFonts w:hint="eastAsia" w:ascii="仿宋" w:hAnsi="仿宋" w:eastAsia="仿宋" w:cs="仿宋"/>
          <w:kern w:val="0"/>
          <w:sz w:val="32"/>
          <w:szCs w:val="32"/>
          <w:highlight w:val="none"/>
          <w:lang w:val="en-US" w:eastAsia="zh-CN"/>
        </w:rPr>
        <w:t>,编制15人，人才服务中心5人</w:t>
      </w:r>
      <w:r>
        <w:rPr>
          <w:rFonts w:hint="eastAsia" w:ascii="仿宋" w:hAnsi="仿宋" w:eastAsia="仿宋" w:cs="仿宋"/>
          <w:kern w:val="0"/>
          <w:sz w:val="32"/>
          <w:szCs w:val="32"/>
          <w:highlight w:val="none"/>
        </w:rPr>
        <w:t>（副科级事业单位）</w:t>
      </w:r>
      <w:r>
        <w:rPr>
          <w:rFonts w:hint="eastAsia" w:ascii="仿宋" w:hAnsi="仿宋" w:eastAsia="仿宋" w:cs="仿宋"/>
          <w:kern w:val="0"/>
          <w:sz w:val="32"/>
          <w:szCs w:val="32"/>
          <w:highlight w:val="none"/>
          <w:lang w:eastAsia="zh-CN"/>
        </w:rPr>
        <w:t>，</w:t>
      </w:r>
      <w:r>
        <w:rPr>
          <w:rFonts w:hint="eastAsia" w:ascii="仿宋" w:hAnsi="仿宋" w:eastAsia="仿宋" w:cs="仿宋"/>
          <w:kern w:val="0"/>
          <w:sz w:val="32"/>
          <w:szCs w:val="32"/>
          <w:highlight w:val="none"/>
          <w:lang w:val="en-US" w:eastAsia="zh-CN"/>
        </w:rPr>
        <w:t>老干部服务中心（股级事业单位）5人</w:t>
      </w:r>
      <w:r>
        <w:rPr>
          <w:rFonts w:hint="eastAsia" w:ascii="仿宋" w:hAnsi="仿宋" w:eastAsia="仿宋" w:cs="仿宋"/>
          <w:kern w:val="0"/>
          <w:sz w:val="32"/>
          <w:szCs w:val="32"/>
          <w:highlight w:val="none"/>
        </w:rPr>
        <w:t>。</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25年</w:t>
      </w:r>
      <w:r>
        <w:rPr>
          <w:rFonts w:hint="eastAsia" w:ascii="仿宋" w:hAnsi="仿宋" w:eastAsia="仿宋" w:cs="仿宋"/>
          <w:sz w:val="32"/>
          <w:szCs w:val="32"/>
          <w:highlight w:val="none"/>
        </w:rPr>
        <w:t>末实有人数</w:t>
      </w:r>
      <w:r>
        <w:rPr>
          <w:rFonts w:hint="eastAsia" w:ascii="仿宋" w:hAnsi="仿宋" w:eastAsia="仿宋" w:cs="仿宋"/>
          <w:sz w:val="32"/>
          <w:szCs w:val="32"/>
          <w:highlight w:val="none"/>
          <w:lang w:val="en-US" w:eastAsia="zh-CN"/>
        </w:rPr>
        <w:t>43</w:t>
      </w:r>
      <w:r>
        <w:rPr>
          <w:rFonts w:hint="eastAsia" w:ascii="仿宋" w:hAnsi="仿宋" w:eastAsia="仿宋" w:cs="仿宋"/>
          <w:sz w:val="32"/>
          <w:szCs w:val="32"/>
          <w:highlight w:val="none"/>
        </w:rPr>
        <w:t>人，其中</w:t>
      </w:r>
      <w:r>
        <w:rPr>
          <w:rFonts w:hint="eastAsia" w:ascii="仿宋" w:hAnsi="仿宋" w:eastAsia="仿宋" w:cs="仿宋"/>
          <w:sz w:val="32"/>
          <w:szCs w:val="32"/>
          <w:highlight w:val="none"/>
          <w:lang w:eastAsia="zh-CN"/>
        </w:rPr>
        <w:t>行政</w:t>
      </w:r>
      <w:r>
        <w:rPr>
          <w:rFonts w:hint="eastAsia" w:ascii="仿宋" w:hAnsi="仿宋" w:eastAsia="仿宋" w:cs="仿宋"/>
          <w:sz w:val="32"/>
          <w:szCs w:val="32"/>
          <w:highlight w:val="none"/>
        </w:rPr>
        <w:t>在职</w:t>
      </w:r>
      <w:r>
        <w:rPr>
          <w:rFonts w:hint="eastAsia" w:ascii="仿宋" w:hAnsi="仿宋" w:eastAsia="仿宋" w:cs="仿宋"/>
          <w:sz w:val="32"/>
          <w:szCs w:val="32"/>
          <w:highlight w:val="none"/>
          <w:lang w:val="en-US" w:eastAsia="zh-CN"/>
        </w:rPr>
        <w:t>30</w:t>
      </w:r>
      <w:r>
        <w:rPr>
          <w:rFonts w:hint="eastAsia" w:ascii="仿宋" w:hAnsi="仿宋" w:eastAsia="仿宋" w:cs="仿宋"/>
          <w:sz w:val="32"/>
          <w:szCs w:val="32"/>
          <w:highlight w:val="none"/>
        </w:rPr>
        <w:t>人，</w:t>
      </w:r>
      <w:r>
        <w:rPr>
          <w:rFonts w:hint="eastAsia" w:ascii="仿宋" w:hAnsi="仿宋" w:eastAsia="仿宋" w:cs="仿宋"/>
          <w:sz w:val="32"/>
          <w:szCs w:val="32"/>
          <w:highlight w:val="none"/>
          <w:lang w:eastAsia="zh-CN"/>
        </w:rPr>
        <w:t>事业在职</w:t>
      </w:r>
      <w:r>
        <w:rPr>
          <w:rFonts w:hint="eastAsia" w:ascii="仿宋" w:hAnsi="仿宋" w:eastAsia="仿宋" w:cs="仿宋"/>
          <w:sz w:val="32"/>
          <w:szCs w:val="32"/>
          <w:highlight w:val="none"/>
          <w:lang w:val="en-US" w:eastAsia="zh-CN"/>
        </w:rPr>
        <w:t>13人。</w:t>
      </w:r>
      <w:r>
        <w:rPr>
          <w:rFonts w:hint="eastAsia" w:ascii="仿宋" w:hAnsi="仿宋" w:eastAsia="仿宋" w:cs="仿宋"/>
          <w:sz w:val="32"/>
          <w:szCs w:val="32"/>
          <w:highlight w:val="none"/>
        </w:rPr>
        <w:t>退休2</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人。</w:t>
      </w:r>
    </w:p>
    <w:p w14:paraId="46DD8B68">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部门收支预决算情况</w:t>
      </w:r>
    </w:p>
    <w:p w14:paraId="0872C93E">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年共有项目</w:t>
      </w:r>
      <w:r>
        <w:rPr>
          <w:rFonts w:hint="eastAsia" w:ascii="仿宋" w:hAnsi="仿宋" w:eastAsia="仿宋" w:cs="仿宋"/>
          <w:sz w:val="32"/>
          <w:szCs w:val="32"/>
          <w:highlight w:val="none"/>
          <w:lang w:val="en-US" w:eastAsia="zh-CN"/>
        </w:rPr>
        <w:t>31个</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2025</w:t>
      </w:r>
      <w:r>
        <w:rPr>
          <w:rFonts w:hint="eastAsia" w:ascii="仿宋" w:hAnsi="仿宋" w:eastAsia="仿宋" w:cs="仿宋"/>
          <w:sz w:val="32"/>
          <w:szCs w:val="32"/>
          <w:highlight w:val="none"/>
        </w:rPr>
        <w:t>年</w:t>
      </w:r>
      <w:r>
        <w:rPr>
          <w:rFonts w:hint="eastAsia" w:ascii="仿宋" w:hAnsi="仿宋" w:eastAsia="仿宋" w:cs="仿宋"/>
          <w:sz w:val="32"/>
          <w:szCs w:val="32"/>
          <w:highlight w:val="none"/>
          <w:lang w:eastAsia="zh-CN"/>
        </w:rPr>
        <w:t>年初</w:t>
      </w:r>
      <w:r>
        <w:rPr>
          <w:rFonts w:hint="eastAsia" w:ascii="仿宋" w:hAnsi="仿宋" w:eastAsia="仿宋" w:cs="仿宋"/>
          <w:sz w:val="32"/>
          <w:szCs w:val="32"/>
          <w:highlight w:val="none"/>
        </w:rPr>
        <w:t>预算安排</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调整后</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7630.43</w:t>
      </w:r>
      <w:r>
        <w:rPr>
          <w:rFonts w:hint="eastAsia" w:ascii="仿宋" w:hAnsi="仿宋" w:eastAsia="仿宋" w:cs="仿宋"/>
          <w:sz w:val="32"/>
          <w:szCs w:val="32"/>
          <w:highlight w:val="none"/>
        </w:rPr>
        <w:t>万元，共计支出</w:t>
      </w:r>
      <w:r>
        <w:rPr>
          <w:rFonts w:hint="eastAsia" w:ascii="仿宋" w:hAnsi="仿宋" w:eastAsia="仿宋" w:cs="仿宋"/>
          <w:sz w:val="32"/>
          <w:szCs w:val="32"/>
          <w:highlight w:val="none"/>
          <w:lang w:val="en-US" w:eastAsia="zh-CN"/>
        </w:rPr>
        <w:t>7616.34</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w:t>
      </w:r>
    </w:p>
    <w:p w14:paraId="5A06CEF7">
      <w:pPr>
        <w:adjustRightInd w:val="0"/>
        <w:snapToGrid w:val="0"/>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（三）部门整体支出绩效目标、指标</w:t>
      </w:r>
    </w:p>
    <w:p w14:paraId="377444D6">
      <w:pPr>
        <w:adjustRightInd w:val="0"/>
        <w:snapToGrid w:val="0"/>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2025</w:t>
      </w:r>
      <w:r>
        <w:rPr>
          <w:rFonts w:hint="eastAsia" w:ascii="仿宋" w:hAnsi="仿宋" w:eastAsia="仿宋" w:cs="仿宋"/>
          <w:sz w:val="32"/>
          <w:szCs w:val="32"/>
          <w:highlight w:val="none"/>
        </w:rPr>
        <w:t>年我部门积极履职，强化管理，较好地完成了年度工作目标。通过加强预算收支管理，不断建立健全内部管理制度，梳理内部管理流程，部门整体支出管理水平得到提升。根据部门整体支出绩效自评表，我部门202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年度绩效自评得分为</w:t>
      </w:r>
      <w:r>
        <w:rPr>
          <w:rFonts w:hint="eastAsia" w:ascii="仿宋" w:hAnsi="仿宋" w:eastAsia="仿宋" w:cs="仿宋"/>
          <w:sz w:val="32"/>
          <w:szCs w:val="32"/>
          <w:highlight w:val="none"/>
          <w:lang w:val="en-US" w:eastAsia="zh-CN"/>
        </w:rPr>
        <w:t>99.64</w:t>
      </w:r>
      <w:r>
        <w:rPr>
          <w:rFonts w:hint="eastAsia" w:ascii="仿宋" w:hAnsi="仿宋" w:eastAsia="仿宋" w:cs="仿宋"/>
          <w:sz w:val="32"/>
          <w:szCs w:val="32"/>
          <w:highlight w:val="none"/>
        </w:rPr>
        <w:t>分。</w:t>
      </w:r>
    </w:p>
    <w:p w14:paraId="3AE9D415">
      <w:pPr>
        <w:adjustRightInd w:val="0"/>
        <w:snapToGrid w:val="0"/>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二、自评工作开展情况</w:t>
      </w:r>
    </w:p>
    <w:p w14:paraId="42648A7B">
      <w:pPr>
        <w:spacing w:line="560" w:lineRule="exact"/>
        <w:rPr>
          <w:rFonts w:ascii="楷体" w:hAnsi="楷体" w:eastAsia="楷体" w:cs="楷体_GB2312"/>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（一）自评的组织工作</w:t>
      </w:r>
    </w:p>
    <w:p w14:paraId="22256F64">
      <w:pPr>
        <w:spacing w:line="560" w:lineRule="exact"/>
        <w:rPr>
          <w:rFonts w:hint="eastAsia" w:ascii="仿宋" w:hAnsi="仿宋" w:eastAsia="仿宋" w:cs="仿宋"/>
          <w:sz w:val="32"/>
          <w:szCs w:val="32"/>
          <w:highlight w:val="none"/>
        </w:rPr>
      </w:pPr>
      <w:r>
        <w:rPr>
          <w:rFonts w:hint="eastAsia" w:ascii="仿宋" w:hAnsi="仿宋" w:eastAsia="仿宋"/>
          <w:sz w:val="32"/>
          <w:szCs w:val="32"/>
          <w:highlight w:val="none"/>
        </w:rPr>
        <w:t xml:space="preserve">   </w:t>
      </w:r>
      <w:r>
        <w:rPr>
          <w:rFonts w:hint="eastAsia" w:ascii="仿宋" w:hAnsi="仿宋" w:eastAsia="仿宋" w:cs="仿宋"/>
          <w:sz w:val="32"/>
          <w:szCs w:val="32"/>
          <w:highlight w:val="none"/>
        </w:rPr>
        <w:t xml:space="preserve">  根据《井陉县财政局关于开展202</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rPr>
        <w:t>年绩效自评工作的通知》（井财监[202</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rPr>
        <w:t>]1号）文件要求，我部迅速抽调相关业务部门的工作人员组成自评工作小组，开展我部的项目绩效评价工作。</w:t>
      </w:r>
    </w:p>
    <w:p w14:paraId="7AA80F90">
      <w:pPr>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lang w:eastAsia="zh-CN"/>
        </w:rPr>
        <w:t>（</w:t>
      </w:r>
      <w:r>
        <w:rPr>
          <w:rFonts w:hint="eastAsia" w:ascii="楷体" w:hAnsi="楷体" w:eastAsia="楷体" w:cs="楷体_GB2312"/>
          <w:bCs/>
          <w:sz w:val="32"/>
          <w:szCs w:val="32"/>
          <w:highlight w:val="none"/>
          <w:lang w:val="en-US" w:eastAsia="zh-CN"/>
        </w:rPr>
        <w:t>二</w:t>
      </w:r>
      <w:r>
        <w:rPr>
          <w:rFonts w:hint="eastAsia" w:ascii="楷体" w:hAnsi="楷体" w:eastAsia="楷体" w:cs="楷体_GB2312"/>
          <w:bCs/>
          <w:sz w:val="32"/>
          <w:szCs w:val="32"/>
          <w:highlight w:val="none"/>
          <w:lang w:eastAsia="zh-CN"/>
        </w:rPr>
        <w:t>）</w:t>
      </w:r>
      <w:r>
        <w:rPr>
          <w:rFonts w:hint="eastAsia" w:ascii="楷体" w:hAnsi="楷体" w:eastAsia="楷体" w:cs="楷体_GB2312"/>
          <w:bCs/>
          <w:sz w:val="32"/>
          <w:szCs w:val="32"/>
          <w:highlight w:val="none"/>
        </w:rPr>
        <w:t>自评的方法和过程</w:t>
      </w:r>
    </w:p>
    <w:p w14:paraId="1ED2141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highlight w:val="none"/>
        </w:rPr>
      </w:pPr>
      <w:r>
        <w:rPr>
          <w:rFonts w:hint="eastAsia" w:ascii="仿宋" w:hAnsi="仿宋" w:eastAsia="仿宋" w:cs="仿宋"/>
          <w:sz w:val="32"/>
          <w:szCs w:val="32"/>
          <w:highlight w:val="none"/>
        </w:rPr>
        <w:t>评价工作先由项目涉及的业务科室按照要求对项目进行自评；然后由评价小组本着公平公正、科学规范的原则，对业务科室上报的相关材料进行审查、复核和测评，并按照评价标准和规范对各项指标进行计算和打分，最终形成上报项目自评表和自评报告。</w:t>
      </w:r>
    </w:p>
    <w:p w14:paraId="12507515">
      <w:pPr>
        <w:spacing w:line="560" w:lineRule="exact"/>
        <w:rPr>
          <w:rFonts w:ascii="黑体" w:hAnsi="黑体" w:eastAsia="黑体"/>
          <w:b/>
          <w:bCs/>
          <w:sz w:val="32"/>
          <w:szCs w:val="32"/>
          <w:highlight w:val="none"/>
        </w:rPr>
      </w:pPr>
      <w:r>
        <w:rPr>
          <w:rFonts w:hint="eastAsia" w:ascii="黑体" w:hAnsi="黑体" w:eastAsia="黑体"/>
          <w:sz w:val="32"/>
          <w:szCs w:val="32"/>
          <w:highlight w:val="none"/>
        </w:rPr>
        <w:t xml:space="preserve">    三、部门整体支出绩效目标实现情况及指标分析</w:t>
      </w:r>
    </w:p>
    <w:p w14:paraId="6426BED8">
      <w:pPr>
        <w:numPr>
          <w:ilvl w:val="0"/>
          <w:numId w:val="2"/>
        </w:numPr>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总体绩效目标实现情况</w:t>
      </w:r>
    </w:p>
    <w:p w14:paraId="53A9DDD5">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根据财政预算绩效管理要求，我部门组织对</w:t>
      </w:r>
      <w:r>
        <w:rPr>
          <w:rFonts w:hint="eastAsia" w:ascii="仿宋" w:hAnsi="仿宋" w:eastAsia="仿宋" w:cs="仿宋"/>
          <w:sz w:val="32"/>
          <w:szCs w:val="32"/>
          <w:highlight w:val="none"/>
          <w:lang w:val="en-US" w:eastAsia="zh-CN"/>
        </w:rPr>
        <w:t>2025年度31个项目支出开展绩效自评，共涉及资金7630.43</w:t>
      </w:r>
      <w:r>
        <w:rPr>
          <w:rFonts w:hint="eastAsia" w:ascii="仿宋" w:hAnsi="仿宋" w:eastAsia="仿宋" w:cs="仿宋"/>
          <w:sz w:val="32"/>
          <w:szCs w:val="32"/>
          <w:highlight w:val="none"/>
          <w:lang w:eastAsia="zh-CN"/>
        </w:rPr>
        <w:t>万元，支出总额</w:t>
      </w:r>
      <w:r>
        <w:rPr>
          <w:rFonts w:hint="eastAsia" w:ascii="仿宋" w:hAnsi="仿宋" w:eastAsia="仿宋" w:cs="仿宋"/>
          <w:sz w:val="32"/>
          <w:szCs w:val="32"/>
          <w:highlight w:val="none"/>
          <w:lang w:val="en-US" w:eastAsia="zh-CN"/>
        </w:rPr>
        <w:t>7616.34</w:t>
      </w:r>
      <w:r>
        <w:rPr>
          <w:rFonts w:hint="eastAsia" w:ascii="仿宋" w:hAnsi="仿宋" w:eastAsia="仿宋" w:cs="仿宋"/>
          <w:sz w:val="32"/>
          <w:szCs w:val="32"/>
          <w:highlight w:val="none"/>
          <w:lang w:eastAsia="zh-CN"/>
        </w:rPr>
        <w:t>万元，支出率</w:t>
      </w:r>
      <w:r>
        <w:rPr>
          <w:rFonts w:hint="eastAsia" w:ascii="仿宋" w:hAnsi="仿宋" w:eastAsia="仿宋" w:cs="仿宋"/>
          <w:sz w:val="32"/>
          <w:szCs w:val="32"/>
          <w:highlight w:val="none"/>
          <w:lang w:val="en-US" w:eastAsia="zh-CN"/>
        </w:rPr>
        <w:t>99.82%，我部2025年部门整体支出绩效自评总分为99.64分。</w:t>
      </w:r>
    </w:p>
    <w:p w14:paraId="0AC1FBA4">
      <w:pPr>
        <w:spacing w:line="560" w:lineRule="exact"/>
        <w:rPr>
          <w:rFonts w:ascii="楷体" w:hAnsi="楷体" w:eastAsia="楷体"/>
          <w:bCs/>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（二）分项绩效目标实现情况及指标分析</w:t>
      </w:r>
    </w:p>
    <w:p w14:paraId="656CDD7F">
      <w:pPr>
        <w:spacing w:line="56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从评价情况来看，我部预算编制、执行及使用效益情况均达到了预期的绩效目标，各项目立项依据明确、绩效目标清晰合理，指标体系相对完善，项目管理规范，项目产出和效益显著，我部较好完成了202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年履行职能职责和各项重点工作任务，整体支出和项目绩效情况较为理想，总体上达到了全过程预算绩效管理的要求。</w:t>
      </w:r>
    </w:p>
    <w:p w14:paraId="4641FAF9">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四、评价结论和评价等级</w:t>
      </w:r>
    </w:p>
    <w:p w14:paraId="1D27DF86">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根据整体项目执行情况和项目绩效情况，评价</w:t>
      </w:r>
      <w:r>
        <w:rPr>
          <w:rFonts w:hint="eastAsia" w:ascii="仿宋" w:hAnsi="仿宋" w:eastAsia="仿宋" w:cs="仿宋"/>
          <w:sz w:val="32"/>
          <w:szCs w:val="32"/>
          <w:highlight w:val="none"/>
          <w:lang w:val="en-US" w:eastAsia="zh-CN"/>
        </w:rPr>
        <w:t>得分99.64分</w:t>
      </w:r>
      <w:r>
        <w:rPr>
          <w:rFonts w:hint="eastAsia" w:ascii="仿宋" w:hAnsi="仿宋" w:eastAsia="仿宋" w:cs="仿宋"/>
          <w:sz w:val="32"/>
          <w:szCs w:val="32"/>
          <w:highlight w:val="none"/>
          <w:lang w:eastAsia="zh-CN"/>
        </w:rPr>
        <w:t>，综合评价为优秀。</w:t>
      </w:r>
    </w:p>
    <w:p w14:paraId="13BA90C8">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五、存在的问题及改进措施</w:t>
      </w:r>
    </w:p>
    <w:p w14:paraId="44DA8A82">
      <w:pPr>
        <w:widowControl w:val="0"/>
        <w:wordWrap/>
        <w:adjustRightInd/>
        <w:snapToGrid w:val="0"/>
        <w:spacing w:line="560" w:lineRule="exact"/>
        <w:ind w:left="0" w:leftChars="0" w:right="0" w:firstLine="640" w:firstLineChars="200"/>
        <w:textAlignment w:val="auto"/>
        <w:outlineLvl w:val="9"/>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122957A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rPr>
      </w:pPr>
      <w:r>
        <w:rPr>
          <w:rFonts w:hint="eastAsia" w:ascii="仿宋" w:hAnsi="仿宋" w:eastAsia="仿宋" w:cs="仿宋"/>
          <w:sz w:val="32"/>
          <w:szCs w:val="32"/>
          <w:highlight w:val="none"/>
        </w:rPr>
        <w:t>通过绩效自评结果对比倒查的年初绩效目标设定情况，发现年初绩效目标设定还是不够科学合理，目标不够适宜、易于评价。主要是有些项目确实不好量化，再就是年初绩效目标设定不够仔细、完善。</w:t>
      </w:r>
    </w:p>
    <w:p w14:paraId="5A1AF693">
      <w:pPr>
        <w:widowControl w:val="0"/>
        <w:numPr>
          <w:ilvl w:val="0"/>
          <w:numId w:val="2"/>
        </w:numPr>
        <w:wordWrap/>
        <w:adjustRightInd/>
        <w:snapToGrid w:val="0"/>
        <w:spacing w:line="560" w:lineRule="exact"/>
        <w:ind w:left="0" w:leftChars="0" w:right="0" w:firstLine="640" w:firstLineChars="200"/>
        <w:textAlignment w:val="auto"/>
        <w:outlineLvl w:val="9"/>
        <w:rPr>
          <w:rFonts w:hint="eastAsia" w:ascii="楷体" w:hAnsi="楷体" w:eastAsia="楷体"/>
          <w:bCs/>
          <w:sz w:val="32"/>
          <w:szCs w:val="32"/>
          <w:highlight w:val="none"/>
        </w:rPr>
      </w:pPr>
      <w:r>
        <w:rPr>
          <w:rFonts w:hint="eastAsia" w:ascii="楷体" w:hAnsi="楷体" w:eastAsia="楷体"/>
          <w:bCs/>
          <w:sz w:val="32"/>
          <w:szCs w:val="32"/>
          <w:highlight w:val="none"/>
        </w:rPr>
        <w:t>针对问题提出具体的改进措施或建议</w:t>
      </w:r>
    </w:p>
    <w:p w14:paraId="5778D376">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一是进一步完善绩效指标设置，根据单位职能及资金用途，探索扩大绩效指标覆盖范围，使其能更全面反映项目绩效。</w:t>
      </w:r>
    </w:p>
    <w:p w14:paraId="42D10AC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二是选取最能体现总体目标实现程度的关键指标，并明确具体指标值，对难以量化的定性描述要更加充分、具体。</w:t>
      </w:r>
    </w:p>
    <w:p w14:paraId="112B320B">
      <w:pPr>
        <w:numPr>
          <w:ilvl w:val="0"/>
          <w:numId w:val="3"/>
        </w:numPr>
        <w:adjustRightInd w:val="0"/>
        <w:snapToGrid w:val="0"/>
        <w:spacing w:line="560" w:lineRule="exact"/>
        <w:ind w:firstLine="640" w:firstLineChars="200"/>
        <w:rPr>
          <w:rFonts w:hint="eastAsia" w:ascii="黑体" w:hAnsi="黑体" w:eastAsia="黑体"/>
          <w:sz w:val="32"/>
          <w:szCs w:val="32"/>
          <w:highlight w:val="none"/>
        </w:rPr>
      </w:pPr>
      <w:r>
        <w:rPr>
          <w:rFonts w:hint="eastAsia" w:ascii="黑体" w:hAnsi="黑体" w:eastAsia="黑体"/>
          <w:sz w:val="32"/>
          <w:szCs w:val="32"/>
          <w:highlight w:val="none"/>
        </w:rPr>
        <w:t>评价工作组人员名单及签字</w:t>
      </w:r>
    </w:p>
    <w:p w14:paraId="6C2240A3">
      <w:pPr>
        <w:pStyle w:val="2"/>
        <w:numPr>
          <w:ilvl w:val="0"/>
          <w:numId w:val="0"/>
        </w:numPr>
        <w:ind w:leftChars="200"/>
      </w:pPr>
    </w:p>
    <w:tbl>
      <w:tblPr>
        <w:tblStyle w:val="6"/>
        <w:tblW w:w="93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3150"/>
        <w:gridCol w:w="3465"/>
        <w:gridCol w:w="1500"/>
      </w:tblGrid>
      <w:tr w14:paraId="0C8EF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vAlign w:val="top"/>
          </w:tcPr>
          <w:p w14:paraId="449042FD">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rPr>
            </w:pPr>
            <w:r>
              <w:rPr>
                <w:rFonts w:hint="eastAsia" w:ascii="方正仿宋简体" w:hAnsi="方正仿宋简体" w:eastAsia="方正仿宋简体" w:cs="方正仿宋简体"/>
                <w:b w:val="0"/>
                <w:bCs w:val="0"/>
                <w:sz w:val="32"/>
                <w:szCs w:val="32"/>
                <w:highlight w:val="none"/>
              </w:rPr>
              <w:t>姓名</w:t>
            </w:r>
          </w:p>
        </w:tc>
        <w:tc>
          <w:tcPr>
            <w:tcW w:w="3150" w:type="dxa"/>
            <w:vAlign w:val="top"/>
          </w:tcPr>
          <w:p w14:paraId="56FABFEB">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rPr>
            </w:pPr>
            <w:r>
              <w:rPr>
                <w:rFonts w:hint="eastAsia" w:ascii="方正仿宋简体" w:hAnsi="方正仿宋简体" w:eastAsia="方正仿宋简体" w:cs="方正仿宋简体"/>
                <w:b w:val="0"/>
                <w:bCs w:val="0"/>
                <w:sz w:val="32"/>
                <w:szCs w:val="32"/>
                <w:highlight w:val="none"/>
              </w:rPr>
              <w:t>工作单位</w:t>
            </w:r>
          </w:p>
        </w:tc>
        <w:tc>
          <w:tcPr>
            <w:tcW w:w="3465" w:type="dxa"/>
            <w:vAlign w:val="top"/>
          </w:tcPr>
          <w:p w14:paraId="186AF0AB">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rPr>
            </w:pPr>
            <w:r>
              <w:rPr>
                <w:rFonts w:hint="eastAsia" w:ascii="方正仿宋简体" w:hAnsi="方正仿宋简体" w:eastAsia="方正仿宋简体" w:cs="方正仿宋简体"/>
                <w:b w:val="0"/>
                <w:bCs w:val="0"/>
                <w:sz w:val="32"/>
                <w:szCs w:val="32"/>
                <w:highlight w:val="none"/>
              </w:rPr>
              <w:t>职务</w:t>
            </w:r>
          </w:p>
        </w:tc>
        <w:tc>
          <w:tcPr>
            <w:tcW w:w="1500" w:type="dxa"/>
            <w:vAlign w:val="top"/>
          </w:tcPr>
          <w:p w14:paraId="6162B5A2">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rPr>
            </w:pPr>
            <w:r>
              <w:rPr>
                <w:rFonts w:hint="eastAsia" w:ascii="方正仿宋简体" w:hAnsi="方正仿宋简体" w:eastAsia="方正仿宋简体" w:cs="方正仿宋简体"/>
                <w:b w:val="0"/>
                <w:bCs w:val="0"/>
                <w:sz w:val="32"/>
                <w:szCs w:val="32"/>
                <w:highlight w:val="none"/>
              </w:rPr>
              <w:t>签字</w:t>
            </w:r>
          </w:p>
        </w:tc>
      </w:tr>
      <w:tr w14:paraId="0CDC2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232" w:type="dxa"/>
            <w:vAlign w:val="center"/>
          </w:tcPr>
          <w:p w14:paraId="5BDCF93A">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eastAsia="zh-CN"/>
              </w:rPr>
              <w:t>李国瑞</w:t>
            </w:r>
          </w:p>
        </w:tc>
        <w:tc>
          <w:tcPr>
            <w:tcW w:w="3150" w:type="dxa"/>
            <w:vAlign w:val="center"/>
          </w:tcPr>
          <w:p w14:paraId="581DB4AD">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eastAsia="zh-CN"/>
              </w:rPr>
              <w:t>中共井陉县委组织部</w:t>
            </w:r>
          </w:p>
        </w:tc>
        <w:tc>
          <w:tcPr>
            <w:tcW w:w="3465" w:type="dxa"/>
            <w:vAlign w:val="center"/>
          </w:tcPr>
          <w:p w14:paraId="2CA704BE">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eastAsia="zh-CN"/>
              </w:rPr>
              <w:t>常务副部长</w:t>
            </w:r>
          </w:p>
        </w:tc>
        <w:tc>
          <w:tcPr>
            <w:tcW w:w="1500" w:type="dxa"/>
            <w:vAlign w:val="center"/>
          </w:tcPr>
          <w:p w14:paraId="164B7BBF">
            <w:pPr>
              <w:widowControl w:val="0"/>
              <w:wordWrap/>
              <w:autoSpaceDE w:val="0"/>
              <w:autoSpaceDN w:val="0"/>
              <w:adjustRightInd w:val="0"/>
              <w:snapToGrid/>
              <w:spacing w:line="560" w:lineRule="exact"/>
              <w:textAlignment w:val="auto"/>
              <w:rPr>
                <w:rFonts w:hint="eastAsia" w:ascii="方正仿宋简体" w:hAnsi="方正仿宋简体" w:eastAsia="方正仿宋简体" w:cs="方正仿宋简体"/>
                <w:b w:val="0"/>
                <w:bCs w:val="0"/>
                <w:sz w:val="32"/>
                <w:szCs w:val="32"/>
                <w:highlight w:val="none"/>
              </w:rPr>
            </w:pPr>
          </w:p>
        </w:tc>
      </w:tr>
      <w:tr w14:paraId="04387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1232" w:type="dxa"/>
            <w:vAlign w:val="center"/>
          </w:tcPr>
          <w:p w14:paraId="7A51597D">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val="en-US" w:eastAsia="zh-CN"/>
              </w:rPr>
              <w:t>张建生</w:t>
            </w:r>
          </w:p>
        </w:tc>
        <w:tc>
          <w:tcPr>
            <w:tcW w:w="3150" w:type="dxa"/>
            <w:vAlign w:val="center"/>
          </w:tcPr>
          <w:p w14:paraId="496A6BC8">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kern w:val="2"/>
                <w:sz w:val="32"/>
                <w:szCs w:val="32"/>
                <w:highlight w:val="none"/>
                <w:lang w:val="en-US" w:eastAsia="zh-CN" w:bidi="ar-SA"/>
              </w:rPr>
            </w:pPr>
            <w:r>
              <w:rPr>
                <w:rFonts w:hint="eastAsia" w:ascii="方正仿宋简体" w:hAnsi="方正仿宋简体" w:eastAsia="方正仿宋简体" w:cs="方正仿宋简体"/>
                <w:b w:val="0"/>
                <w:bCs w:val="0"/>
                <w:sz w:val="32"/>
                <w:szCs w:val="32"/>
                <w:highlight w:val="none"/>
                <w:lang w:eastAsia="zh-CN"/>
              </w:rPr>
              <w:t>中共井陉县委组织部</w:t>
            </w:r>
          </w:p>
        </w:tc>
        <w:tc>
          <w:tcPr>
            <w:tcW w:w="3465" w:type="dxa"/>
            <w:vAlign w:val="center"/>
          </w:tcPr>
          <w:p w14:paraId="5EA4B945">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val="en-US" w:eastAsia="zh-CN"/>
              </w:rPr>
              <w:t>四级主任科员</w:t>
            </w:r>
          </w:p>
        </w:tc>
        <w:tc>
          <w:tcPr>
            <w:tcW w:w="1500" w:type="dxa"/>
            <w:vAlign w:val="center"/>
          </w:tcPr>
          <w:p w14:paraId="051C5D0C">
            <w:pPr>
              <w:widowControl w:val="0"/>
              <w:wordWrap/>
              <w:autoSpaceDE w:val="0"/>
              <w:autoSpaceDN w:val="0"/>
              <w:adjustRightInd w:val="0"/>
              <w:snapToGrid/>
              <w:spacing w:line="560" w:lineRule="exact"/>
              <w:textAlignment w:val="auto"/>
              <w:rPr>
                <w:rFonts w:hint="eastAsia" w:ascii="方正仿宋简体" w:hAnsi="方正仿宋简体" w:eastAsia="方正仿宋简体" w:cs="方正仿宋简体"/>
                <w:b w:val="0"/>
                <w:bCs w:val="0"/>
                <w:sz w:val="32"/>
                <w:szCs w:val="32"/>
                <w:highlight w:val="none"/>
              </w:rPr>
            </w:pPr>
          </w:p>
        </w:tc>
      </w:tr>
      <w:tr w14:paraId="2938B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1232" w:type="dxa"/>
            <w:vAlign w:val="center"/>
          </w:tcPr>
          <w:p w14:paraId="3DF2574E">
            <w:pPr>
              <w:widowControl w:val="0"/>
              <w:wordWrap/>
              <w:autoSpaceDE w:val="0"/>
              <w:autoSpaceDN w:val="0"/>
              <w:adjustRightInd w:val="0"/>
              <w:snapToGrid/>
              <w:spacing w:line="560" w:lineRule="exact"/>
              <w:jc w:val="center"/>
              <w:textAlignment w:val="auto"/>
              <w:rPr>
                <w:rFonts w:hint="default" w:ascii="方正仿宋简体" w:hAnsi="方正仿宋简体" w:eastAsia="方正仿宋简体" w:cs="方正仿宋简体"/>
                <w:b w:val="0"/>
                <w:bCs w:val="0"/>
                <w:sz w:val="32"/>
                <w:szCs w:val="32"/>
                <w:highlight w:val="none"/>
                <w:lang w:val="en-US" w:eastAsia="zh-CN"/>
              </w:rPr>
            </w:pPr>
            <w:r>
              <w:rPr>
                <w:rFonts w:hint="eastAsia" w:ascii="方正仿宋简体" w:hAnsi="方正仿宋简体" w:eastAsia="方正仿宋简体" w:cs="方正仿宋简体"/>
                <w:b w:val="0"/>
                <w:bCs w:val="0"/>
                <w:sz w:val="32"/>
                <w:szCs w:val="32"/>
                <w:highlight w:val="none"/>
                <w:lang w:val="en-US" w:eastAsia="zh-CN"/>
              </w:rPr>
              <w:t>尹仲豪</w:t>
            </w:r>
          </w:p>
        </w:tc>
        <w:tc>
          <w:tcPr>
            <w:tcW w:w="3150" w:type="dxa"/>
            <w:vAlign w:val="center"/>
          </w:tcPr>
          <w:p w14:paraId="660E26CB">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eastAsia="zh-CN"/>
              </w:rPr>
              <w:t>中共井陉县委组织部</w:t>
            </w:r>
          </w:p>
        </w:tc>
        <w:tc>
          <w:tcPr>
            <w:tcW w:w="3465" w:type="dxa"/>
            <w:vAlign w:val="center"/>
          </w:tcPr>
          <w:p w14:paraId="24E602E0">
            <w:pPr>
              <w:widowControl w:val="0"/>
              <w:wordWrap/>
              <w:autoSpaceDE w:val="0"/>
              <w:autoSpaceDN w:val="0"/>
              <w:adjustRightInd w:val="0"/>
              <w:snapToGrid/>
              <w:spacing w:line="560" w:lineRule="exact"/>
              <w:jc w:val="center"/>
              <w:textAlignment w:val="auto"/>
              <w:rPr>
                <w:rFonts w:hint="default" w:ascii="方正仿宋简体" w:hAnsi="方正仿宋简体" w:eastAsia="方正仿宋简体" w:cs="方正仿宋简体"/>
                <w:b w:val="0"/>
                <w:bCs w:val="0"/>
                <w:sz w:val="32"/>
                <w:szCs w:val="32"/>
                <w:highlight w:val="none"/>
                <w:lang w:val="en-US" w:eastAsia="zh-CN"/>
              </w:rPr>
            </w:pPr>
            <w:r>
              <w:rPr>
                <w:rFonts w:hint="eastAsia" w:ascii="方正仿宋简体" w:hAnsi="方正仿宋简体" w:eastAsia="方正仿宋简体" w:cs="方正仿宋简体"/>
                <w:b w:val="0"/>
                <w:bCs w:val="0"/>
                <w:sz w:val="32"/>
                <w:szCs w:val="32"/>
                <w:highlight w:val="none"/>
                <w:lang w:val="en-US" w:eastAsia="zh-CN"/>
              </w:rPr>
              <w:t>办公室主任</w:t>
            </w:r>
          </w:p>
        </w:tc>
        <w:tc>
          <w:tcPr>
            <w:tcW w:w="1500" w:type="dxa"/>
            <w:vAlign w:val="center"/>
          </w:tcPr>
          <w:p w14:paraId="70DDA326">
            <w:pPr>
              <w:widowControl w:val="0"/>
              <w:wordWrap/>
              <w:autoSpaceDE w:val="0"/>
              <w:autoSpaceDN w:val="0"/>
              <w:adjustRightInd w:val="0"/>
              <w:snapToGrid/>
              <w:spacing w:line="560" w:lineRule="exact"/>
              <w:textAlignment w:val="auto"/>
              <w:rPr>
                <w:rFonts w:hint="eastAsia" w:ascii="方正仿宋简体" w:hAnsi="方正仿宋简体" w:eastAsia="方正仿宋简体" w:cs="方正仿宋简体"/>
                <w:b w:val="0"/>
                <w:bCs w:val="0"/>
                <w:sz w:val="32"/>
                <w:szCs w:val="32"/>
                <w:highlight w:val="none"/>
              </w:rPr>
            </w:pPr>
          </w:p>
        </w:tc>
      </w:tr>
      <w:tr w14:paraId="70198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1232" w:type="dxa"/>
            <w:vAlign w:val="center"/>
          </w:tcPr>
          <w:p w14:paraId="31BB2D2E">
            <w:pPr>
              <w:widowControl w:val="0"/>
              <w:wordWrap/>
              <w:autoSpaceDE w:val="0"/>
              <w:autoSpaceDN w:val="0"/>
              <w:adjustRightInd w:val="0"/>
              <w:snapToGrid/>
              <w:spacing w:line="560" w:lineRule="exact"/>
              <w:jc w:val="center"/>
              <w:textAlignment w:val="auto"/>
              <w:rPr>
                <w:rFonts w:hint="default" w:ascii="方正仿宋简体" w:hAnsi="方正仿宋简体" w:eastAsia="方正仿宋简体" w:cs="方正仿宋简体"/>
                <w:b w:val="0"/>
                <w:bCs w:val="0"/>
                <w:sz w:val="32"/>
                <w:szCs w:val="32"/>
                <w:highlight w:val="none"/>
                <w:lang w:val="en-US" w:eastAsia="zh-CN"/>
              </w:rPr>
            </w:pPr>
            <w:r>
              <w:rPr>
                <w:rFonts w:hint="eastAsia" w:ascii="方正仿宋简体" w:hAnsi="方正仿宋简体" w:eastAsia="方正仿宋简体" w:cs="方正仿宋简体"/>
                <w:b w:val="0"/>
                <w:bCs w:val="0"/>
                <w:sz w:val="32"/>
                <w:szCs w:val="32"/>
                <w:highlight w:val="none"/>
                <w:lang w:val="en-US" w:eastAsia="zh-CN"/>
              </w:rPr>
              <w:t>李玉珍</w:t>
            </w:r>
          </w:p>
        </w:tc>
        <w:tc>
          <w:tcPr>
            <w:tcW w:w="3150" w:type="dxa"/>
            <w:vAlign w:val="center"/>
          </w:tcPr>
          <w:p w14:paraId="3290137C">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eastAsia="zh-CN"/>
              </w:rPr>
            </w:pPr>
            <w:r>
              <w:rPr>
                <w:rFonts w:hint="eastAsia" w:ascii="方正仿宋简体" w:hAnsi="方正仿宋简体" w:eastAsia="方正仿宋简体" w:cs="方正仿宋简体"/>
                <w:b w:val="0"/>
                <w:bCs w:val="0"/>
                <w:sz w:val="32"/>
                <w:szCs w:val="32"/>
                <w:highlight w:val="none"/>
                <w:lang w:eastAsia="zh-CN"/>
              </w:rPr>
              <w:t>中共井陉县委组织部</w:t>
            </w:r>
          </w:p>
        </w:tc>
        <w:tc>
          <w:tcPr>
            <w:tcW w:w="3465" w:type="dxa"/>
            <w:vAlign w:val="center"/>
          </w:tcPr>
          <w:p w14:paraId="5B18D51C">
            <w:pPr>
              <w:widowControl w:val="0"/>
              <w:wordWrap/>
              <w:autoSpaceDE w:val="0"/>
              <w:autoSpaceDN w:val="0"/>
              <w:adjustRightInd w:val="0"/>
              <w:snapToGrid/>
              <w:spacing w:line="560" w:lineRule="exact"/>
              <w:jc w:val="center"/>
              <w:textAlignment w:val="auto"/>
              <w:rPr>
                <w:rFonts w:hint="eastAsia" w:ascii="方正仿宋简体" w:hAnsi="方正仿宋简体" w:eastAsia="方正仿宋简体" w:cs="方正仿宋简体"/>
                <w:b w:val="0"/>
                <w:bCs w:val="0"/>
                <w:sz w:val="32"/>
                <w:szCs w:val="32"/>
                <w:highlight w:val="none"/>
                <w:lang w:val="en-US" w:eastAsia="zh-CN"/>
              </w:rPr>
            </w:pPr>
            <w:r>
              <w:rPr>
                <w:rFonts w:hint="eastAsia" w:ascii="方正仿宋简体" w:hAnsi="方正仿宋简体" w:eastAsia="方正仿宋简体" w:cs="方正仿宋简体"/>
                <w:b w:val="0"/>
                <w:bCs w:val="0"/>
                <w:sz w:val="32"/>
                <w:szCs w:val="32"/>
                <w:highlight w:val="none"/>
                <w:lang w:val="en-US" w:eastAsia="zh-CN"/>
              </w:rPr>
              <w:t>四级主任科员</w:t>
            </w:r>
          </w:p>
        </w:tc>
        <w:tc>
          <w:tcPr>
            <w:tcW w:w="1500" w:type="dxa"/>
            <w:vAlign w:val="center"/>
          </w:tcPr>
          <w:p w14:paraId="533E12EB">
            <w:pPr>
              <w:widowControl w:val="0"/>
              <w:wordWrap/>
              <w:autoSpaceDE w:val="0"/>
              <w:autoSpaceDN w:val="0"/>
              <w:adjustRightInd w:val="0"/>
              <w:snapToGrid/>
              <w:spacing w:line="560" w:lineRule="exact"/>
              <w:textAlignment w:val="auto"/>
              <w:rPr>
                <w:rFonts w:hint="eastAsia" w:ascii="方正仿宋简体" w:hAnsi="方正仿宋简体" w:eastAsia="方正仿宋简体" w:cs="方正仿宋简体"/>
                <w:b w:val="0"/>
                <w:bCs w:val="0"/>
                <w:sz w:val="32"/>
                <w:szCs w:val="32"/>
                <w:highlight w:val="none"/>
              </w:rPr>
            </w:pPr>
          </w:p>
        </w:tc>
      </w:tr>
    </w:tbl>
    <w:p w14:paraId="279AAFE3">
      <w:pPr>
        <w:spacing w:line="560" w:lineRule="exact"/>
        <w:rPr>
          <w:rFonts w:ascii="仿宋" w:hAnsi="仿宋" w:eastAsia="仿宋"/>
          <w:highlight w:val="none"/>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A84385B-CBD9-4F14-A5A4-28B14447BB9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embedRegular r:id="rId2" w:fontKey="{596EF18B-9832-4DE7-BA03-3A8BBCA07409}"/>
  </w:font>
  <w:font w:name="仿宋">
    <w:panose1 w:val="02010609060101010101"/>
    <w:charset w:val="86"/>
    <w:family w:val="modern"/>
    <w:pitch w:val="default"/>
    <w:sig w:usb0="800002BF" w:usb1="38CF7CFA" w:usb2="00000016" w:usb3="00000000" w:csb0="00040001" w:csb1="00000000"/>
    <w:embedRegular r:id="rId3" w:fontKey="{B926C5D7-83D2-46C1-B6E2-E2C5FEE889A5}"/>
  </w:font>
  <w:font w:name="楷体">
    <w:panose1 w:val="02010609060101010101"/>
    <w:charset w:val="86"/>
    <w:family w:val="modern"/>
    <w:pitch w:val="default"/>
    <w:sig w:usb0="800002BF" w:usb1="38CF7CFA" w:usb2="00000016" w:usb3="00000000" w:csb0="00040001" w:csb1="00000000"/>
    <w:embedRegular r:id="rId4" w:fontKey="{95A19D8E-264E-48BB-978E-4B9FF7C28B95}"/>
  </w:font>
  <w:font w:name="楷体_GB2312">
    <w:panose1 w:val="02010609030101010101"/>
    <w:charset w:val="86"/>
    <w:family w:val="auto"/>
    <w:pitch w:val="default"/>
    <w:sig w:usb0="00000001" w:usb1="080E0000" w:usb2="00000000" w:usb3="00000000" w:csb0="00040000" w:csb1="00000000"/>
    <w:embedRegular r:id="rId5" w:fontKey="{AE2DA747-F599-44D9-81C9-D091BEC4C512}"/>
  </w:font>
  <w:font w:name="方正仿宋简体">
    <w:panose1 w:val="03000509000000000000"/>
    <w:charset w:val="86"/>
    <w:family w:val="auto"/>
    <w:pitch w:val="default"/>
    <w:sig w:usb0="00000001" w:usb1="080E0000" w:usb2="00000000" w:usb3="00000000" w:csb0="00040000" w:csb1="00000000"/>
    <w:embedRegular r:id="rId6" w:fontKey="{1C04DB02-4267-4427-AD17-1D04AD7B659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0DB6B">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01A701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01A701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A57AEE"/>
    <w:multiLevelType w:val="singleLevel"/>
    <w:tmpl w:val="A3A57AEE"/>
    <w:lvl w:ilvl="0" w:tentative="0">
      <w:start w:val="6"/>
      <w:numFmt w:val="chineseCounting"/>
      <w:suff w:val="nothing"/>
      <w:lvlText w:val="%1、"/>
      <w:lvlJc w:val="left"/>
      <w:rPr>
        <w:rFonts w:hint="eastAsia"/>
      </w:rPr>
    </w:lvl>
  </w:abstractNum>
  <w:abstractNum w:abstractNumId="1">
    <w:nsid w:val="581A12F5"/>
    <w:multiLevelType w:val="singleLevel"/>
    <w:tmpl w:val="581A12F5"/>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ABE2417"/>
    <w:rsid w:val="1BE140DE"/>
    <w:rsid w:val="1C0D2B63"/>
    <w:rsid w:val="1D2B37C4"/>
    <w:rsid w:val="248C197D"/>
    <w:rsid w:val="252959AF"/>
    <w:rsid w:val="277A6671"/>
    <w:rsid w:val="292D35B7"/>
    <w:rsid w:val="29D7476D"/>
    <w:rsid w:val="31151E97"/>
    <w:rsid w:val="33EB6CFF"/>
    <w:rsid w:val="35A12947"/>
    <w:rsid w:val="37387040"/>
    <w:rsid w:val="3B0548E0"/>
    <w:rsid w:val="3B625C0A"/>
    <w:rsid w:val="3B7F6171"/>
    <w:rsid w:val="3BF32210"/>
    <w:rsid w:val="3CEE1963"/>
    <w:rsid w:val="436B78D3"/>
    <w:rsid w:val="48B60C1B"/>
    <w:rsid w:val="49D6382C"/>
    <w:rsid w:val="4B2072B5"/>
    <w:rsid w:val="4C9C27FE"/>
    <w:rsid w:val="4FF1233F"/>
    <w:rsid w:val="512260B4"/>
    <w:rsid w:val="52BD6ACB"/>
    <w:rsid w:val="55537534"/>
    <w:rsid w:val="561A74F1"/>
    <w:rsid w:val="597244E8"/>
    <w:rsid w:val="5EB71C30"/>
    <w:rsid w:val="64E3141B"/>
    <w:rsid w:val="66AF0CE5"/>
    <w:rsid w:val="6AA27932"/>
    <w:rsid w:val="6AC537CF"/>
    <w:rsid w:val="6E5B14A6"/>
    <w:rsid w:val="711B255E"/>
    <w:rsid w:val="78223D58"/>
    <w:rsid w:val="7A0559C3"/>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99"/>
    <w:pPr>
      <w:ind w:firstLine="210"/>
    </w:pPr>
  </w:style>
  <w:style w:type="paragraph" w:styleId="3">
    <w:name w:val="Body Text Indent"/>
    <w:basedOn w:val="1"/>
    <w:unhideWhenUsed/>
    <w:qFormat/>
    <w:uiPriority w:val="99"/>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2438</Words>
  <Characters>2530</Characters>
  <Lines>4</Lines>
  <Paragraphs>1</Paragraphs>
  <TotalTime>2</TotalTime>
  <ScaleCrop>false</ScaleCrop>
  <LinksUpToDate>false</LinksUpToDate>
  <CharactersWithSpaces>2552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lyz</cp:lastModifiedBy>
  <cp:lastPrinted>2024-03-06T07:40:00Z</cp:lastPrinted>
  <dcterms:modified xsi:type="dcterms:W3CDTF">2026-04-29T13:36:13Z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eyJoZGlkIjoiODRlYTQ2NzRkMjkxZjljMTYxZDE3MDkyMDU5MWM1MDAiLCJ1c2VySWQiOiI0MzgzNTQ2MDQifQ==</vt:lpwstr>
  </property>
</Properties>
</file>