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4E6867">
      <w:pPr>
        <w:adjustRightInd w:val="0"/>
        <w:snapToGrid w:val="0"/>
        <w:spacing w:line="56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14:paraId="670F285B">
      <w:pPr>
        <w:spacing w:line="560" w:lineRule="exact"/>
        <w:jc w:val="center"/>
        <w:rPr>
          <w:rFonts w:ascii="宋体" w:hAnsi="宋体" w:cs="宋体"/>
          <w:b/>
          <w:bCs/>
          <w:sz w:val="44"/>
          <w:szCs w:val="44"/>
        </w:rPr>
      </w:pPr>
    </w:p>
    <w:p w14:paraId="17109F84">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井陉县供销合作社</w:t>
      </w:r>
    </w:p>
    <w:p w14:paraId="7BE6E744">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14:paraId="45EEF8FD">
      <w:pPr>
        <w:spacing w:line="560" w:lineRule="exact"/>
        <w:jc w:val="center"/>
        <w:rPr>
          <w:rFonts w:ascii="华文楷体" w:eastAsia="华文楷体"/>
          <w:sz w:val="32"/>
          <w:szCs w:val="32"/>
        </w:rPr>
      </w:pPr>
    </w:p>
    <w:p w14:paraId="57C39C3D">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贯彻落实市委市政府《关于全面落实预算绩效管理的实施意见》（石发﹝2019﹞8号）文件精神，遵循“科学性、规范性、客观性和公正性”的原则，对井陉县供销合作社202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7BA601B5">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3A47B1E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CCAC68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1、部门职能</w:t>
      </w:r>
    </w:p>
    <w:p w14:paraId="4302FA31">
      <w:pPr>
        <w:spacing w:line="560" w:lineRule="exact"/>
        <w:ind w:firstLine="640"/>
        <w:rPr>
          <w:rFonts w:ascii="仿宋" w:hAnsi="仿宋" w:eastAsia="仿宋"/>
          <w:sz w:val="32"/>
          <w:szCs w:val="32"/>
        </w:rPr>
      </w:pPr>
      <w:r>
        <w:rPr>
          <w:rFonts w:hint="eastAsia" w:ascii="仿宋" w:hAnsi="仿宋" w:eastAsia="仿宋"/>
          <w:sz w:val="32"/>
          <w:szCs w:val="32"/>
        </w:rPr>
        <w:t>（一）宣传、贯彻、执行国家有关农村工作和社会发展的方针、政策，制定全县供销合作社的发展规划，指导和实施全县供销合作社的改革与发展；</w:t>
      </w:r>
    </w:p>
    <w:p w14:paraId="243064CF">
      <w:pPr>
        <w:spacing w:line="560" w:lineRule="exact"/>
        <w:ind w:firstLine="640"/>
        <w:rPr>
          <w:rFonts w:ascii="仿宋" w:hAnsi="仿宋" w:eastAsia="仿宋"/>
          <w:sz w:val="32"/>
          <w:szCs w:val="32"/>
        </w:rPr>
      </w:pPr>
      <w:r>
        <w:rPr>
          <w:rFonts w:hint="eastAsia" w:ascii="仿宋" w:hAnsi="仿宋" w:eastAsia="仿宋"/>
          <w:sz w:val="32"/>
          <w:szCs w:val="32"/>
        </w:rPr>
        <w:t>（二）维护供销合作社章程赋予的合法权益，促进合作经济的发展；</w:t>
      </w:r>
    </w:p>
    <w:p w14:paraId="217C8185">
      <w:pPr>
        <w:spacing w:line="560" w:lineRule="exact"/>
        <w:ind w:firstLine="640"/>
        <w:rPr>
          <w:rFonts w:ascii="仿宋" w:hAnsi="仿宋" w:eastAsia="仿宋"/>
          <w:sz w:val="32"/>
          <w:szCs w:val="32"/>
        </w:rPr>
      </w:pPr>
      <w:r>
        <w:rPr>
          <w:rFonts w:hint="eastAsia" w:ascii="仿宋" w:hAnsi="仿宋" w:eastAsia="仿宋"/>
          <w:sz w:val="32"/>
          <w:szCs w:val="32"/>
        </w:rPr>
        <w:t>（三）对重要农业生产资料、农副产品、食盐、烟花爆竹和再生资源经营进行组织、协调、管理；</w:t>
      </w:r>
    </w:p>
    <w:p w14:paraId="604CB4C9">
      <w:pPr>
        <w:spacing w:line="560" w:lineRule="exact"/>
        <w:ind w:firstLine="640"/>
        <w:rPr>
          <w:rFonts w:ascii="仿宋" w:hAnsi="仿宋" w:eastAsia="仿宋"/>
          <w:sz w:val="32"/>
          <w:szCs w:val="32"/>
        </w:rPr>
      </w:pPr>
      <w:r>
        <w:rPr>
          <w:rFonts w:hint="eastAsia" w:ascii="仿宋" w:hAnsi="仿宋" w:eastAsia="仿宋"/>
          <w:sz w:val="32"/>
          <w:szCs w:val="32"/>
        </w:rPr>
        <w:t>（四）指导全县供销合作社的业务活动，参与农业产业化经营，开拓城乡市场；</w:t>
      </w:r>
    </w:p>
    <w:p w14:paraId="4B10B254">
      <w:pPr>
        <w:spacing w:line="560" w:lineRule="exact"/>
        <w:ind w:firstLine="640"/>
        <w:rPr>
          <w:rFonts w:ascii="仿宋" w:hAnsi="仿宋" w:eastAsia="仿宋"/>
          <w:sz w:val="32"/>
          <w:szCs w:val="32"/>
        </w:rPr>
      </w:pPr>
      <w:r>
        <w:rPr>
          <w:rFonts w:hint="eastAsia" w:ascii="仿宋" w:hAnsi="仿宋" w:eastAsia="仿宋"/>
          <w:sz w:val="32"/>
          <w:szCs w:val="32"/>
        </w:rPr>
        <w:t>（五）指导全县供销合作社企业改革，建立现代企业制度；</w:t>
      </w:r>
    </w:p>
    <w:p w14:paraId="4F7564D8">
      <w:pPr>
        <w:spacing w:line="560" w:lineRule="exact"/>
        <w:ind w:firstLine="640"/>
        <w:rPr>
          <w:rFonts w:ascii="仿宋" w:hAnsi="仿宋" w:eastAsia="仿宋"/>
          <w:sz w:val="32"/>
          <w:szCs w:val="32"/>
        </w:rPr>
      </w:pPr>
      <w:r>
        <w:rPr>
          <w:rFonts w:hint="eastAsia" w:ascii="仿宋" w:hAnsi="仿宋" w:eastAsia="仿宋"/>
          <w:sz w:val="32"/>
          <w:szCs w:val="32"/>
        </w:rPr>
        <w:t>（六）管理运营社有资产，对所属企业行使出资人职能。</w:t>
      </w:r>
    </w:p>
    <w:p w14:paraId="0F0A553F">
      <w:pPr>
        <w:adjustRightInd w:val="0"/>
        <w:snapToGrid w:val="0"/>
        <w:spacing w:line="560" w:lineRule="exact"/>
        <w:ind w:firstLine="640" w:firstLineChars="200"/>
        <w:rPr>
          <w:rFonts w:ascii="仿宋" w:hAnsi="仿宋" w:eastAsia="仿宋"/>
          <w:sz w:val="32"/>
          <w:szCs w:val="32"/>
        </w:rPr>
      </w:pPr>
    </w:p>
    <w:p w14:paraId="3BEE4DB7">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2、组织机构及人员</w:t>
      </w:r>
    </w:p>
    <w:p w14:paraId="7A007741">
      <w:pPr>
        <w:jc w:val="center"/>
        <w:rPr>
          <w:rFonts w:ascii="仿宋" w:hAnsi="仿宋" w:eastAsia="仿宋" w:cs="仿宋"/>
          <w:sz w:val="32"/>
        </w:rPr>
      </w:pPr>
      <w:r>
        <w:rPr>
          <w:rFonts w:hint="eastAsia" w:ascii="仿宋" w:hAnsi="仿宋" w:eastAsia="仿宋" w:cs="仿宋"/>
          <w:sz w:val="32"/>
        </w:rPr>
        <w:t>部门机构设置情况</w:t>
      </w:r>
    </w:p>
    <w:tbl>
      <w:tblPr>
        <w:tblStyle w:val="6"/>
        <w:tblpPr w:leftFromText="180" w:rightFromText="180" w:vertAnchor="text" w:horzAnchor="page" w:tblpX="1648" w:tblpY="212"/>
        <w:tblOverlap w:val="never"/>
        <w:tblW w:w="8880"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0"/>
        <w:gridCol w:w="1156"/>
        <w:gridCol w:w="1426"/>
        <w:gridCol w:w="3438"/>
      </w:tblGrid>
      <w:tr w14:paraId="5DECD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blHeader/>
        </w:trPr>
        <w:tc>
          <w:tcPr>
            <w:tcW w:w="2860" w:type="dxa"/>
            <w:tcBorders>
              <w:top w:val="single" w:color="000000" w:sz="6" w:space="0"/>
              <w:left w:val="single" w:color="000000" w:sz="6" w:space="0"/>
              <w:bottom w:val="single" w:color="000000" w:sz="6" w:space="0"/>
              <w:right w:val="single" w:color="000000" w:sz="6" w:space="0"/>
            </w:tcBorders>
            <w:vAlign w:val="center"/>
          </w:tcPr>
          <w:p w14:paraId="53AC8980">
            <w:pPr>
              <w:spacing w:line="300" w:lineRule="exact"/>
              <w:rPr>
                <w:rFonts w:ascii="仿宋" w:hAnsi="仿宋" w:eastAsia="仿宋" w:cs="仿宋"/>
                <w:b/>
              </w:rPr>
            </w:pPr>
            <w:r>
              <w:rPr>
                <w:rFonts w:hint="eastAsia" w:ascii="仿宋" w:hAnsi="仿宋" w:eastAsia="仿宋" w:cs="仿宋"/>
                <w:b/>
              </w:rPr>
              <w:t>单位名称</w:t>
            </w:r>
          </w:p>
        </w:tc>
        <w:tc>
          <w:tcPr>
            <w:tcW w:w="1156" w:type="dxa"/>
            <w:tcBorders>
              <w:top w:val="single" w:color="000000" w:sz="6" w:space="0"/>
              <w:left w:val="single" w:color="000000" w:sz="6" w:space="0"/>
              <w:bottom w:val="single" w:color="000000" w:sz="6" w:space="0"/>
              <w:right w:val="single" w:color="000000" w:sz="6" w:space="0"/>
            </w:tcBorders>
            <w:vAlign w:val="center"/>
          </w:tcPr>
          <w:p w14:paraId="51386302">
            <w:pPr>
              <w:spacing w:line="300" w:lineRule="exact"/>
              <w:rPr>
                <w:rFonts w:ascii="仿宋" w:hAnsi="仿宋" w:eastAsia="仿宋" w:cs="仿宋"/>
                <w:b/>
              </w:rPr>
            </w:pPr>
            <w:r>
              <w:rPr>
                <w:rFonts w:hint="eastAsia" w:ascii="仿宋" w:hAnsi="仿宋" w:eastAsia="仿宋" w:cs="仿宋"/>
                <w:b/>
              </w:rPr>
              <w:t>单位性质</w:t>
            </w:r>
          </w:p>
        </w:tc>
        <w:tc>
          <w:tcPr>
            <w:tcW w:w="1426" w:type="dxa"/>
            <w:tcBorders>
              <w:top w:val="single" w:color="000000" w:sz="6" w:space="0"/>
              <w:left w:val="single" w:color="000000" w:sz="6" w:space="0"/>
              <w:bottom w:val="single" w:color="000000" w:sz="6" w:space="0"/>
              <w:right w:val="single" w:color="000000" w:sz="6" w:space="0"/>
            </w:tcBorders>
            <w:vAlign w:val="center"/>
          </w:tcPr>
          <w:p w14:paraId="3180387D">
            <w:pPr>
              <w:spacing w:line="300" w:lineRule="exact"/>
              <w:rPr>
                <w:rFonts w:ascii="仿宋" w:hAnsi="仿宋" w:eastAsia="仿宋" w:cs="仿宋"/>
                <w:b/>
              </w:rPr>
            </w:pPr>
            <w:r>
              <w:rPr>
                <w:rFonts w:hint="eastAsia" w:ascii="仿宋" w:hAnsi="仿宋" w:eastAsia="仿宋" w:cs="仿宋"/>
                <w:b/>
              </w:rPr>
              <w:t>单位规格</w:t>
            </w:r>
          </w:p>
        </w:tc>
        <w:tc>
          <w:tcPr>
            <w:tcW w:w="3438" w:type="dxa"/>
            <w:tcBorders>
              <w:top w:val="single" w:color="000000" w:sz="6" w:space="0"/>
              <w:left w:val="single" w:color="000000" w:sz="6" w:space="0"/>
              <w:bottom w:val="single" w:color="000000" w:sz="6" w:space="0"/>
              <w:right w:val="single" w:color="000000" w:sz="6" w:space="0"/>
            </w:tcBorders>
            <w:vAlign w:val="center"/>
          </w:tcPr>
          <w:p w14:paraId="57296BA0">
            <w:pPr>
              <w:spacing w:line="300" w:lineRule="exact"/>
              <w:rPr>
                <w:rFonts w:ascii="仿宋" w:hAnsi="仿宋" w:eastAsia="仿宋" w:cs="仿宋"/>
                <w:b/>
              </w:rPr>
            </w:pPr>
            <w:r>
              <w:rPr>
                <w:rFonts w:hint="eastAsia" w:ascii="仿宋" w:hAnsi="仿宋" w:eastAsia="仿宋" w:cs="仿宋"/>
                <w:b/>
              </w:rPr>
              <w:t>经费保障形式</w:t>
            </w:r>
          </w:p>
        </w:tc>
      </w:tr>
      <w:tr w14:paraId="1DF5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567" w:hRule="atLeast"/>
        </w:trPr>
        <w:tc>
          <w:tcPr>
            <w:tcW w:w="2860" w:type="dxa"/>
            <w:tcBorders>
              <w:top w:val="single" w:color="000000" w:sz="6" w:space="0"/>
              <w:left w:val="single" w:color="000000" w:sz="6" w:space="0"/>
              <w:bottom w:val="single" w:color="000000" w:sz="6" w:space="0"/>
              <w:right w:val="single" w:color="000000" w:sz="6" w:space="0"/>
            </w:tcBorders>
            <w:vAlign w:val="center"/>
          </w:tcPr>
          <w:p w14:paraId="6A2D41F4">
            <w:pPr>
              <w:spacing w:line="300" w:lineRule="exact"/>
              <w:rPr>
                <w:rFonts w:ascii="仿宋" w:hAnsi="仿宋" w:eastAsia="仿宋" w:cs="仿宋"/>
              </w:rPr>
            </w:pPr>
            <w:r>
              <w:rPr>
                <w:rFonts w:hint="eastAsia" w:ascii="仿宋" w:hAnsi="仿宋" w:eastAsia="仿宋" w:cs="仿宋"/>
              </w:rPr>
              <w:t>井陉县供销合作社</w:t>
            </w:r>
          </w:p>
        </w:tc>
        <w:tc>
          <w:tcPr>
            <w:tcW w:w="1156" w:type="dxa"/>
            <w:tcBorders>
              <w:top w:val="single" w:color="000000" w:sz="6" w:space="0"/>
              <w:left w:val="single" w:color="000000" w:sz="6" w:space="0"/>
              <w:bottom w:val="single" w:color="000000" w:sz="6" w:space="0"/>
              <w:right w:val="single" w:color="000000" w:sz="6" w:space="0"/>
            </w:tcBorders>
            <w:vAlign w:val="center"/>
          </w:tcPr>
          <w:p w14:paraId="3BCEFA08">
            <w:pPr>
              <w:spacing w:line="300" w:lineRule="exact"/>
              <w:rPr>
                <w:rFonts w:ascii="仿宋" w:hAnsi="仿宋" w:eastAsia="仿宋" w:cs="仿宋"/>
              </w:rPr>
            </w:pPr>
            <w:r>
              <w:rPr>
                <w:rFonts w:hint="eastAsia" w:ascii="仿宋" w:hAnsi="仿宋" w:eastAsia="仿宋" w:cs="仿宋"/>
              </w:rPr>
              <w:t>事业</w:t>
            </w:r>
          </w:p>
        </w:tc>
        <w:tc>
          <w:tcPr>
            <w:tcW w:w="1426" w:type="dxa"/>
            <w:tcBorders>
              <w:top w:val="single" w:color="000000" w:sz="6" w:space="0"/>
              <w:left w:val="single" w:color="000000" w:sz="6" w:space="0"/>
              <w:bottom w:val="single" w:color="000000" w:sz="6" w:space="0"/>
              <w:right w:val="single" w:color="000000" w:sz="6" w:space="0"/>
            </w:tcBorders>
            <w:vAlign w:val="center"/>
          </w:tcPr>
          <w:p w14:paraId="6BC0621A">
            <w:pPr>
              <w:spacing w:line="300" w:lineRule="exact"/>
              <w:rPr>
                <w:rFonts w:ascii="仿宋" w:hAnsi="仿宋" w:eastAsia="仿宋" w:cs="仿宋"/>
              </w:rPr>
            </w:pPr>
            <w:r>
              <w:rPr>
                <w:rFonts w:hint="eastAsia" w:ascii="仿宋" w:hAnsi="仿宋" w:eastAsia="仿宋" w:cs="仿宋"/>
              </w:rPr>
              <w:t>正科级</w:t>
            </w:r>
          </w:p>
        </w:tc>
        <w:tc>
          <w:tcPr>
            <w:tcW w:w="3438" w:type="dxa"/>
            <w:tcBorders>
              <w:top w:val="single" w:color="000000" w:sz="6" w:space="0"/>
              <w:left w:val="single" w:color="000000" w:sz="6" w:space="0"/>
              <w:bottom w:val="single" w:color="000000" w:sz="6" w:space="0"/>
              <w:right w:val="single" w:color="000000" w:sz="6" w:space="0"/>
            </w:tcBorders>
            <w:vAlign w:val="center"/>
          </w:tcPr>
          <w:p w14:paraId="3A3C8405">
            <w:pPr>
              <w:spacing w:line="300" w:lineRule="exact"/>
              <w:rPr>
                <w:rFonts w:ascii="仿宋" w:hAnsi="仿宋" w:eastAsia="仿宋" w:cs="仿宋"/>
              </w:rPr>
            </w:pPr>
            <w:r>
              <w:rPr>
                <w:rFonts w:hint="eastAsia" w:ascii="仿宋" w:hAnsi="仿宋" w:eastAsia="仿宋" w:cs="仿宋"/>
              </w:rPr>
              <w:t>财政性资金基本保证</w:t>
            </w:r>
          </w:p>
        </w:tc>
      </w:tr>
    </w:tbl>
    <w:p w14:paraId="6CB73EBC">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年末，井陉县供销合作社在职</w:t>
      </w:r>
      <w:r>
        <w:rPr>
          <w:rFonts w:hint="eastAsia" w:ascii="仿宋" w:hAnsi="仿宋" w:eastAsia="仿宋"/>
          <w:sz w:val="32"/>
          <w:szCs w:val="32"/>
          <w:lang w:val="en-US" w:eastAsia="zh-CN"/>
        </w:rPr>
        <w:t>8</w:t>
      </w:r>
      <w:r>
        <w:rPr>
          <w:rFonts w:hint="eastAsia" w:ascii="仿宋" w:hAnsi="仿宋" w:eastAsia="仿宋"/>
          <w:sz w:val="32"/>
          <w:szCs w:val="32"/>
        </w:rPr>
        <w:t xml:space="preserve">人。 </w:t>
      </w:r>
    </w:p>
    <w:p w14:paraId="4383CDB7">
      <w:pPr>
        <w:numPr>
          <w:ilvl w:val="0"/>
          <w:numId w:val="1"/>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5BC112E9">
      <w:pPr>
        <w:autoSpaceDN w:val="0"/>
        <w:ind w:firstLine="640" w:firstLineChars="200"/>
        <w:rPr>
          <w:rFonts w:hint="eastAsia" w:ascii="Calibri" w:hAnsi="仿宋" w:eastAsia="仿宋" w:cs="仿宋"/>
          <w:color w:val="000000"/>
          <w:sz w:val="32"/>
          <w:szCs w:val="32"/>
        </w:rPr>
      </w:pPr>
      <w:r>
        <w:rPr>
          <w:rFonts w:hint="eastAsia" w:ascii="Calibri" w:hAnsi="仿宋" w:eastAsia="仿宋" w:cs="仿宋"/>
          <w:color w:val="auto"/>
          <w:sz w:val="32"/>
          <w:szCs w:val="32"/>
          <w:lang w:val="en-US" w:eastAsia="zh-CN"/>
        </w:rPr>
        <w:t>2025</w:t>
      </w:r>
      <w:r>
        <w:rPr>
          <w:rFonts w:hint="eastAsia" w:ascii="Calibri" w:hAnsi="仿宋" w:eastAsia="仿宋" w:cs="仿宋"/>
          <w:color w:val="000000"/>
          <w:sz w:val="32"/>
          <w:szCs w:val="32"/>
        </w:rPr>
        <w:t>年井陉县供销合作社收入</w:t>
      </w:r>
      <w:r>
        <w:rPr>
          <w:rFonts w:hint="eastAsia" w:ascii="Calibri" w:hAnsi="仿宋" w:eastAsia="仿宋" w:cs="仿宋"/>
          <w:color w:val="000000"/>
          <w:sz w:val="32"/>
          <w:szCs w:val="32"/>
          <w:lang w:val="en-US" w:eastAsia="zh-CN"/>
        </w:rPr>
        <w:t>118.06</w:t>
      </w:r>
      <w:r>
        <w:rPr>
          <w:rFonts w:hint="eastAsia" w:ascii="Calibri" w:hAnsi="仿宋" w:eastAsia="仿宋" w:cs="仿宋"/>
          <w:color w:val="000000"/>
          <w:sz w:val="32"/>
          <w:szCs w:val="32"/>
        </w:rPr>
        <w:t>万元，其中：财政拨款收入</w:t>
      </w:r>
      <w:r>
        <w:rPr>
          <w:rFonts w:hint="eastAsia" w:ascii="Calibri" w:hAnsi="仿宋" w:eastAsia="仿宋" w:cs="仿宋"/>
          <w:color w:val="000000"/>
          <w:sz w:val="32"/>
          <w:szCs w:val="32"/>
          <w:lang w:val="en-US" w:eastAsia="zh-CN"/>
        </w:rPr>
        <w:t>118.06</w:t>
      </w:r>
      <w:r>
        <w:rPr>
          <w:rFonts w:hint="eastAsia" w:ascii="Calibri" w:hAnsi="仿宋" w:eastAsia="仿宋" w:cs="仿宋"/>
          <w:color w:val="000000"/>
          <w:sz w:val="32"/>
          <w:szCs w:val="32"/>
        </w:rPr>
        <w:t>万元。</w:t>
      </w:r>
    </w:p>
    <w:p w14:paraId="190469ED">
      <w:pPr>
        <w:autoSpaceDN w:val="0"/>
        <w:ind w:firstLine="640" w:firstLineChars="200"/>
        <w:rPr>
          <w:rFonts w:hint="eastAsia" w:ascii="Calibri" w:hAnsi="仿宋" w:eastAsia="仿宋" w:cs="仿宋"/>
          <w:sz w:val="32"/>
          <w:szCs w:val="32"/>
        </w:rPr>
      </w:pPr>
      <w:r>
        <w:rPr>
          <w:rFonts w:hint="eastAsia" w:ascii="Calibri" w:hAnsi="仿宋" w:eastAsia="仿宋" w:cs="仿宋"/>
          <w:color w:val="000000"/>
          <w:sz w:val="32"/>
          <w:szCs w:val="32"/>
        </w:rPr>
        <w:t>财政拨款收入</w:t>
      </w:r>
      <w:r>
        <w:rPr>
          <w:rFonts w:hint="eastAsia" w:ascii="Calibri" w:hAnsi="仿宋" w:eastAsia="仿宋" w:cs="仿宋"/>
          <w:color w:val="000000"/>
          <w:sz w:val="32"/>
          <w:szCs w:val="32"/>
          <w:lang w:val="en-US" w:eastAsia="zh-CN"/>
        </w:rPr>
        <w:t>118.06</w:t>
      </w:r>
      <w:r>
        <w:rPr>
          <w:rFonts w:hint="eastAsia" w:ascii="Calibri" w:hAnsi="仿宋" w:eastAsia="仿宋" w:cs="仿宋"/>
          <w:color w:val="000000"/>
          <w:sz w:val="32"/>
          <w:szCs w:val="32"/>
        </w:rPr>
        <w:t>万元，预算收入</w:t>
      </w:r>
      <w:r>
        <w:rPr>
          <w:rFonts w:hint="eastAsia" w:ascii="Calibri" w:hAnsi="仿宋" w:eastAsia="仿宋" w:cs="仿宋"/>
          <w:color w:val="000000"/>
          <w:sz w:val="32"/>
          <w:szCs w:val="32"/>
          <w:lang w:val="en-US" w:eastAsia="zh-CN"/>
        </w:rPr>
        <w:t>115.64</w:t>
      </w:r>
      <w:r>
        <w:rPr>
          <w:rFonts w:hint="eastAsia" w:ascii="Calibri" w:hAnsi="仿宋" w:eastAsia="仿宋" w:cs="仿宋"/>
          <w:sz w:val="32"/>
          <w:szCs w:val="32"/>
        </w:rPr>
        <w:t>万元，差额</w:t>
      </w:r>
      <w:r>
        <w:rPr>
          <w:rFonts w:hint="eastAsia" w:ascii="Calibri" w:hAnsi="仿宋" w:eastAsia="仿宋" w:cs="仿宋"/>
          <w:sz w:val="32"/>
          <w:szCs w:val="32"/>
          <w:lang w:val="en-US" w:eastAsia="zh-CN"/>
        </w:rPr>
        <w:t>2.42</w:t>
      </w:r>
      <w:r>
        <w:rPr>
          <w:rFonts w:hint="eastAsia" w:ascii="Calibri" w:hAnsi="仿宋" w:eastAsia="仿宋" w:cs="仿宋"/>
          <w:sz w:val="32"/>
          <w:szCs w:val="32"/>
        </w:rPr>
        <w:t>万元。具体情况：202</w:t>
      </w:r>
      <w:r>
        <w:rPr>
          <w:rFonts w:hint="eastAsia" w:ascii="Calibri" w:hAnsi="仿宋" w:eastAsia="仿宋" w:cs="仿宋"/>
          <w:sz w:val="32"/>
          <w:szCs w:val="32"/>
          <w:lang w:val="en-US" w:eastAsia="zh-CN"/>
        </w:rPr>
        <w:t>5</w:t>
      </w:r>
      <w:r>
        <w:rPr>
          <w:rFonts w:hint="eastAsia" w:ascii="Calibri" w:hAnsi="仿宋" w:eastAsia="仿宋" w:cs="仿宋"/>
          <w:sz w:val="32"/>
          <w:szCs w:val="32"/>
        </w:rPr>
        <w:t>年井陉县供销社支出</w:t>
      </w:r>
      <w:r>
        <w:rPr>
          <w:rFonts w:hint="eastAsia" w:ascii="Calibri" w:hAnsi="仿宋" w:eastAsia="仿宋" w:cs="仿宋"/>
          <w:sz w:val="32"/>
          <w:szCs w:val="32"/>
          <w:lang w:val="en-US" w:eastAsia="zh-CN"/>
        </w:rPr>
        <w:t>118.06</w:t>
      </w:r>
      <w:r>
        <w:rPr>
          <w:rFonts w:hint="eastAsia" w:ascii="Calibri" w:hAnsi="仿宋" w:eastAsia="仿宋" w:cs="仿宋"/>
          <w:sz w:val="32"/>
          <w:szCs w:val="32"/>
        </w:rPr>
        <w:t>万元，财政拨款按功能分类其中：社会保障和就业支出</w:t>
      </w:r>
      <w:r>
        <w:rPr>
          <w:rFonts w:hint="eastAsia" w:ascii="Calibri" w:hAnsi="仿宋" w:eastAsia="仿宋" w:cs="仿宋"/>
          <w:sz w:val="32"/>
          <w:szCs w:val="32"/>
          <w:lang w:val="en-US" w:eastAsia="zh-CN"/>
        </w:rPr>
        <w:t>8.19</w:t>
      </w:r>
      <w:r>
        <w:rPr>
          <w:rFonts w:hint="eastAsia" w:ascii="Calibri" w:hAnsi="仿宋" w:eastAsia="仿宋" w:cs="仿宋"/>
          <w:sz w:val="32"/>
          <w:szCs w:val="32"/>
        </w:rPr>
        <w:t>万元，卫生健康支出</w:t>
      </w:r>
      <w:r>
        <w:rPr>
          <w:rFonts w:hint="eastAsia" w:ascii="Calibri" w:hAnsi="仿宋" w:eastAsia="仿宋" w:cs="仿宋"/>
          <w:sz w:val="32"/>
          <w:szCs w:val="32"/>
          <w:lang w:val="en-US" w:eastAsia="zh-CN"/>
        </w:rPr>
        <w:t>3.58</w:t>
      </w:r>
      <w:r>
        <w:rPr>
          <w:rFonts w:hint="eastAsia" w:ascii="Calibri" w:hAnsi="仿宋" w:eastAsia="仿宋" w:cs="仿宋"/>
          <w:sz w:val="32"/>
          <w:szCs w:val="32"/>
        </w:rPr>
        <w:t>万元，商业服务业等支出</w:t>
      </w:r>
      <w:r>
        <w:rPr>
          <w:rFonts w:hint="eastAsia" w:ascii="Calibri" w:hAnsi="仿宋" w:eastAsia="仿宋" w:cs="仿宋"/>
          <w:sz w:val="32"/>
          <w:szCs w:val="32"/>
          <w:lang w:val="en-US" w:eastAsia="zh-CN"/>
        </w:rPr>
        <w:t>100.18</w:t>
      </w:r>
      <w:r>
        <w:rPr>
          <w:rFonts w:hint="eastAsia" w:ascii="Calibri" w:hAnsi="仿宋" w:eastAsia="仿宋" w:cs="仿宋"/>
          <w:sz w:val="32"/>
          <w:szCs w:val="32"/>
        </w:rPr>
        <w:t>万元，住房保障支出</w:t>
      </w:r>
      <w:r>
        <w:rPr>
          <w:rFonts w:hint="eastAsia" w:ascii="Calibri" w:hAnsi="仿宋" w:eastAsia="仿宋" w:cs="仿宋"/>
          <w:sz w:val="32"/>
          <w:szCs w:val="32"/>
          <w:lang w:val="en-US" w:eastAsia="zh-CN"/>
        </w:rPr>
        <w:t>6.11</w:t>
      </w:r>
      <w:r>
        <w:rPr>
          <w:rFonts w:hint="eastAsia" w:ascii="Calibri" w:hAnsi="仿宋" w:eastAsia="仿宋" w:cs="仿宋"/>
          <w:sz w:val="32"/>
          <w:szCs w:val="32"/>
        </w:rPr>
        <w:t>万元。</w:t>
      </w:r>
    </w:p>
    <w:p w14:paraId="50178782">
      <w:pPr>
        <w:ind w:firstLine="960" w:firstLineChars="300"/>
        <w:rPr>
          <w:rFonts w:hint="eastAsia" w:ascii="Calibri" w:hAnsi="仿宋" w:eastAsia="仿宋" w:cs="仿宋"/>
          <w:sz w:val="32"/>
          <w:szCs w:val="32"/>
        </w:rPr>
      </w:pPr>
      <w:r>
        <w:rPr>
          <w:rFonts w:hint="eastAsia" w:ascii="Calibri" w:hAnsi="仿宋" w:eastAsia="仿宋" w:cs="仿宋"/>
          <w:sz w:val="32"/>
          <w:szCs w:val="32"/>
        </w:rPr>
        <w:t>按支出性质和经济分类其中：基本支出</w:t>
      </w:r>
      <w:r>
        <w:rPr>
          <w:rFonts w:hint="eastAsia" w:ascii="Calibri" w:hAnsi="仿宋" w:eastAsia="仿宋" w:cs="仿宋"/>
          <w:sz w:val="32"/>
          <w:szCs w:val="32"/>
          <w:lang w:val="en-US" w:eastAsia="zh-CN"/>
        </w:rPr>
        <w:t>75.16</w:t>
      </w:r>
      <w:r>
        <w:rPr>
          <w:rFonts w:hint="eastAsia" w:ascii="Calibri" w:hAnsi="仿宋" w:eastAsia="仿宋" w:cs="仿宋"/>
          <w:sz w:val="32"/>
          <w:szCs w:val="32"/>
        </w:rPr>
        <w:t>万元比预算增加</w:t>
      </w:r>
      <w:r>
        <w:rPr>
          <w:rFonts w:hint="eastAsia" w:ascii="Calibri" w:hAnsi="仿宋" w:eastAsia="仿宋" w:cs="仿宋"/>
          <w:sz w:val="32"/>
          <w:szCs w:val="32"/>
          <w:lang w:val="en-US" w:eastAsia="zh-CN"/>
        </w:rPr>
        <w:t>3.82</w:t>
      </w:r>
      <w:r>
        <w:rPr>
          <w:rFonts w:hint="eastAsia" w:ascii="Calibri" w:hAnsi="仿宋" w:eastAsia="仿宋" w:cs="仿宋"/>
          <w:sz w:val="32"/>
          <w:szCs w:val="32"/>
        </w:rPr>
        <w:t>万元（人员经费支出</w:t>
      </w:r>
      <w:r>
        <w:rPr>
          <w:rFonts w:hint="eastAsia" w:ascii="Calibri" w:hAnsi="仿宋" w:eastAsia="仿宋" w:cs="仿宋"/>
          <w:sz w:val="32"/>
          <w:szCs w:val="32"/>
          <w:lang w:val="en-US" w:eastAsia="zh-CN"/>
        </w:rPr>
        <w:t>73.10</w:t>
      </w:r>
      <w:r>
        <w:rPr>
          <w:rFonts w:hint="eastAsia" w:ascii="Calibri" w:hAnsi="仿宋" w:eastAsia="仿宋" w:cs="仿宋"/>
          <w:sz w:val="32"/>
          <w:szCs w:val="32"/>
        </w:rPr>
        <w:t>万元，公用经费支出</w:t>
      </w:r>
      <w:r>
        <w:rPr>
          <w:rFonts w:hint="eastAsia" w:ascii="Calibri" w:hAnsi="仿宋" w:eastAsia="仿宋" w:cs="仿宋"/>
          <w:sz w:val="32"/>
          <w:szCs w:val="32"/>
          <w:lang w:val="en-US" w:eastAsia="zh-CN"/>
        </w:rPr>
        <w:t>2.06</w:t>
      </w:r>
      <w:r>
        <w:rPr>
          <w:rFonts w:hint="eastAsia" w:ascii="Calibri" w:hAnsi="仿宋" w:eastAsia="仿宋" w:cs="仿宋"/>
          <w:sz w:val="32"/>
          <w:szCs w:val="32"/>
        </w:rPr>
        <w:t>万元），项目支出</w:t>
      </w:r>
      <w:r>
        <w:rPr>
          <w:rFonts w:hint="eastAsia" w:ascii="Calibri" w:hAnsi="仿宋" w:eastAsia="仿宋" w:cs="仿宋"/>
          <w:sz w:val="32"/>
          <w:szCs w:val="32"/>
          <w:lang w:val="en-US" w:eastAsia="zh-CN"/>
        </w:rPr>
        <w:t>42.90</w:t>
      </w:r>
      <w:r>
        <w:rPr>
          <w:rFonts w:hint="eastAsia" w:ascii="Calibri" w:hAnsi="仿宋" w:eastAsia="仿宋" w:cs="仿宋"/>
          <w:sz w:val="32"/>
          <w:szCs w:val="32"/>
        </w:rPr>
        <w:t>万元比预算</w:t>
      </w:r>
      <w:r>
        <w:rPr>
          <w:rFonts w:hint="eastAsia" w:ascii="Calibri" w:hAnsi="仿宋" w:eastAsia="仿宋" w:cs="仿宋"/>
          <w:sz w:val="32"/>
          <w:szCs w:val="32"/>
          <w:lang w:val="en-US" w:eastAsia="zh-CN"/>
        </w:rPr>
        <w:t>44.30</w:t>
      </w:r>
      <w:r>
        <w:rPr>
          <w:rFonts w:hint="eastAsia" w:ascii="Calibri" w:hAnsi="仿宋" w:eastAsia="仿宋" w:cs="仿宋"/>
          <w:sz w:val="32"/>
          <w:szCs w:val="32"/>
        </w:rPr>
        <w:t>减少</w:t>
      </w:r>
      <w:r>
        <w:rPr>
          <w:rFonts w:hint="eastAsia" w:ascii="Calibri" w:hAnsi="仿宋" w:eastAsia="仿宋" w:cs="仿宋"/>
          <w:sz w:val="32"/>
          <w:szCs w:val="32"/>
          <w:lang w:val="en-US" w:eastAsia="zh-CN"/>
        </w:rPr>
        <w:t>1.4</w:t>
      </w:r>
      <w:r>
        <w:rPr>
          <w:rFonts w:hint="eastAsia" w:ascii="Calibri" w:hAnsi="仿宋" w:eastAsia="仿宋" w:cs="仿宋"/>
          <w:sz w:val="32"/>
          <w:szCs w:val="32"/>
        </w:rPr>
        <w:t>万元。</w:t>
      </w:r>
    </w:p>
    <w:p w14:paraId="45557260">
      <w:pPr>
        <w:pStyle w:val="3"/>
        <w:ind w:firstLine="640" w:firstLineChars="200"/>
        <w:rPr>
          <w:rFonts w:hint="eastAsia" w:ascii="楷体" w:hAnsi="楷体" w:eastAsia="楷体" w:cs="楷体_GB2312"/>
          <w:bCs/>
          <w:sz w:val="32"/>
          <w:szCs w:val="32"/>
        </w:rPr>
      </w:pPr>
      <w:r>
        <w:rPr>
          <w:rFonts w:hint="eastAsia" w:ascii="Calibri" w:hAnsi="仿宋" w:eastAsia="仿宋" w:cs="仿宋"/>
          <w:sz w:val="32"/>
          <w:szCs w:val="32"/>
        </w:rPr>
        <w:t>按经济分类其中：工资福利支出</w:t>
      </w:r>
      <w:r>
        <w:rPr>
          <w:rFonts w:hint="eastAsia" w:ascii="Calibri" w:hAnsi="仿宋" w:eastAsia="仿宋" w:cs="仿宋"/>
          <w:sz w:val="32"/>
          <w:szCs w:val="32"/>
          <w:lang w:val="en-US" w:eastAsia="zh-CN"/>
        </w:rPr>
        <w:t>73.10</w:t>
      </w:r>
      <w:r>
        <w:rPr>
          <w:rFonts w:hint="eastAsia" w:ascii="Calibri" w:hAnsi="仿宋" w:eastAsia="仿宋" w:cs="仿宋"/>
          <w:sz w:val="32"/>
          <w:szCs w:val="32"/>
        </w:rPr>
        <w:t>万元，商品和服务支出</w:t>
      </w:r>
      <w:r>
        <w:rPr>
          <w:rFonts w:hint="eastAsia" w:ascii="Calibri" w:hAnsi="仿宋" w:eastAsia="仿宋" w:cs="仿宋"/>
          <w:sz w:val="32"/>
          <w:szCs w:val="32"/>
          <w:lang w:val="en-US" w:eastAsia="zh-CN"/>
        </w:rPr>
        <w:t>5.46</w:t>
      </w:r>
      <w:r>
        <w:rPr>
          <w:rFonts w:hint="eastAsia" w:ascii="Calibri" w:hAnsi="仿宋" w:eastAsia="仿宋" w:cs="仿宋"/>
          <w:sz w:val="32"/>
          <w:szCs w:val="32"/>
        </w:rPr>
        <w:t>万元，</w:t>
      </w:r>
      <w:bookmarkStart w:id="0" w:name="OLE_LINK7"/>
      <w:r>
        <w:rPr>
          <w:rFonts w:hint="eastAsia" w:ascii="Calibri" w:hAnsi="仿宋" w:eastAsia="仿宋" w:cs="仿宋"/>
          <w:sz w:val="32"/>
          <w:szCs w:val="32"/>
        </w:rPr>
        <w:t>对企业的补助39.5万元</w:t>
      </w:r>
      <w:bookmarkEnd w:id="0"/>
      <w:r>
        <w:rPr>
          <w:rFonts w:hint="eastAsia" w:ascii="Calibri" w:hAnsi="仿宋" w:eastAsia="仿宋" w:cs="仿宋"/>
          <w:sz w:val="32"/>
          <w:szCs w:val="32"/>
        </w:rPr>
        <w:t>。</w:t>
      </w:r>
    </w:p>
    <w:p w14:paraId="325B35BD">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4AA99108">
      <w:pPr>
        <w:pStyle w:val="9"/>
        <w:rPr>
          <w:rFonts w:hint="eastAsia" w:ascii="Calibri" w:hAnsi="仿宋" w:eastAsia="仿宋" w:cs="仿宋"/>
          <w:kern w:val="2"/>
          <w:sz w:val="32"/>
          <w:szCs w:val="32"/>
          <w:lang w:val="en-US" w:eastAsia="zh-CN" w:bidi="ar-SA"/>
        </w:rPr>
      </w:pPr>
      <w:r>
        <w:rPr>
          <w:rFonts w:hint="eastAsia" w:ascii="Calibri" w:hAnsi="仿宋" w:eastAsia="仿宋" w:cs="仿宋"/>
          <w:kern w:val="2"/>
          <w:sz w:val="32"/>
          <w:szCs w:val="32"/>
          <w:lang w:val="en-US" w:eastAsia="zh-CN" w:bidi="ar-SA"/>
        </w:rPr>
        <w:t>全面贯彻中央和省、市有关供销合作社的方针、政策，参与研究和实施农村经济改革发展规划；推进农村建设现代流通服务网络体系；负责社有企业的改革发展稳定，指导社有资产运营等相关工作。</w:t>
      </w:r>
    </w:p>
    <w:p w14:paraId="717C489A">
      <w:pPr>
        <w:adjustRightInd w:val="0"/>
        <w:snapToGrid w:val="0"/>
        <w:spacing w:line="560" w:lineRule="exact"/>
        <w:ind w:firstLine="640" w:firstLineChars="200"/>
        <w:rPr>
          <w:rFonts w:ascii="仿宋" w:hAnsi="仿宋" w:eastAsia="仿宋"/>
          <w:sz w:val="32"/>
          <w:szCs w:val="32"/>
        </w:rPr>
      </w:pPr>
    </w:p>
    <w:p w14:paraId="056BD543">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A156941">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97EBFC1">
      <w:pPr>
        <w:spacing w:line="560" w:lineRule="exact"/>
        <w:rPr>
          <w:rFonts w:ascii="仿宋" w:hAnsi="仿宋" w:eastAsia="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根据县财政局《关于开展202</w:t>
      </w:r>
      <w:r>
        <w:rPr>
          <w:rFonts w:hint="eastAsia" w:ascii="仿宋" w:hAnsi="仿宋" w:eastAsia="仿宋" w:cs="仿宋"/>
          <w:sz w:val="32"/>
          <w:szCs w:val="32"/>
          <w:lang w:val="en-US" w:eastAsia="zh-CN"/>
        </w:rPr>
        <w:t>6</w:t>
      </w:r>
      <w:r>
        <w:rPr>
          <w:rFonts w:hint="eastAsia" w:ascii="仿宋" w:hAnsi="仿宋" w:eastAsia="仿宋" w:cs="仿宋"/>
          <w:sz w:val="32"/>
          <w:szCs w:val="32"/>
        </w:rPr>
        <w:t>年绩效自评工作的通知》文件要求，我部门迅速抽调相关业务部门的工作人员组成以</w:t>
      </w:r>
      <w:r>
        <w:rPr>
          <w:rFonts w:hint="eastAsia" w:ascii="仿宋" w:hAnsi="仿宋" w:eastAsia="仿宋" w:cs="仿宋"/>
          <w:sz w:val="32"/>
          <w:szCs w:val="32"/>
          <w:lang w:val="en-US" w:eastAsia="zh-CN"/>
        </w:rPr>
        <w:t>王建章</w:t>
      </w:r>
      <w:r>
        <w:rPr>
          <w:rFonts w:hint="eastAsia" w:ascii="仿宋" w:hAnsi="仿宋" w:eastAsia="仿宋" w:cs="仿宋"/>
          <w:sz w:val="32"/>
          <w:szCs w:val="32"/>
        </w:rPr>
        <w:t>书记为组长的自评工作小组，开展我部门的项目绩效评价工作。</w:t>
      </w:r>
    </w:p>
    <w:p w14:paraId="240BF644">
      <w:pPr>
        <w:numPr>
          <w:ilvl w:val="0"/>
          <w:numId w:val="2"/>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5FFC27A">
      <w:pPr>
        <w:spacing w:line="620" w:lineRule="exact"/>
        <w:ind w:firstLine="640"/>
        <w:rPr>
          <w:rFonts w:ascii="楷体" w:hAnsi="楷体" w:eastAsia="楷体" w:cs="楷体_GB2312"/>
          <w:bCs/>
          <w:sz w:val="32"/>
          <w:szCs w:val="32"/>
        </w:rPr>
      </w:pPr>
      <w:r>
        <w:rPr>
          <w:rFonts w:hint="eastAsia" w:ascii="仿宋" w:hAnsi="仿宋" w:eastAsia="仿宋" w:cs="仿宋"/>
          <w:color w:val="333333"/>
          <w:kern w:val="0"/>
          <w:sz w:val="32"/>
          <w:szCs w:val="32"/>
          <w:shd w:val="clear" w:color="auto" w:fill="FFFFFF"/>
          <w:lang w:bidi="ar"/>
        </w:rPr>
        <w:t>按照绩效评价工作要求，确定本次绩效评价工作内容。</w:t>
      </w:r>
      <w:r>
        <w:rPr>
          <w:rFonts w:hint="eastAsia" w:ascii="仿宋" w:hAnsi="仿宋" w:eastAsia="仿宋" w:cs="仿宋"/>
          <w:sz w:val="32"/>
          <w:szCs w:val="32"/>
        </w:rPr>
        <w:t>为保障评价工作的顺利进行，由</w:t>
      </w:r>
      <w:r>
        <w:rPr>
          <w:rFonts w:hint="eastAsia" w:ascii="仿宋" w:hAnsi="仿宋" w:eastAsia="仿宋" w:cs="仿宋"/>
          <w:color w:val="333333"/>
          <w:kern w:val="0"/>
          <w:sz w:val="32"/>
          <w:szCs w:val="32"/>
          <w:shd w:val="clear" w:color="auto" w:fill="FFFFFF"/>
          <w:lang w:bidi="ar"/>
        </w:rPr>
        <w:t>绩效评价小组制定评价工作方案，完善评价工作程序。</w:t>
      </w:r>
      <w:r>
        <w:rPr>
          <w:rFonts w:hint="eastAsia" w:ascii="仿宋" w:hAnsi="仿宋" w:eastAsia="仿宋" w:cs="仿宋"/>
          <w:sz w:val="32"/>
          <w:szCs w:val="32"/>
        </w:rPr>
        <w:t>评价工作先由项目涉及的业务科室按照公平公正、科学规范的原则对项目进行自评，并按照评价标准和规范对各项指标进行计算和打分，形成上报项目自评表与自评报告；对重点项目，先由业务科室自评，再由自评工作小组对业务科室上报的相关材料进行审查、复核和测评，最终形成上报项目自评表和自评报告。</w:t>
      </w:r>
    </w:p>
    <w:p w14:paraId="78733BB3">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4231A12">
      <w:pPr>
        <w:numPr>
          <w:ilvl w:val="0"/>
          <w:numId w:val="3"/>
        </w:numPr>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62EDC85E">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一、主营业务指标完成情况</w:t>
      </w:r>
    </w:p>
    <w:p w14:paraId="5AE7B03D">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全年完成商品购进3.06亿元，完成年目标的102%；商品销售达3.45亿元，完成年任务的101%；实现净利润114万元，完成年任务的104%。主要经营指标超额完成，并在全市供销系统中保持领先地位。</w:t>
      </w:r>
    </w:p>
    <w:p w14:paraId="7AF5E072">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二、推进区域公用品牌建设</w:t>
      </w:r>
    </w:p>
    <w:p w14:paraId="5CE48891">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 36种“实在井陉”区域品牌产品年销售额达到5.8亿，增加农民收入1830万元。</w:t>
      </w:r>
    </w:p>
    <w:p w14:paraId="7BE608CA">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 品牌影响力持续扩大，积极参加第22届中国国际农产品交易会、市政府举办的“河北名优土特产展销会”、市供销社举办的“石惠供销”大集等各类推广活动30余场次。</w:t>
      </w:r>
    </w:p>
    <w:p w14:paraId="13390BD9">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 新增了4种井陉特色产品进入“实在井陉”区域品牌，即龙凤山西红柿、北王庄山地苹果、仇家窑自榨植物油和井陉地都面粉，总数达到36种，超额完成年初县委确定的任务目标。</w:t>
      </w:r>
    </w:p>
    <w:p w14:paraId="7AE02C92">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三、山货销售助农工程</w:t>
      </w:r>
    </w:p>
    <w:p w14:paraId="65E93381">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 大力开展山货进小区活动。截至目前，组织活动15场，参加第22届中国国际农产品交易会、市政府举办的“河北名优土特产展销会”、市供销社举办的“石惠供销”大集等各类展销会30余场，带动农民收入350万元。“山货销售助农工程”被确定为2025年县十件民生实事项目之一。</w:t>
      </w:r>
    </w:p>
    <w:p w14:paraId="60B37C9B">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 积极探索“互联网+”新模式。通过“实在井陉”直播基地直播带货、井陉供销抖音和微信视频号等进行线上宣传销售，累计拍摄发布短视频400余条，作品总播放量500万次，直播120余次，销售额达48万元，有效扩大井陉农特产品知名度，直接和间接带动农民增收1070万元。</w:t>
      </w:r>
    </w:p>
    <w:p w14:paraId="15FC4CE2">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四、规范农村产权交易</w:t>
      </w:r>
    </w:p>
    <w:p w14:paraId="2606C54C">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积极引导农村集体资产进入平台进行公开、公平交易，严格审核交易流程，完善交易台账管理。对乡镇村相关人员开展宣贯、培训350余人次，有效规范交易行为。全年完成农村集体产权交易鉴证58笔，交易鉴证金额达3.044亿元。</w:t>
      </w:r>
    </w:p>
    <w:p w14:paraId="2CF5DB84">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五、加强再生资源行业管理</w:t>
      </w:r>
    </w:p>
    <w:p w14:paraId="5D17A925">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县社牵头组织相关部门对全县再生资源回收站点开展安全生产与环境整治专项检查，重点排查主城区站点消防安全隐患与环境卫生问题。健全完善各类台账，逐步将再生资源回收工作纳入日常管理，形成常态化监管。累计出动车辆180车次、人员600人次，下达整改通知书75份，均已完成整改，促进行业健康规范发展。</w:t>
      </w:r>
    </w:p>
    <w:p w14:paraId="5F4102A8">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六、抓实安全生产与防汛工作</w:t>
      </w:r>
    </w:p>
    <w:p w14:paraId="5D4EDFCE">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健全组织领导，完善预案体系，严格落实“双控”机制，补充安全警示标识，深入开展隐患排查治理。高标准完成防汛物资储备任务，包括镐头800把、尖钎800把、塑料布10000米、编织袋12000条，为安全度汛提供坚实保障。</w:t>
      </w:r>
    </w:p>
    <w:p w14:paraId="7505F1E2">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七、持续推进“洗城行动”</w:t>
      </w:r>
    </w:p>
    <w:p w14:paraId="6E81FD63">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按照县委县政府统一部署，对分包的6个小区、3条路段及3栋临街办公楼持续开展环境清洁工作。累计出动车辆520台次，投入人员1200人次，清扫面积逾12万平方米。</w:t>
      </w:r>
    </w:p>
    <w:p w14:paraId="471E8E1A">
      <w:pPr>
        <w:snapToGrid w:val="0"/>
        <w:spacing w:line="520" w:lineRule="exact"/>
        <w:ind w:left="420" w:leftChars="200"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八、招商引资</w:t>
      </w:r>
    </w:p>
    <w:p w14:paraId="394A0ED1">
      <w:pPr>
        <w:snapToGrid w:val="0"/>
        <w:spacing w:line="520" w:lineRule="exact"/>
        <w:ind w:left="420" w:leftChars="200"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今年以来，县社紧紧围绕“盘活存量资产”与“提升为农服务效能”两大核心任务开展招商引资，新引进经营主体10个，累计引进投资3600多万元，增加就业岗位60多个，使企业增加收入60多万元。其中成功盘活闲置两年的明珠商城超市，引进义乌小商品市场、绿尚鲜生活超市两大项目，总投资约700万元，经营面积达2800平方米，经营品种超2万种，与陉百广场、井陉商厦共同形成区域大型商业综合体。同时，在土产公司办公楼引入社会投资1700余万元，建成550平方米的太行崖柏梵香工艺博物馆。</w:t>
      </w:r>
    </w:p>
    <w:p w14:paraId="1EF1AE2B">
      <w:pPr>
        <w:spacing w:line="560" w:lineRule="exact"/>
        <w:rPr>
          <w:rFonts w:ascii="楷体" w:hAnsi="楷体" w:eastAsia="楷体"/>
          <w:bCs/>
          <w:color w:val="0000FF"/>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color w:val="auto"/>
          <w:sz w:val="32"/>
          <w:szCs w:val="32"/>
        </w:rPr>
        <w:t>（二）分项绩效目标实现情况及指标分析</w:t>
      </w:r>
    </w:p>
    <w:p w14:paraId="17882C16">
      <w:pPr>
        <w:spacing w:line="560" w:lineRule="exact"/>
        <w:ind w:firstLine="960" w:firstLineChars="300"/>
        <w:rPr>
          <w:rFonts w:hint="eastAsia" w:ascii="仿宋" w:hAnsi="仿宋" w:eastAsia="仿宋" w:cs="仿宋"/>
          <w:sz w:val="32"/>
          <w:szCs w:val="32"/>
          <w:lang w:val="en-US" w:eastAsia="zh-CN"/>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区域品牌创建工作</w:t>
      </w:r>
    </w:p>
    <w:p w14:paraId="5207ACCF">
      <w:pPr>
        <w:pStyle w:val="10"/>
        <w:rPr>
          <w:rFonts w:hint="eastAsia" w:ascii="仿宋" w:hAnsi="仿宋" w:eastAsia="仿宋" w:cs="仿宋"/>
          <w:sz w:val="32"/>
          <w:szCs w:val="32"/>
          <w:lang w:val="en-US" w:eastAsia="zh-CN"/>
        </w:rPr>
      </w:pPr>
      <w:r>
        <w:rPr>
          <w:rFonts w:hint="eastAsia" w:ascii="仿宋" w:hAnsi="仿宋" w:eastAsia="仿宋" w:cs="仿宋"/>
          <w:sz w:val="32"/>
          <w:szCs w:val="32"/>
        </w:rPr>
        <w:t>绩效目标：推进</w:t>
      </w:r>
      <w:r>
        <w:rPr>
          <w:rFonts w:hint="eastAsia" w:ascii="仿宋" w:hAnsi="仿宋" w:eastAsia="仿宋" w:cs="仿宋"/>
          <w:sz w:val="32"/>
          <w:szCs w:val="32"/>
          <w:lang w:val="en-US" w:eastAsia="zh-CN"/>
        </w:rPr>
        <w:t>区域品牌创建和发展</w:t>
      </w:r>
    </w:p>
    <w:p w14:paraId="77D96B7D">
      <w:pPr>
        <w:pStyle w:val="10"/>
        <w:rPr>
          <w:rFonts w:hint="eastAsia" w:ascii="仿宋" w:hAnsi="仿宋" w:eastAsia="仿宋" w:cs="仿宋"/>
          <w:sz w:val="32"/>
          <w:szCs w:val="32"/>
          <w:lang w:eastAsia="zh-CN"/>
        </w:rPr>
      </w:pPr>
      <w:r>
        <w:rPr>
          <w:rFonts w:hint="eastAsia" w:ascii="仿宋" w:hAnsi="仿宋" w:eastAsia="仿宋" w:cs="仿宋"/>
          <w:sz w:val="32"/>
          <w:szCs w:val="32"/>
        </w:rPr>
        <w:t>绩效指标：项目完成率</w:t>
      </w:r>
    </w:p>
    <w:p w14:paraId="3FA250CB">
      <w:pPr>
        <w:snapToGrid w:val="0"/>
        <w:spacing w:line="520" w:lineRule="exact"/>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 xml:space="preserve"> 品牌影响力持续扩大，积极参加第22届中国国际农产品交易会、市政府举办的“河北名优土特产展销会”、市供销社举办的“石惠供销”大集等各类推广活动30余场次。 新增了4种井陉特色产品进入“实在井陉”区域品牌，即龙凤山西红柿、北王庄山地苹果、仇家窑自榨植物油和井陉地都面粉，总数达到36种，超额完成年初县委确定的任务目标。</w:t>
      </w:r>
      <w:r>
        <w:rPr>
          <w:rFonts w:hint="eastAsia" w:ascii="仿宋" w:hAnsi="仿宋" w:eastAsia="仿宋" w:cs="仿宋"/>
          <w:sz w:val="32"/>
          <w:szCs w:val="32"/>
        </w:rPr>
        <w:t>综合得分</w:t>
      </w:r>
      <w:r>
        <w:rPr>
          <w:rFonts w:hint="eastAsia" w:ascii="仿宋" w:hAnsi="仿宋" w:eastAsia="仿宋" w:cs="仿宋"/>
          <w:sz w:val="32"/>
          <w:szCs w:val="32"/>
          <w:lang w:val="en-US" w:eastAsia="zh-CN"/>
        </w:rPr>
        <w:t>25</w:t>
      </w:r>
      <w:r>
        <w:rPr>
          <w:rFonts w:hint="eastAsia" w:ascii="仿宋" w:hAnsi="仿宋" w:eastAsia="仿宋" w:cs="仿宋"/>
          <w:sz w:val="32"/>
          <w:szCs w:val="32"/>
        </w:rPr>
        <w:t>分。</w:t>
      </w:r>
    </w:p>
    <w:p w14:paraId="2803E02A">
      <w:pPr>
        <w:pStyle w:val="10"/>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加强再生资源市场管理工作</w:t>
      </w:r>
    </w:p>
    <w:p w14:paraId="2E9EFB1C">
      <w:pPr>
        <w:pStyle w:val="10"/>
        <w:rPr>
          <w:rFonts w:hint="eastAsia" w:ascii="仿宋" w:hAnsi="仿宋" w:eastAsia="仿宋" w:cs="仿宋"/>
          <w:sz w:val="32"/>
          <w:szCs w:val="32"/>
        </w:rPr>
      </w:pPr>
      <w:r>
        <w:rPr>
          <w:rFonts w:hint="eastAsia" w:ascii="仿宋" w:hAnsi="仿宋" w:eastAsia="仿宋" w:cs="仿宋"/>
          <w:sz w:val="32"/>
          <w:szCs w:val="32"/>
        </w:rPr>
        <w:t>绩效目标：大力推动全县再生资源回收市场体系建设，形成“分拣中心+回收站点+流动回收”模式的回收网络，进一步推动与垃圾分类“两网融合”发展，实现资源最大化利用，推动再生资源回收行业规范合法有序发展。</w:t>
      </w:r>
    </w:p>
    <w:p w14:paraId="5CE233ED">
      <w:pPr>
        <w:pStyle w:val="10"/>
        <w:ind w:left="0" w:leftChars="0"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绩效指标：项目完成率</w:t>
      </w:r>
    </w:p>
    <w:p w14:paraId="52C41C49">
      <w:pPr>
        <w:pStyle w:val="2"/>
        <w:ind w:firstLine="640"/>
        <w:rPr>
          <w:rFonts w:hint="eastAsia" w:ascii="仿宋" w:hAnsi="仿宋" w:eastAsia="仿宋" w:cs="仿宋"/>
          <w:sz w:val="32"/>
          <w:szCs w:val="32"/>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县社牵头组织相关部门对全县再生资源回收站点开展安全生产与环境整治专项检查，重点排查主城区站点消防安全隐患与环境卫生问题。健全完善各类台账，逐步将再生资源回收工作纳入日常管理，形成常态化监管。累计出动车辆180车次、人员600人次，下达整改通知书75份，均已完成整改，促进行业健康规范发展。</w:t>
      </w:r>
      <w:r>
        <w:rPr>
          <w:rFonts w:hint="eastAsia" w:ascii="仿宋" w:hAnsi="仿宋" w:eastAsia="仿宋" w:cs="仿宋"/>
          <w:sz w:val="32"/>
          <w:szCs w:val="32"/>
        </w:rPr>
        <w:t>综合得分</w:t>
      </w:r>
      <w:r>
        <w:rPr>
          <w:rFonts w:hint="eastAsia" w:ascii="仿宋" w:hAnsi="仿宋" w:eastAsia="仿宋" w:cs="仿宋"/>
          <w:sz w:val="32"/>
          <w:szCs w:val="32"/>
          <w:lang w:val="en-US" w:eastAsia="zh-CN"/>
        </w:rPr>
        <w:t>25</w:t>
      </w:r>
      <w:r>
        <w:rPr>
          <w:rFonts w:hint="eastAsia" w:ascii="仿宋" w:hAnsi="仿宋" w:eastAsia="仿宋" w:cs="仿宋"/>
          <w:sz w:val="32"/>
          <w:szCs w:val="32"/>
        </w:rPr>
        <w:t>分。</w:t>
      </w:r>
    </w:p>
    <w:p w14:paraId="15CB09CA">
      <w:pPr>
        <w:pStyle w:val="10"/>
        <w:ind w:firstLine="320" w:firstLineChars="100"/>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3</w:t>
      </w:r>
      <w:r>
        <w:rPr>
          <w:rFonts w:hint="eastAsia" w:ascii="仿宋" w:hAnsi="仿宋" w:eastAsia="仿宋" w:cs="仿宋"/>
          <w:sz w:val="32"/>
          <w:szCs w:val="32"/>
        </w:rPr>
        <w:t xml:space="preserve">）推进农村建设现代流通服务网络体系 </w:t>
      </w:r>
    </w:p>
    <w:p w14:paraId="600428D2">
      <w:pPr>
        <w:pStyle w:val="10"/>
        <w:rPr>
          <w:rFonts w:hint="eastAsia" w:ascii="仿宋" w:hAnsi="仿宋" w:eastAsia="仿宋" w:cs="仿宋"/>
          <w:sz w:val="32"/>
          <w:szCs w:val="32"/>
        </w:rPr>
      </w:pPr>
      <w:r>
        <w:rPr>
          <w:rFonts w:hint="eastAsia" w:ascii="仿宋" w:hAnsi="仿宋" w:eastAsia="仿宋" w:cs="仿宋"/>
          <w:sz w:val="32"/>
          <w:szCs w:val="32"/>
        </w:rPr>
        <w:t>绩效目标：坚持线上线下融合发展，更好促进工业品下乡进村和农产品进城入市双向流通，在开拓城乡消费市场中发挥更大作用。</w:t>
      </w:r>
    </w:p>
    <w:p w14:paraId="062734E8">
      <w:pPr>
        <w:pStyle w:val="10"/>
        <w:rPr>
          <w:rFonts w:hint="eastAsia" w:ascii="仿宋" w:hAnsi="仿宋" w:eastAsia="仿宋" w:cs="仿宋"/>
          <w:sz w:val="32"/>
          <w:szCs w:val="32"/>
          <w:lang w:eastAsia="zh-CN"/>
        </w:rPr>
      </w:pPr>
      <w:r>
        <w:rPr>
          <w:rFonts w:hint="eastAsia" w:ascii="仿宋" w:hAnsi="仿宋" w:eastAsia="仿宋" w:cs="仿宋"/>
          <w:sz w:val="32"/>
          <w:szCs w:val="32"/>
        </w:rPr>
        <w:t>绩效指标：项目完成率。</w:t>
      </w:r>
    </w:p>
    <w:p w14:paraId="798A4807">
      <w:pPr>
        <w:snapToGrid w:val="0"/>
        <w:spacing w:line="520" w:lineRule="exact"/>
        <w:ind w:left="420" w:leftChars="200"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积极探索“互联网+”新模式。通过“实在井陉”直播基地直播带货、井陉供销抖音和微信视频号等进行线上宣传销售，累计拍摄发布短视频400余条，作品总播放量500万次，直播120余次，销售额达48万元，有效扩大井陉农特产品知名度，直接和间接带动农民增收1070万元。</w:t>
      </w:r>
      <w:r>
        <w:rPr>
          <w:rFonts w:hint="eastAsia" w:ascii="仿宋" w:hAnsi="仿宋" w:eastAsia="仿宋" w:cs="仿宋"/>
          <w:sz w:val="32"/>
          <w:szCs w:val="32"/>
          <w:lang w:eastAsia="zh-CN"/>
        </w:rPr>
        <w:t>综合得分</w:t>
      </w:r>
      <w:r>
        <w:rPr>
          <w:rFonts w:hint="eastAsia" w:ascii="仿宋" w:hAnsi="仿宋" w:eastAsia="仿宋" w:cs="仿宋"/>
          <w:sz w:val="32"/>
          <w:szCs w:val="32"/>
          <w:lang w:val="en-US" w:eastAsia="zh-CN"/>
        </w:rPr>
        <w:t>25</w:t>
      </w:r>
      <w:r>
        <w:rPr>
          <w:rFonts w:hint="eastAsia" w:ascii="仿宋" w:hAnsi="仿宋" w:eastAsia="仿宋" w:cs="仿宋"/>
          <w:sz w:val="32"/>
          <w:szCs w:val="32"/>
          <w:lang w:eastAsia="zh-CN"/>
        </w:rPr>
        <w:t>分。</w:t>
      </w:r>
    </w:p>
    <w:p w14:paraId="65EE4F2C">
      <w:pPr>
        <w:pStyle w:val="10"/>
        <w:ind w:firstLine="640" w:firstLineChars="200"/>
        <w:rPr>
          <w:rFonts w:hint="eastAsia" w:ascii="仿宋" w:hAnsi="仿宋" w:eastAsia="仿宋" w:cs="仿宋"/>
          <w:sz w:val="32"/>
          <w:szCs w:val="32"/>
        </w:rPr>
      </w:pPr>
      <w:r>
        <w:rPr>
          <w:rFonts w:hint="eastAsia" w:ascii="仿宋" w:hAnsi="仿宋" w:eastAsia="仿宋" w:cs="仿宋"/>
          <w:sz w:val="32"/>
          <w:szCs w:val="32"/>
        </w:rPr>
        <w:t>（4）社有企业管理工作</w:t>
      </w:r>
    </w:p>
    <w:p w14:paraId="599B153B">
      <w:pPr>
        <w:pStyle w:val="10"/>
        <w:rPr>
          <w:rFonts w:hint="eastAsia" w:ascii="仿宋" w:hAnsi="仿宋" w:eastAsia="仿宋" w:cs="仿宋"/>
          <w:sz w:val="32"/>
          <w:szCs w:val="32"/>
        </w:rPr>
      </w:pPr>
      <w:r>
        <w:rPr>
          <w:rFonts w:hint="eastAsia" w:ascii="仿宋" w:hAnsi="仿宋" w:eastAsia="仿宋" w:cs="仿宋"/>
          <w:sz w:val="32"/>
          <w:szCs w:val="32"/>
        </w:rPr>
        <w:t>绩效目标：以党的二十大精神为指导，按照202</w:t>
      </w:r>
      <w:r>
        <w:rPr>
          <w:rFonts w:hint="eastAsia" w:ascii="仿宋" w:hAnsi="仿宋" w:eastAsia="仿宋" w:cs="仿宋"/>
          <w:sz w:val="32"/>
          <w:szCs w:val="32"/>
          <w:lang w:val="en-US" w:eastAsia="zh-CN"/>
        </w:rPr>
        <w:t>5</w:t>
      </w:r>
      <w:r>
        <w:rPr>
          <w:rFonts w:hint="eastAsia" w:ascii="仿宋" w:hAnsi="仿宋" w:eastAsia="仿宋" w:cs="仿宋"/>
          <w:sz w:val="32"/>
          <w:szCs w:val="32"/>
        </w:rPr>
        <w:t>年供销社工作的总体思路，负责社有企业的改革发展稳定，指导社有资产运营。</w:t>
      </w:r>
    </w:p>
    <w:p w14:paraId="779C4B3B">
      <w:pPr>
        <w:pStyle w:val="10"/>
        <w:ind w:firstLine="1171" w:firstLineChars="366"/>
        <w:rPr>
          <w:rFonts w:hint="eastAsia" w:ascii="仿宋" w:hAnsi="仿宋" w:eastAsia="仿宋" w:cs="仿宋"/>
          <w:sz w:val="32"/>
          <w:szCs w:val="32"/>
          <w:lang w:eastAsia="zh-CN"/>
        </w:rPr>
      </w:pPr>
      <w:r>
        <w:rPr>
          <w:rFonts w:hint="eastAsia" w:ascii="仿宋" w:hAnsi="仿宋" w:eastAsia="仿宋" w:cs="仿宋"/>
          <w:sz w:val="32"/>
          <w:szCs w:val="32"/>
        </w:rPr>
        <w:t>绩效指标：工作任务完成率</w:t>
      </w:r>
    </w:p>
    <w:p w14:paraId="40ADEEC7">
      <w:pPr>
        <w:snapToGrid w:val="0"/>
        <w:spacing w:line="520" w:lineRule="exact"/>
        <w:ind w:left="420" w:leftChars="200"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完成情况：</w:t>
      </w:r>
      <w:r>
        <w:rPr>
          <w:rFonts w:hint="eastAsia" w:ascii="仿宋" w:hAnsi="仿宋" w:eastAsia="仿宋" w:cs="仿宋"/>
          <w:sz w:val="32"/>
          <w:szCs w:val="32"/>
          <w:lang w:val="en-US" w:eastAsia="zh-CN"/>
        </w:rPr>
        <w:t>今年以来，县社紧紧围绕“盘活存量资产”与“提升为农服务效能”两大核心任务开展招商引资，新引进经营主体10个，累计引进投资3600多万元，增加就业岗位60多个，使企业增加收入60多万元。其中成功盘活闲置两年的明珠商城超市，引进义乌小商品市场、绿尚鲜生活超市两大项目，总投资约700万元，经营面积达2800平方米，经营品种超2万种，与陉百广场、井陉商厦共同形成区域大型商业综合体。同时，在土产公司办公楼引入社会投资1700余万元，建成550平方米的太行崖柏梵香工艺博物馆。</w:t>
      </w:r>
      <w:r>
        <w:rPr>
          <w:rFonts w:hint="eastAsia" w:ascii="仿宋" w:hAnsi="仿宋" w:eastAsia="仿宋" w:cs="仿宋"/>
          <w:color w:val="000000"/>
          <w:kern w:val="2"/>
          <w:sz w:val="32"/>
          <w:szCs w:val="32"/>
        </w:rPr>
        <w:t xml:space="preserve"> 综合得分</w:t>
      </w:r>
      <w:r>
        <w:rPr>
          <w:rFonts w:hint="eastAsia" w:ascii="仿宋" w:hAnsi="仿宋" w:eastAsia="仿宋" w:cs="仿宋"/>
          <w:color w:val="000000"/>
          <w:kern w:val="2"/>
          <w:sz w:val="32"/>
          <w:szCs w:val="32"/>
          <w:lang w:val="en-US" w:eastAsia="zh-CN"/>
        </w:rPr>
        <w:t>25</w:t>
      </w:r>
      <w:r>
        <w:rPr>
          <w:rFonts w:hint="eastAsia" w:ascii="仿宋" w:hAnsi="仿宋" w:eastAsia="仿宋" w:cs="仿宋"/>
          <w:color w:val="000000"/>
          <w:kern w:val="2"/>
          <w:sz w:val="32"/>
          <w:szCs w:val="32"/>
        </w:rPr>
        <w:t>分。</w:t>
      </w:r>
    </w:p>
    <w:p w14:paraId="6D0B1387">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70C51B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w:t>
      </w:r>
      <w:r>
        <w:rPr>
          <w:rFonts w:hint="eastAsia" w:ascii="仿宋" w:hAnsi="仿宋" w:eastAsia="仿宋"/>
          <w:sz w:val="32"/>
          <w:szCs w:val="32"/>
          <w:lang w:val="en-US" w:eastAsia="zh-CN"/>
        </w:rPr>
        <w:t>100</w:t>
      </w:r>
      <w:r>
        <w:rPr>
          <w:rFonts w:hint="eastAsia" w:ascii="仿宋" w:hAnsi="仿宋" w:eastAsia="仿宋"/>
          <w:sz w:val="32"/>
          <w:szCs w:val="32"/>
        </w:rPr>
        <w:t>分，满分</w:t>
      </w:r>
      <w:r>
        <w:rPr>
          <w:rFonts w:hint="eastAsia" w:ascii="仿宋" w:hAnsi="仿宋" w:eastAsia="仿宋"/>
          <w:sz w:val="32"/>
          <w:szCs w:val="32"/>
          <w:lang w:val="en-US" w:eastAsia="zh-CN"/>
        </w:rPr>
        <w:t>100</w:t>
      </w:r>
      <w:r>
        <w:rPr>
          <w:rFonts w:hint="eastAsia" w:ascii="仿宋" w:hAnsi="仿宋" w:eastAsia="仿宋"/>
          <w:sz w:val="32"/>
          <w:szCs w:val="32"/>
        </w:rPr>
        <w:t>分，得出综合绩效评价为优秀。</w:t>
      </w:r>
    </w:p>
    <w:p w14:paraId="6CA26B11">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08246886">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（一）存在的主要问题</w:t>
      </w:r>
    </w:p>
    <w:p w14:paraId="549589F6">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 绩效目标设置的精细化程度有待提升</w:t>
      </w:r>
    </w:p>
    <w:p w14:paraId="7AC5947B">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部分项目在年初设定绩效指标时，存在指标偏通用、与项目实际内容贴合不够紧密的情况，影响了后续自评的针对性和准确性。</w:t>
      </w:r>
    </w:p>
    <w:p w14:paraId="2A2B4B01">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2. 对绩效管理工作的认识还需进一步深化</w:t>
      </w:r>
    </w:p>
    <w:p w14:paraId="7C7602B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部门内部部分人员对绩效自评的目的和流程理解不够深入，存在“重执行、轻评价”的倾向，对通过自评改进工作的作用认识不足。</w:t>
      </w:r>
    </w:p>
    <w:p w14:paraId="6F6B2921">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4DB35D7C">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1. 优化绩效目标设置，增强指标针对性</w:t>
      </w:r>
    </w:p>
    <w:p w14:paraId="68FD93A5">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在制定下一年度绩效目标时，结合项目实际内容，减少简单套用通用指标的做法，增设能体现项目特点的个性化、实效化指标，使目标可衡量、可验证。</w:t>
      </w:r>
    </w:p>
    <w:p w14:paraId="2A2FB610">
      <w:pPr>
        <w:spacing w:line="560" w:lineRule="exact"/>
        <w:ind w:firstLine="640" w:firstLineChars="200"/>
        <w:rPr>
          <w:rFonts w:hint="eastAsia" w:ascii="仿宋" w:hAnsi="仿宋" w:eastAsia="仿宋"/>
          <w:sz w:val="32"/>
          <w:szCs w:val="32"/>
        </w:rPr>
      </w:pPr>
      <w:r>
        <w:rPr>
          <w:rFonts w:hint="eastAsia" w:ascii="仿宋" w:hAnsi="仿宋" w:eastAsia="仿宋"/>
          <w:sz w:val="32"/>
          <w:szCs w:val="32"/>
        </w:rPr>
        <w:t xml:space="preserve">2. </w:t>
      </w:r>
      <w:bookmarkStart w:id="1" w:name="_GoBack"/>
      <w:r>
        <w:rPr>
          <w:rFonts w:hint="eastAsia" w:ascii="仿宋" w:hAnsi="仿宋" w:eastAsia="仿宋"/>
          <w:sz w:val="32"/>
          <w:szCs w:val="32"/>
        </w:rPr>
        <w:t>加强内部学习交流，提升全员绩效意识</w:t>
      </w:r>
    </w:p>
    <w:p w14:paraId="3F062798">
      <w:pPr>
        <w:spacing w:line="560" w:lineRule="exact"/>
        <w:ind w:firstLine="320" w:firstLineChars="100"/>
        <w:rPr>
          <w:rFonts w:hint="eastAsia" w:ascii="仿宋" w:hAnsi="仿宋" w:eastAsia="仿宋"/>
          <w:sz w:val="32"/>
          <w:szCs w:val="32"/>
        </w:rPr>
      </w:pPr>
      <w:r>
        <w:rPr>
          <w:rFonts w:hint="eastAsia" w:ascii="仿宋" w:hAnsi="仿宋" w:eastAsia="仿宋"/>
          <w:sz w:val="32"/>
          <w:szCs w:val="32"/>
        </w:rPr>
        <w:t xml:space="preserve"> 通过简短的工作提示、内部会议等形式，适时介绍绩效自评的基本要求和作用，逐步提高相关人员对绩效管理工作的理解和配合度。</w:t>
      </w:r>
    </w:p>
    <w:bookmarkEnd w:id="1"/>
    <w:p w14:paraId="42C08A77">
      <w:pPr>
        <w:adjustRightInd w:val="0"/>
        <w:snapToGrid w:val="0"/>
        <w:spacing w:line="560" w:lineRule="exact"/>
        <w:ind w:firstLine="640" w:firstLineChars="200"/>
        <w:rPr>
          <w:rFonts w:hint="eastAsia" w:ascii="黑体" w:hAnsi="黑体" w:eastAsia="黑体"/>
          <w:sz w:val="32"/>
          <w:szCs w:val="32"/>
        </w:rPr>
      </w:pPr>
    </w:p>
    <w:p w14:paraId="53277050">
      <w:pPr>
        <w:adjustRightInd w:val="0"/>
        <w:snapToGrid w:val="0"/>
        <w:spacing w:line="560" w:lineRule="exact"/>
        <w:ind w:firstLine="640" w:firstLineChars="200"/>
        <w:rPr>
          <w:rFonts w:hint="eastAsia" w:ascii="黑体" w:hAnsi="黑体" w:eastAsia="黑体"/>
          <w:sz w:val="32"/>
          <w:szCs w:val="32"/>
        </w:rPr>
      </w:pPr>
    </w:p>
    <w:p w14:paraId="183D4A30">
      <w:pPr>
        <w:adjustRightInd w:val="0"/>
        <w:snapToGrid w:val="0"/>
        <w:spacing w:line="560" w:lineRule="exact"/>
        <w:ind w:firstLine="640" w:firstLineChars="200"/>
        <w:rPr>
          <w:rFonts w:hint="eastAsia" w:ascii="黑体" w:hAnsi="黑体" w:eastAsia="黑体"/>
          <w:sz w:val="32"/>
          <w:szCs w:val="32"/>
        </w:rPr>
      </w:pPr>
    </w:p>
    <w:p w14:paraId="4FDF1D25">
      <w:pPr>
        <w:adjustRightInd w:val="0"/>
        <w:snapToGrid w:val="0"/>
        <w:spacing w:line="560" w:lineRule="exact"/>
        <w:ind w:firstLine="640" w:firstLineChars="200"/>
        <w:rPr>
          <w:rFonts w:hint="eastAsia" w:ascii="黑体" w:hAnsi="黑体" w:eastAsia="黑体"/>
          <w:sz w:val="32"/>
          <w:szCs w:val="32"/>
        </w:rPr>
      </w:pPr>
    </w:p>
    <w:p w14:paraId="43E2CCC7">
      <w:pPr>
        <w:adjustRightInd w:val="0"/>
        <w:snapToGrid w:val="0"/>
        <w:spacing w:line="560" w:lineRule="exact"/>
        <w:ind w:firstLine="640" w:firstLineChars="200"/>
        <w:rPr>
          <w:rFonts w:hint="eastAsia" w:ascii="黑体" w:hAnsi="黑体" w:eastAsia="黑体"/>
          <w:sz w:val="32"/>
          <w:szCs w:val="32"/>
        </w:rPr>
      </w:pPr>
    </w:p>
    <w:p w14:paraId="04F0A7E9">
      <w:pPr>
        <w:adjustRightInd w:val="0"/>
        <w:snapToGrid w:val="0"/>
        <w:spacing w:line="560" w:lineRule="exact"/>
        <w:ind w:firstLine="640" w:firstLineChars="200"/>
        <w:rPr>
          <w:rFonts w:hint="eastAsia" w:ascii="黑体" w:hAnsi="黑体" w:eastAsia="黑体"/>
          <w:sz w:val="32"/>
          <w:szCs w:val="32"/>
        </w:rPr>
      </w:pPr>
    </w:p>
    <w:p w14:paraId="387337A1">
      <w:pPr>
        <w:adjustRightInd w:val="0"/>
        <w:snapToGrid w:val="0"/>
        <w:spacing w:line="560" w:lineRule="exact"/>
        <w:ind w:firstLine="640" w:firstLineChars="200"/>
        <w:rPr>
          <w:rFonts w:hint="eastAsia" w:ascii="黑体" w:hAnsi="黑体" w:eastAsia="黑体"/>
          <w:sz w:val="32"/>
          <w:szCs w:val="32"/>
        </w:rPr>
      </w:pPr>
    </w:p>
    <w:p w14:paraId="1300A60B">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tbl>
      <w:tblPr>
        <w:tblStyle w:val="7"/>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150"/>
        <w:gridCol w:w="2620"/>
        <w:gridCol w:w="2345"/>
      </w:tblGrid>
      <w:tr w14:paraId="5E7D5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7" w:hRule="atLeast"/>
        </w:trPr>
        <w:tc>
          <w:tcPr>
            <w:tcW w:w="1232" w:type="dxa"/>
            <w:tcBorders>
              <w:top w:val="single" w:color="auto" w:sz="4" w:space="0"/>
              <w:left w:val="single" w:color="auto" w:sz="4" w:space="0"/>
              <w:bottom w:val="single" w:color="auto" w:sz="4" w:space="0"/>
              <w:right w:val="single" w:color="auto" w:sz="4" w:space="0"/>
            </w:tcBorders>
          </w:tcPr>
          <w:p w14:paraId="37F84E72">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姓名</w:t>
            </w:r>
          </w:p>
        </w:tc>
        <w:tc>
          <w:tcPr>
            <w:tcW w:w="3150" w:type="dxa"/>
            <w:tcBorders>
              <w:top w:val="single" w:color="auto" w:sz="4" w:space="0"/>
              <w:left w:val="single" w:color="auto" w:sz="4" w:space="0"/>
              <w:bottom w:val="single" w:color="auto" w:sz="4" w:space="0"/>
              <w:right w:val="single" w:color="auto" w:sz="4" w:space="0"/>
            </w:tcBorders>
          </w:tcPr>
          <w:p w14:paraId="2937A73D">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工作单位</w:t>
            </w:r>
          </w:p>
        </w:tc>
        <w:tc>
          <w:tcPr>
            <w:tcW w:w="2620" w:type="dxa"/>
            <w:tcBorders>
              <w:top w:val="single" w:color="auto" w:sz="4" w:space="0"/>
              <w:left w:val="single" w:color="auto" w:sz="4" w:space="0"/>
              <w:bottom w:val="single" w:color="auto" w:sz="4" w:space="0"/>
              <w:right w:val="single" w:color="auto" w:sz="4" w:space="0"/>
            </w:tcBorders>
          </w:tcPr>
          <w:p w14:paraId="1FB8B221">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职务</w:t>
            </w:r>
          </w:p>
        </w:tc>
        <w:tc>
          <w:tcPr>
            <w:tcW w:w="2345" w:type="dxa"/>
            <w:tcBorders>
              <w:top w:val="single" w:color="auto" w:sz="4" w:space="0"/>
              <w:left w:val="single" w:color="auto" w:sz="4" w:space="0"/>
              <w:bottom w:val="single" w:color="auto" w:sz="4" w:space="0"/>
              <w:right w:val="single" w:color="auto" w:sz="4" w:space="0"/>
            </w:tcBorders>
          </w:tcPr>
          <w:p w14:paraId="7C719266">
            <w:pPr>
              <w:autoSpaceDE w:val="0"/>
              <w:autoSpaceDN w:val="0"/>
              <w:adjustRightInd w:val="0"/>
              <w:spacing w:line="240" w:lineRule="atLeast"/>
              <w:jc w:val="center"/>
              <w:rPr>
                <w:rFonts w:ascii="仿宋" w:hAnsi="仿宋" w:eastAsia="仿宋" w:cs="仿宋"/>
                <w:sz w:val="32"/>
                <w:szCs w:val="32"/>
              </w:rPr>
            </w:pPr>
            <w:r>
              <w:rPr>
                <w:rFonts w:hint="eastAsia" w:ascii="仿宋" w:hAnsi="仿宋" w:eastAsia="仿宋" w:cs="仿宋"/>
                <w:sz w:val="32"/>
                <w:szCs w:val="32"/>
              </w:rPr>
              <w:t>签字</w:t>
            </w:r>
          </w:p>
        </w:tc>
      </w:tr>
      <w:tr w14:paraId="13F622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9" w:hRule="atLeast"/>
        </w:trPr>
        <w:tc>
          <w:tcPr>
            <w:tcW w:w="1232" w:type="dxa"/>
            <w:tcBorders>
              <w:top w:val="single" w:color="auto" w:sz="4" w:space="0"/>
              <w:left w:val="single" w:color="auto" w:sz="4" w:space="0"/>
              <w:bottom w:val="single" w:color="auto" w:sz="4" w:space="0"/>
              <w:right w:val="single" w:color="auto" w:sz="4" w:space="0"/>
            </w:tcBorders>
          </w:tcPr>
          <w:p w14:paraId="2776F817">
            <w:pPr>
              <w:autoSpaceDE w:val="0"/>
              <w:autoSpaceDN w:val="0"/>
              <w:adjustRightInd w:val="0"/>
              <w:spacing w:line="240" w:lineRule="atLeas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谷彦东</w:t>
            </w:r>
          </w:p>
        </w:tc>
        <w:tc>
          <w:tcPr>
            <w:tcW w:w="3150" w:type="dxa"/>
            <w:tcBorders>
              <w:top w:val="single" w:color="auto" w:sz="4" w:space="0"/>
              <w:left w:val="single" w:color="auto" w:sz="4" w:space="0"/>
              <w:bottom w:val="single" w:color="auto" w:sz="4" w:space="0"/>
              <w:right w:val="single" w:color="auto" w:sz="4" w:space="0"/>
            </w:tcBorders>
          </w:tcPr>
          <w:p w14:paraId="695BF0A9">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井陉县供销合作社</w:t>
            </w:r>
          </w:p>
        </w:tc>
        <w:tc>
          <w:tcPr>
            <w:tcW w:w="2620" w:type="dxa"/>
            <w:tcBorders>
              <w:top w:val="single" w:color="auto" w:sz="4" w:space="0"/>
              <w:left w:val="single" w:color="auto" w:sz="4" w:space="0"/>
              <w:bottom w:val="single" w:color="auto" w:sz="4" w:space="0"/>
              <w:right w:val="single" w:color="auto" w:sz="4" w:space="0"/>
            </w:tcBorders>
          </w:tcPr>
          <w:p w14:paraId="0132412E">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党组书记</w:t>
            </w:r>
          </w:p>
        </w:tc>
        <w:tc>
          <w:tcPr>
            <w:tcW w:w="2345" w:type="dxa"/>
            <w:tcBorders>
              <w:top w:val="single" w:color="auto" w:sz="4" w:space="0"/>
              <w:left w:val="single" w:color="auto" w:sz="4" w:space="0"/>
              <w:bottom w:val="single" w:color="auto" w:sz="4" w:space="0"/>
              <w:right w:val="single" w:color="auto" w:sz="4" w:space="0"/>
            </w:tcBorders>
          </w:tcPr>
          <w:p w14:paraId="66EBC245">
            <w:pPr>
              <w:autoSpaceDE w:val="0"/>
              <w:autoSpaceDN w:val="0"/>
              <w:adjustRightInd w:val="0"/>
              <w:spacing w:line="240" w:lineRule="atLeast"/>
              <w:rPr>
                <w:rFonts w:ascii="仿宋" w:hAnsi="仿宋" w:eastAsia="仿宋" w:cs="仿宋"/>
                <w:sz w:val="32"/>
                <w:szCs w:val="32"/>
              </w:rPr>
            </w:pPr>
          </w:p>
        </w:tc>
      </w:tr>
      <w:tr w14:paraId="395352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4" w:hRule="atLeast"/>
        </w:trPr>
        <w:tc>
          <w:tcPr>
            <w:tcW w:w="1232" w:type="dxa"/>
            <w:tcBorders>
              <w:top w:val="single" w:color="auto" w:sz="4" w:space="0"/>
              <w:left w:val="single" w:color="auto" w:sz="4" w:space="0"/>
              <w:bottom w:val="single" w:color="auto" w:sz="4" w:space="0"/>
              <w:right w:val="single" w:color="auto" w:sz="4" w:space="0"/>
            </w:tcBorders>
          </w:tcPr>
          <w:p w14:paraId="59387352">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毕志平</w:t>
            </w:r>
          </w:p>
        </w:tc>
        <w:tc>
          <w:tcPr>
            <w:tcW w:w="3150" w:type="dxa"/>
            <w:tcBorders>
              <w:top w:val="single" w:color="auto" w:sz="4" w:space="0"/>
              <w:left w:val="single" w:color="auto" w:sz="4" w:space="0"/>
              <w:bottom w:val="single" w:color="auto" w:sz="4" w:space="0"/>
              <w:right w:val="single" w:color="auto" w:sz="4" w:space="0"/>
            </w:tcBorders>
          </w:tcPr>
          <w:p w14:paraId="58B9961D">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井陉县供销合作社</w:t>
            </w:r>
          </w:p>
        </w:tc>
        <w:tc>
          <w:tcPr>
            <w:tcW w:w="2620" w:type="dxa"/>
            <w:tcBorders>
              <w:top w:val="single" w:color="auto" w:sz="4" w:space="0"/>
              <w:left w:val="single" w:color="auto" w:sz="4" w:space="0"/>
              <w:bottom w:val="single" w:color="auto" w:sz="4" w:space="0"/>
              <w:right w:val="single" w:color="auto" w:sz="4" w:space="0"/>
            </w:tcBorders>
          </w:tcPr>
          <w:p w14:paraId="1CA8AF80">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县社副主任</w:t>
            </w:r>
          </w:p>
        </w:tc>
        <w:tc>
          <w:tcPr>
            <w:tcW w:w="2345" w:type="dxa"/>
            <w:tcBorders>
              <w:top w:val="single" w:color="auto" w:sz="4" w:space="0"/>
              <w:left w:val="single" w:color="auto" w:sz="4" w:space="0"/>
              <w:bottom w:val="single" w:color="auto" w:sz="4" w:space="0"/>
              <w:right w:val="single" w:color="auto" w:sz="4" w:space="0"/>
            </w:tcBorders>
          </w:tcPr>
          <w:p w14:paraId="08128AA1">
            <w:pPr>
              <w:autoSpaceDE w:val="0"/>
              <w:autoSpaceDN w:val="0"/>
              <w:adjustRightInd w:val="0"/>
              <w:spacing w:line="240" w:lineRule="atLeast"/>
              <w:rPr>
                <w:rFonts w:ascii="仿宋" w:hAnsi="仿宋" w:eastAsia="仿宋" w:cs="仿宋"/>
                <w:sz w:val="32"/>
                <w:szCs w:val="32"/>
              </w:rPr>
            </w:pPr>
          </w:p>
        </w:tc>
      </w:tr>
      <w:tr w14:paraId="4435ED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 w:hRule="atLeast"/>
        </w:trPr>
        <w:tc>
          <w:tcPr>
            <w:tcW w:w="1232" w:type="dxa"/>
            <w:tcBorders>
              <w:top w:val="single" w:color="auto" w:sz="4" w:space="0"/>
              <w:left w:val="single" w:color="auto" w:sz="4" w:space="0"/>
              <w:bottom w:val="single" w:color="auto" w:sz="4" w:space="0"/>
              <w:right w:val="single" w:color="auto" w:sz="4" w:space="0"/>
            </w:tcBorders>
          </w:tcPr>
          <w:p w14:paraId="4092CE87">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武海军</w:t>
            </w:r>
          </w:p>
        </w:tc>
        <w:tc>
          <w:tcPr>
            <w:tcW w:w="3150" w:type="dxa"/>
            <w:tcBorders>
              <w:top w:val="single" w:color="auto" w:sz="4" w:space="0"/>
              <w:left w:val="single" w:color="auto" w:sz="4" w:space="0"/>
              <w:bottom w:val="single" w:color="auto" w:sz="4" w:space="0"/>
              <w:right w:val="single" w:color="auto" w:sz="4" w:space="0"/>
            </w:tcBorders>
          </w:tcPr>
          <w:p w14:paraId="5FF9CB18">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井陉县供销合作社</w:t>
            </w:r>
          </w:p>
        </w:tc>
        <w:tc>
          <w:tcPr>
            <w:tcW w:w="2620" w:type="dxa"/>
            <w:tcBorders>
              <w:top w:val="single" w:color="auto" w:sz="4" w:space="0"/>
              <w:left w:val="single" w:color="auto" w:sz="4" w:space="0"/>
              <w:bottom w:val="single" w:color="auto" w:sz="4" w:space="0"/>
              <w:right w:val="single" w:color="auto" w:sz="4" w:space="0"/>
            </w:tcBorders>
          </w:tcPr>
          <w:p w14:paraId="292A0148">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办公室主任</w:t>
            </w:r>
          </w:p>
        </w:tc>
        <w:tc>
          <w:tcPr>
            <w:tcW w:w="2345" w:type="dxa"/>
            <w:tcBorders>
              <w:top w:val="single" w:color="auto" w:sz="4" w:space="0"/>
              <w:left w:val="single" w:color="auto" w:sz="4" w:space="0"/>
              <w:bottom w:val="single" w:color="auto" w:sz="4" w:space="0"/>
              <w:right w:val="single" w:color="auto" w:sz="4" w:space="0"/>
            </w:tcBorders>
          </w:tcPr>
          <w:p w14:paraId="45F828EB">
            <w:pPr>
              <w:autoSpaceDE w:val="0"/>
              <w:autoSpaceDN w:val="0"/>
              <w:adjustRightInd w:val="0"/>
              <w:spacing w:line="240" w:lineRule="atLeast"/>
              <w:rPr>
                <w:rFonts w:ascii="仿宋" w:hAnsi="仿宋" w:eastAsia="仿宋" w:cs="仿宋"/>
                <w:sz w:val="32"/>
                <w:szCs w:val="32"/>
              </w:rPr>
            </w:pPr>
          </w:p>
        </w:tc>
      </w:tr>
      <w:tr w14:paraId="7D6066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6" w:hRule="atLeast"/>
        </w:trPr>
        <w:tc>
          <w:tcPr>
            <w:tcW w:w="1232" w:type="dxa"/>
            <w:tcBorders>
              <w:top w:val="single" w:color="auto" w:sz="4" w:space="0"/>
              <w:left w:val="single" w:color="auto" w:sz="4" w:space="0"/>
              <w:bottom w:val="single" w:color="auto" w:sz="4" w:space="0"/>
              <w:right w:val="single" w:color="auto" w:sz="4" w:space="0"/>
            </w:tcBorders>
          </w:tcPr>
          <w:p w14:paraId="7CF81C12">
            <w:pPr>
              <w:autoSpaceDE w:val="0"/>
              <w:autoSpaceDN w:val="0"/>
              <w:adjustRightInd w:val="0"/>
              <w:spacing w:line="240" w:lineRule="atLeas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许晓冉</w:t>
            </w:r>
          </w:p>
        </w:tc>
        <w:tc>
          <w:tcPr>
            <w:tcW w:w="3150" w:type="dxa"/>
            <w:tcBorders>
              <w:top w:val="single" w:color="auto" w:sz="4" w:space="0"/>
              <w:left w:val="single" w:color="auto" w:sz="4" w:space="0"/>
              <w:bottom w:val="single" w:color="auto" w:sz="4" w:space="0"/>
              <w:right w:val="single" w:color="auto" w:sz="4" w:space="0"/>
            </w:tcBorders>
          </w:tcPr>
          <w:p w14:paraId="2F68A97B">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井陉县供销合作社</w:t>
            </w:r>
          </w:p>
        </w:tc>
        <w:tc>
          <w:tcPr>
            <w:tcW w:w="2620" w:type="dxa"/>
            <w:tcBorders>
              <w:top w:val="single" w:color="auto" w:sz="4" w:space="0"/>
              <w:left w:val="single" w:color="auto" w:sz="4" w:space="0"/>
              <w:bottom w:val="single" w:color="auto" w:sz="4" w:space="0"/>
              <w:right w:val="single" w:color="auto" w:sz="4" w:space="0"/>
            </w:tcBorders>
          </w:tcPr>
          <w:p w14:paraId="263684D5">
            <w:pPr>
              <w:autoSpaceDE w:val="0"/>
              <w:autoSpaceDN w:val="0"/>
              <w:adjustRightInd w:val="0"/>
              <w:spacing w:line="240" w:lineRule="atLeast"/>
              <w:rPr>
                <w:rFonts w:ascii="仿宋" w:hAnsi="仿宋" w:eastAsia="仿宋" w:cs="仿宋"/>
                <w:sz w:val="32"/>
                <w:szCs w:val="32"/>
              </w:rPr>
            </w:pPr>
            <w:r>
              <w:rPr>
                <w:rFonts w:hint="eastAsia" w:ascii="仿宋" w:hAnsi="仿宋" w:eastAsia="仿宋" w:cs="仿宋"/>
                <w:sz w:val="32"/>
                <w:szCs w:val="32"/>
              </w:rPr>
              <w:t>科员</w:t>
            </w:r>
          </w:p>
        </w:tc>
        <w:tc>
          <w:tcPr>
            <w:tcW w:w="2345" w:type="dxa"/>
            <w:tcBorders>
              <w:top w:val="single" w:color="auto" w:sz="4" w:space="0"/>
              <w:left w:val="single" w:color="auto" w:sz="4" w:space="0"/>
              <w:bottom w:val="single" w:color="auto" w:sz="4" w:space="0"/>
              <w:right w:val="single" w:color="auto" w:sz="4" w:space="0"/>
            </w:tcBorders>
          </w:tcPr>
          <w:p w14:paraId="1B366457">
            <w:pPr>
              <w:autoSpaceDE w:val="0"/>
              <w:autoSpaceDN w:val="0"/>
              <w:adjustRightInd w:val="0"/>
              <w:spacing w:line="240" w:lineRule="atLeast"/>
              <w:rPr>
                <w:rFonts w:ascii="仿宋" w:hAnsi="仿宋" w:eastAsia="仿宋" w:cs="仿宋"/>
                <w:sz w:val="32"/>
                <w:szCs w:val="32"/>
              </w:rPr>
            </w:pPr>
          </w:p>
        </w:tc>
      </w:tr>
      <w:tr w14:paraId="134126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4" w:hRule="atLeast"/>
        </w:trPr>
        <w:tc>
          <w:tcPr>
            <w:tcW w:w="1232" w:type="dxa"/>
            <w:tcBorders>
              <w:top w:val="single" w:color="auto" w:sz="4" w:space="0"/>
              <w:left w:val="single" w:color="auto" w:sz="4" w:space="0"/>
              <w:bottom w:val="single" w:color="auto" w:sz="4" w:space="0"/>
              <w:right w:val="single" w:color="auto" w:sz="4" w:space="0"/>
            </w:tcBorders>
          </w:tcPr>
          <w:p w14:paraId="7DE1D261">
            <w:pPr>
              <w:autoSpaceDE w:val="0"/>
              <w:autoSpaceDN w:val="0"/>
              <w:adjustRightInd w:val="0"/>
              <w:spacing w:line="240" w:lineRule="atLeast"/>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杨子航</w:t>
            </w:r>
          </w:p>
        </w:tc>
        <w:tc>
          <w:tcPr>
            <w:tcW w:w="3150" w:type="dxa"/>
            <w:tcBorders>
              <w:top w:val="single" w:color="auto" w:sz="4" w:space="0"/>
              <w:left w:val="single" w:color="auto" w:sz="4" w:space="0"/>
              <w:bottom w:val="single" w:color="auto" w:sz="4" w:space="0"/>
              <w:right w:val="single" w:color="auto" w:sz="4" w:space="0"/>
            </w:tcBorders>
            <w:shd w:val="clear" w:color="auto" w:fill="auto"/>
            <w:vAlign w:val="top"/>
          </w:tcPr>
          <w:p w14:paraId="77711F9C">
            <w:pPr>
              <w:autoSpaceDE w:val="0"/>
              <w:autoSpaceDN w:val="0"/>
              <w:adjustRightInd w:val="0"/>
              <w:spacing w:line="240" w:lineRule="atLeast"/>
              <w:rPr>
                <w:rFonts w:hint="eastAsia" w:ascii="仿宋" w:hAnsi="仿宋" w:eastAsia="仿宋" w:cs="仿宋"/>
                <w:kern w:val="2"/>
                <w:sz w:val="32"/>
                <w:szCs w:val="32"/>
                <w:lang w:val="en-US" w:eastAsia="zh-CN" w:bidi="ar-SA"/>
              </w:rPr>
            </w:pPr>
            <w:r>
              <w:rPr>
                <w:rFonts w:hint="eastAsia" w:ascii="仿宋" w:hAnsi="仿宋" w:eastAsia="仿宋" w:cs="仿宋"/>
                <w:sz w:val="32"/>
                <w:szCs w:val="32"/>
              </w:rPr>
              <w:t>井陉县供销合作社</w:t>
            </w:r>
          </w:p>
        </w:tc>
        <w:tc>
          <w:tcPr>
            <w:tcW w:w="2620" w:type="dxa"/>
            <w:tcBorders>
              <w:top w:val="single" w:color="auto" w:sz="4" w:space="0"/>
              <w:left w:val="single" w:color="auto" w:sz="4" w:space="0"/>
              <w:bottom w:val="single" w:color="auto" w:sz="4" w:space="0"/>
              <w:right w:val="single" w:color="auto" w:sz="4" w:space="0"/>
            </w:tcBorders>
            <w:shd w:val="clear" w:color="auto" w:fill="auto"/>
            <w:vAlign w:val="top"/>
          </w:tcPr>
          <w:p w14:paraId="63E338AD">
            <w:pPr>
              <w:autoSpaceDE w:val="0"/>
              <w:autoSpaceDN w:val="0"/>
              <w:adjustRightInd w:val="0"/>
              <w:spacing w:line="240" w:lineRule="atLeast"/>
              <w:rPr>
                <w:rFonts w:hint="eastAsia" w:ascii="仿宋" w:hAnsi="仿宋" w:eastAsia="仿宋" w:cs="仿宋"/>
                <w:kern w:val="2"/>
                <w:sz w:val="32"/>
                <w:szCs w:val="32"/>
                <w:lang w:val="en-US" w:eastAsia="zh-CN" w:bidi="ar-SA"/>
              </w:rPr>
            </w:pPr>
            <w:r>
              <w:rPr>
                <w:rFonts w:hint="eastAsia" w:ascii="仿宋" w:hAnsi="仿宋" w:eastAsia="仿宋" w:cs="仿宋"/>
                <w:sz w:val="32"/>
                <w:szCs w:val="32"/>
              </w:rPr>
              <w:t>科员</w:t>
            </w:r>
          </w:p>
        </w:tc>
        <w:tc>
          <w:tcPr>
            <w:tcW w:w="2345" w:type="dxa"/>
            <w:tcBorders>
              <w:top w:val="single" w:color="auto" w:sz="4" w:space="0"/>
              <w:left w:val="single" w:color="auto" w:sz="4" w:space="0"/>
              <w:bottom w:val="single" w:color="auto" w:sz="4" w:space="0"/>
              <w:right w:val="single" w:color="auto" w:sz="4" w:space="0"/>
            </w:tcBorders>
          </w:tcPr>
          <w:p w14:paraId="3FAFD326">
            <w:pPr>
              <w:autoSpaceDE w:val="0"/>
              <w:autoSpaceDN w:val="0"/>
              <w:adjustRightInd w:val="0"/>
              <w:spacing w:line="240" w:lineRule="atLeast"/>
              <w:rPr>
                <w:rFonts w:ascii="仿宋" w:hAnsi="仿宋" w:eastAsia="仿宋" w:cs="仿宋"/>
                <w:sz w:val="32"/>
                <w:szCs w:val="32"/>
              </w:rPr>
            </w:pPr>
          </w:p>
        </w:tc>
      </w:tr>
    </w:tbl>
    <w:p w14:paraId="7E8C06FA">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方正仿宋_GBK">
    <w:panose1 w:val="02000000000000000000"/>
    <w:charset w:val="86"/>
    <w:family w:val="roman"/>
    <w:pitch w:val="default"/>
    <w:sig w:usb0="A00002BF" w:usb1="38CF7CFA" w:usb2="00082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1FA0A9">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35567F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14:paraId="35567FAA">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6FE18BC"/>
    <w:multiLevelType w:val="singleLevel"/>
    <w:tmpl w:val="56FE18BC"/>
    <w:lvl w:ilvl="0" w:tentative="0">
      <w:start w:val="2"/>
      <w:numFmt w:val="chineseCounting"/>
      <w:suff w:val="nothing"/>
      <w:lvlText w:val="（%1）"/>
      <w:lvlJc w:val="left"/>
      <w:rPr>
        <w:rFonts w:hint="eastAsia"/>
      </w:rPr>
    </w:lvl>
  </w:abstractNum>
  <w:abstractNum w:abstractNumId="2">
    <w:nsid w:val="5E68489B"/>
    <w:multiLevelType w:val="singleLevel"/>
    <w:tmpl w:val="5E68489B"/>
    <w:lvl w:ilvl="0" w:tentative="0">
      <w:start w:val="1"/>
      <w:numFmt w:val="chineseCounting"/>
      <w:suff w:val="nothing"/>
      <w:lvlText w:val="（%1）"/>
      <w:lvlJc w:val="left"/>
      <w:rPr>
        <w:rFonts w:ascii="楷体" w:hAnsi="楷体" w:eastAsia="楷体"/>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11B71E6A"/>
    <w:rsid w:val="144B521C"/>
    <w:rsid w:val="1AAF0063"/>
    <w:rsid w:val="1BE140DE"/>
    <w:rsid w:val="248C197D"/>
    <w:rsid w:val="252959AF"/>
    <w:rsid w:val="277A6671"/>
    <w:rsid w:val="292D35B7"/>
    <w:rsid w:val="31151E97"/>
    <w:rsid w:val="33EB6CFF"/>
    <w:rsid w:val="35A12947"/>
    <w:rsid w:val="37387040"/>
    <w:rsid w:val="3B0548E0"/>
    <w:rsid w:val="3B625C0A"/>
    <w:rsid w:val="3CEE1963"/>
    <w:rsid w:val="436B78D3"/>
    <w:rsid w:val="48B60C1B"/>
    <w:rsid w:val="4C9C27FE"/>
    <w:rsid w:val="512260B4"/>
    <w:rsid w:val="52BD6ACB"/>
    <w:rsid w:val="55537534"/>
    <w:rsid w:val="561A74F1"/>
    <w:rsid w:val="597244E8"/>
    <w:rsid w:val="5E8C0CAF"/>
    <w:rsid w:val="5EB71C30"/>
    <w:rsid w:val="66AF0CE5"/>
    <w:rsid w:val="6AA27932"/>
    <w:rsid w:val="6AC537CF"/>
    <w:rsid w:val="6E5B14A6"/>
    <w:rsid w:val="711B255E"/>
    <w:rsid w:val="75237C6F"/>
    <w:rsid w:val="77E50212"/>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spacing w:line="580" w:lineRule="exact"/>
      <w:ind w:firstLine="420" w:firstLineChars="200"/>
    </w:pPr>
    <w:rPr>
      <w:rFonts w:eastAsia="仿宋_GB2312" w:cs="Arial"/>
      <w:kern w:val="28"/>
      <w:sz w:val="32"/>
      <w:szCs w:val="32"/>
    </w:rPr>
  </w:style>
  <w:style w:type="paragraph" w:styleId="3">
    <w:name w:val="toa heading"/>
    <w:basedOn w:val="1"/>
    <w:next w:val="1"/>
    <w:qFormat/>
    <w:uiPriority w:val="0"/>
    <w:pPr>
      <w:spacing w:before="120"/>
    </w:pPr>
    <w:rPr>
      <w:rFonts w:ascii="Cambria" w:hAnsi="Cambria"/>
      <w:sz w:val="24"/>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插入文本样式-插入总体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 w:type="paragraph" w:customStyle="1" w:styleId="10">
    <w:name w:val="插入文本样式-插入职责分类绩效目标文件"/>
    <w:basedOn w:val="1"/>
    <w:qFormat/>
    <w:uiPriority w:val="0"/>
    <w:pPr>
      <w:widowControl/>
      <w:spacing w:line="500" w:lineRule="exact"/>
      <w:ind w:firstLine="560"/>
      <w:jc w:val="left"/>
    </w:pPr>
    <w:rPr>
      <w:rFonts w:ascii="Times New Roman" w:hAnsi="Times New Roman" w:eastAsia="方正仿宋_GBK" w:cs="Times New Roman"/>
      <w:kern w:val="0"/>
      <w:sz w:val="28"/>
      <w:szCs w:val="24"/>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9</Pages>
  <Words>3898</Words>
  <Characters>4139</Characters>
  <Lines>4</Lines>
  <Paragraphs>1</Paragraphs>
  <TotalTime>3</TotalTime>
  <ScaleCrop>false</ScaleCrop>
  <LinksUpToDate>false</LinksUpToDate>
  <CharactersWithSpaces>4177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小白</cp:lastModifiedBy>
  <cp:lastPrinted>2024-03-06T07:40:00Z</cp:lastPrinted>
  <dcterms:modified xsi:type="dcterms:W3CDTF">2026-04-03T03:08:56Z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807859DDDB204D7484EDDFBB4E9D1D2E</vt:lpwstr>
  </property>
  <property fmtid="{D5CDD505-2E9C-101B-9397-08002B2CF9AE}" pid="4" name="KSOTemplateDocerSaveRecord">
    <vt:lpwstr>eyJoZGlkIjoiY2Y0MzY5MzVkYWJjYTg1MTg0NGExZjVkZDM0NzllY2YiLCJ1c2VySWQiOiI2OTU4NDYxNDgifQ==</vt:lpwstr>
  </property>
</Properties>
</file>