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C025B5">
      <w:pPr>
        <w:adjustRightInd w:val="0"/>
        <w:snapToGrid w:val="0"/>
        <w:spacing w:line="560" w:lineRule="exact"/>
        <w:rPr>
          <w:rFonts w:hint="eastAsia" w:ascii="黑体" w:hAnsi="黑体" w:eastAsia="黑体" w:cs="黑体"/>
          <w:sz w:val="32"/>
          <w:szCs w:val="32"/>
          <w:lang w:eastAsia="zh-CN"/>
        </w:rPr>
      </w:pPr>
      <w:bookmarkStart w:id="1" w:name="_GoBack"/>
      <w:bookmarkEnd w:id="1"/>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5ADD542D">
      <w:pPr>
        <w:spacing w:line="560" w:lineRule="exact"/>
        <w:jc w:val="center"/>
        <w:rPr>
          <w:rFonts w:ascii="宋体" w:hAnsi="宋体" w:cs="宋体"/>
          <w:b/>
          <w:bCs/>
          <w:sz w:val="44"/>
          <w:szCs w:val="44"/>
        </w:rPr>
      </w:pPr>
    </w:p>
    <w:p w14:paraId="6A6FDECE">
      <w:pPr>
        <w:keepNext w:val="0"/>
        <w:keepLines w:val="0"/>
        <w:pageBreakBefore w:val="0"/>
        <w:widowControl/>
        <w:numPr>
          <w:ilvl w:val="0"/>
          <w:numId w:val="0"/>
        </w:numPr>
        <w:kinsoku/>
        <w:overflowPunct/>
        <w:topLinePunct w:val="0"/>
        <w:autoSpaceDE/>
        <w:autoSpaceDN/>
        <w:bidi w:val="0"/>
        <w:adjustRightInd/>
        <w:spacing w:before="0" w:after="0" w:line="560" w:lineRule="exact"/>
        <w:ind w:right="0" w:firstLine="0"/>
        <w:jc w:val="center"/>
        <w:textAlignment w:val="auto"/>
        <w:rPr>
          <w:rFonts w:hint="eastAsia" w:ascii="方正小标宋简体" w:hAnsi="方正小标宋简体" w:eastAsia="方正小标宋简体" w:cs="方正小标宋简体"/>
          <w:b w:val="0"/>
          <w:bCs/>
          <w:color w:val="auto"/>
          <w:position w:val="0"/>
          <w:sz w:val="44"/>
          <w:szCs w:val="44"/>
        </w:rPr>
      </w:pPr>
      <w:r>
        <w:rPr>
          <w:rFonts w:hint="eastAsia" w:ascii="方正小标宋简体" w:hAnsi="方正小标宋简体" w:eastAsia="方正小标宋简体" w:cs="方正小标宋简体"/>
          <w:b w:val="0"/>
          <w:bCs/>
          <w:color w:val="auto"/>
          <w:position w:val="0"/>
          <w:sz w:val="44"/>
          <w:szCs w:val="44"/>
        </w:rPr>
        <w:t>井陉县人力资源和社会</w:t>
      </w:r>
      <w:r>
        <w:rPr>
          <w:rFonts w:hint="eastAsia" w:ascii="方正小标宋简体" w:hAnsi="方正小标宋简体" w:eastAsia="方正小标宋简体" w:cs="方正小标宋简体"/>
          <w:b w:val="0"/>
          <w:bCs/>
          <w:color w:val="auto"/>
          <w:position w:val="0"/>
          <w:sz w:val="44"/>
          <w:szCs w:val="44"/>
          <w:lang w:eastAsia="zh-CN"/>
        </w:rPr>
        <w:t>保障</w:t>
      </w:r>
      <w:r>
        <w:rPr>
          <w:rFonts w:hint="eastAsia" w:ascii="方正小标宋简体" w:hAnsi="方正小标宋简体" w:eastAsia="方正小标宋简体" w:cs="方正小标宋简体"/>
          <w:b w:val="0"/>
          <w:bCs/>
          <w:color w:val="auto"/>
          <w:position w:val="0"/>
          <w:sz w:val="44"/>
          <w:szCs w:val="44"/>
        </w:rPr>
        <w:t>局</w:t>
      </w:r>
    </w:p>
    <w:p w14:paraId="08107724">
      <w:pPr>
        <w:spacing w:line="560" w:lineRule="exact"/>
        <w:jc w:val="center"/>
        <w:rPr>
          <w:rFonts w:hint="eastAsia" w:ascii="方正小标宋简体" w:hAnsi="方正小标宋简体" w:eastAsia="方正小标宋简体" w:cs="方正小标宋简体"/>
          <w:b w:val="0"/>
          <w:bCs/>
          <w:color w:val="auto"/>
          <w:position w:val="0"/>
          <w:sz w:val="44"/>
          <w:szCs w:val="44"/>
        </w:rPr>
      </w:pPr>
      <w:r>
        <w:rPr>
          <w:rFonts w:hint="eastAsia" w:ascii="方正小标宋简体" w:hAnsi="方正小标宋简体" w:eastAsia="方正小标宋简体" w:cs="方正小标宋简体"/>
          <w:b w:val="0"/>
          <w:bCs/>
          <w:color w:val="auto"/>
          <w:position w:val="0"/>
          <w:sz w:val="44"/>
          <w:szCs w:val="44"/>
        </w:rPr>
        <w:t>202</w:t>
      </w:r>
      <w:r>
        <w:rPr>
          <w:rFonts w:hint="eastAsia" w:ascii="方正小标宋简体" w:hAnsi="方正小标宋简体" w:eastAsia="方正小标宋简体" w:cs="方正小标宋简体"/>
          <w:b w:val="0"/>
          <w:bCs/>
          <w:color w:val="auto"/>
          <w:position w:val="0"/>
          <w:sz w:val="44"/>
          <w:szCs w:val="44"/>
          <w:lang w:val="en-US" w:eastAsia="zh-CN"/>
        </w:rPr>
        <w:t>5</w:t>
      </w:r>
      <w:r>
        <w:rPr>
          <w:rFonts w:hint="eastAsia" w:ascii="方正小标宋简体" w:hAnsi="方正小标宋简体" w:eastAsia="方正小标宋简体" w:cs="方正小标宋简体"/>
          <w:b w:val="0"/>
          <w:bCs/>
          <w:color w:val="auto"/>
          <w:position w:val="0"/>
          <w:sz w:val="44"/>
          <w:szCs w:val="44"/>
        </w:rPr>
        <w:t>年度整体支出绩效自评报告</w:t>
      </w:r>
    </w:p>
    <w:p w14:paraId="7184D832">
      <w:pPr>
        <w:spacing w:line="560" w:lineRule="exact"/>
        <w:jc w:val="center"/>
        <w:rPr>
          <w:rFonts w:ascii="华文楷体" w:eastAsia="华文楷体"/>
          <w:sz w:val="32"/>
          <w:szCs w:val="32"/>
        </w:rPr>
      </w:pPr>
    </w:p>
    <w:p w14:paraId="05390E57">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eastAsia" w:ascii="方正仿宋简体" w:hAnsi="方正仿宋简体" w:eastAsia="方正仿宋简体" w:cs="方正仿宋简体"/>
          <w:color w:val="auto"/>
          <w:position w:val="0"/>
          <w:sz w:val="32"/>
          <w:szCs w:val="32"/>
        </w:rPr>
        <w:t>贯彻落实市委市政府《关于全面落实预算绩效管理的实施意见》（石发</w:t>
      </w:r>
      <w:r>
        <w:rPr>
          <w:rFonts w:hint="eastAsia" w:ascii="方正仿宋简体" w:hAnsi="方正仿宋简体" w:eastAsia="方正仿宋简体" w:cs="方正仿宋简体"/>
          <w:color w:val="000000"/>
          <w:kern w:val="0"/>
          <w:sz w:val="32"/>
          <w:szCs w:val="32"/>
        </w:rPr>
        <w:t>〔</w:t>
      </w:r>
      <w:r>
        <w:rPr>
          <w:rFonts w:hint="eastAsia" w:ascii="方正仿宋简体" w:hAnsi="方正仿宋简体" w:eastAsia="方正仿宋简体" w:cs="方正仿宋简体"/>
          <w:color w:val="auto"/>
          <w:position w:val="0"/>
          <w:sz w:val="32"/>
          <w:szCs w:val="32"/>
        </w:rPr>
        <w:t>2019</w:t>
      </w:r>
      <w:r>
        <w:rPr>
          <w:rFonts w:hint="eastAsia" w:ascii="方正仿宋简体" w:hAnsi="方正仿宋简体" w:eastAsia="方正仿宋简体" w:cs="方正仿宋简体"/>
          <w:color w:val="000000"/>
          <w:kern w:val="0"/>
          <w:sz w:val="32"/>
          <w:szCs w:val="32"/>
        </w:rPr>
        <w:t>〕</w:t>
      </w:r>
      <w:r>
        <w:rPr>
          <w:rFonts w:hint="eastAsia" w:ascii="方正仿宋简体" w:hAnsi="方正仿宋简体" w:eastAsia="方正仿宋简体" w:cs="方正仿宋简体"/>
          <w:color w:val="auto"/>
          <w:position w:val="0"/>
          <w:sz w:val="32"/>
          <w:szCs w:val="32"/>
        </w:rPr>
        <w:t>8号）文件精神，遵循“科学性、规范性、客观性和公正性”的原则，对井陉县人力资源和社会</w:t>
      </w:r>
      <w:r>
        <w:rPr>
          <w:rFonts w:hint="eastAsia" w:ascii="方正仿宋简体" w:hAnsi="方正仿宋简体" w:eastAsia="方正仿宋简体" w:cs="方正仿宋简体"/>
          <w:color w:val="auto"/>
          <w:position w:val="0"/>
          <w:sz w:val="32"/>
          <w:szCs w:val="32"/>
          <w:lang w:eastAsia="zh-CN"/>
        </w:rPr>
        <w:t>保障</w:t>
      </w:r>
      <w:r>
        <w:rPr>
          <w:rFonts w:hint="eastAsia" w:ascii="方正仿宋简体" w:hAnsi="方正仿宋简体" w:eastAsia="方正仿宋简体" w:cs="方正仿宋简体"/>
          <w:color w:val="auto"/>
          <w:position w:val="0"/>
          <w:sz w:val="32"/>
          <w:szCs w:val="32"/>
        </w:rPr>
        <w:t>局202</w:t>
      </w:r>
      <w:r>
        <w:rPr>
          <w:rFonts w:hint="eastAsia" w:ascii="方正仿宋简体" w:hAnsi="方正仿宋简体" w:eastAsia="方正仿宋简体" w:cs="方正仿宋简体"/>
          <w:color w:val="auto"/>
          <w:position w:val="0"/>
          <w:sz w:val="32"/>
          <w:szCs w:val="32"/>
          <w:lang w:val="en-US" w:eastAsia="zh-CN"/>
        </w:rPr>
        <w:t>5</w:t>
      </w:r>
      <w:r>
        <w:rPr>
          <w:rFonts w:hint="eastAsia" w:ascii="方正仿宋简体" w:hAnsi="方正仿宋简体" w:eastAsia="方正仿宋简体" w:cs="方正仿宋简体"/>
          <w:color w:val="auto"/>
          <w:position w:val="0"/>
          <w:sz w:val="32"/>
          <w:szCs w:val="32"/>
        </w:rPr>
        <w:t>年整体支出情况实施了财政支出绩效自评价，形成本评价报告。</w:t>
      </w:r>
    </w:p>
    <w:p w14:paraId="6CBD4150">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250736C6">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14:paraId="4837DF36">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1．主要职能</w:t>
      </w:r>
    </w:p>
    <w:p w14:paraId="75451F85">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（1）拟订全县人力资源和社会保障事业发展规划，起草人力资源和社会保障政府规章草案。</w:t>
      </w:r>
    </w:p>
    <w:p w14:paraId="49DFC92A">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（2）拟订人力资源市场</w:t>
      </w:r>
      <w:r>
        <w:rPr>
          <w:rFonts w:hint="eastAsia" w:ascii="方正仿宋简体" w:hAnsi="方正仿宋简体" w:eastAsia="方正仿宋简体" w:cs="方正仿宋简体"/>
          <w:color w:val="auto"/>
          <w:position w:val="0"/>
          <w:sz w:val="32"/>
          <w:szCs w:val="32"/>
          <w:lang w:val="en-US" w:eastAsia="zh-CN"/>
        </w:rPr>
        <w:t>和</w:t>
      </w:r>
      <w:r>
        <w:rPr>
          <w:rFonts w:hint="default" w:ascii="方正仿宋简体" w:hAnsi="方正仿宋简体" w:eastAsia="方正仿宋简体" w:cs="方正仿宋简体"/>
          <w:color w:val="auto"/>
          <w:position w:val="0"/>
          <w:sz w:val="32"/>
          <w:szCs w:val="32"/>
        </w:rPr>
        <w:t>人力资源服务业发展规划、</w:t>
      </w:r>
      <w:r>
        <w:rPr>
          <w:rFonts w:hint="eastAsia" w:ascii="方正仿宋简体" w:hAnsi="方正仿宋简体" w:eastAsia="方正仿宋简体" w:cs="方正仿宋简体"/>
          <w:color w:val="auto"/>
          <w:position w:val="0"/>
          <w:sz w:val="32"/>
          <w:szCs w:val="32"/>
          <w:lang w:val="en-US" w:eastAsia="zh-CN"/>
        </w:rPr>
        <w:t>制定</w:t>
      </w:r>
      <w:r>
        <w:rPr>
          <w:rFonts w:hint="default" w:ascii="方正仿宋简体" w:hAnsi="方正仿宋简体" w:eastAsia="方正仿宋简体" w:cs="方正仿宋简体"/>
          <w:color w:val="auto"/>
          <w:position w:val="0"/>
          <w:sz w:val="32"/>
          <w:szCs w:val="32"/>
        </w:rPr>
        <w:t>人力资源流动政策，促进人力资源</w:t>
      </w:r>
      <w:r>
        <w:rPr>
          <w:rFonts w:hint="eastAsia" w:ascii="方正仿宋简体" w:hAnsi="方正仿宋简体" w:eastAsia="方正仿宋简体" w:cs="方正仿宋简体"/>
          <w:color w:val="auto"/>
          <w:position w:val="0"/>
          <w:sz w:val="32"/>
          <w:szCs w:val="32"/>
          <w:lang w:val="en-US" w:eastAsia="zh-CN"/>
        </w:rPr>
        <w:t>的</w:t>
      </w:r>
      <w:r>
        <w:rPr>
          <w:rFonts w:hint="default" w:ascii="方正仿宋简体" w:hAnsi="方正仿宋简体" w:eastAsia="方正仿宋简体" w:cs="方正仿宋简体"/>
          <w:color w:val="auto"/>
          <w:position w:val="0"/>
          <w:sz w:val="32"/>
          <w:szCs w:val="32"/>
        </w:rPr>
        <w:t>合理流动</w:t>
      </w:r>
      <w:r>
        <w:rPr>
          <w:rFonts w:hint="eastAsia" w:ascii="方正仿宋简体" w:hAnsi="方正仿宋简体" w:eastAsia="方正仿宋简体" w:cs="方正仿宋简体"/>
          <w:color w:val="auto"/>
          <w:position w:val="0"/>
          <w:sz w:val="32"/>
          <w:szCs w:val="32"/>
          <w:lang w:val="en-US" w:eastAsia="zh-CN"/>
        </w:rPr>
        <w:t>及</w:t>
      </w:r>
      <w:r>
        <w:rPr>
          <w:rFonts w:hint="default" w:ascii="方正仿宋简体" w:hAnsi="方正仿宋简体" w:eastAsia="方正仿宋简体" w:cs="方正仿宋简体"/>
          <w:color w:val="auto"/>
          <w:position w:val="0"/>
          <w:sz w:val="32"/>
          <w:szCs w:val="32"/>
        </w:rPr>
        <w:t>有效配置。按照管理权限拟订人员（不含公务员）</w:t>
      </w:r>
      <w:r>
        <w:rPr>
          <w:rFonts w:hint="eastAsia" w:ascii="方正仿宋简体" w:hAnsi="方正仿宋简体" w:eastAsia="方正仿宋简体" w:cs="方正仿宋简体"/>
          <w:color w:val="auto"/>
          <w:position w:val="0"/>
          <w:sz w:val="32"/>
          <w:szCs w:val="32"/>
          <w:lang w:val="en-US" w:eastAsia="zh-CN"/>
        </w:rPr>
        <w:t>的</w:t>
      </w:r>
      <w:r>
        <w:rPr>
          <w:rFonts w:hint="default" w:ascii="方正仿宋简体" w:hAnsi="方正仿宋简体" w:eastAsia="方正仿宋简体" w:cs="方正仿宋简体"/>
          <w:color w:val="auto"/>
          <w:position w:val="0"/>
          <w:sz w:val="32"/>
          <w:szCs w:val="32"/>
        </w:rPr>
        <w:t>调配政策和特殊人员</w:t>
      </w:r>
      <w:r>
        <w:rPr>
          <w:rFonts w:hint="eastAsia" w:ascii="方正仿宋简体" w:hAnsi="方正仿宋简体" w:eastAsia="方正仿宋简体" w:cs="方正仿宋简体"/>
          <w:color w:val="auto"/>
          <w:position w:val="0"/>
          <w:sz w:val="32"/>
          <w:szCs w:val="32"/>
          <w:lang w:val="en-US" w:eastAsia="zh-CN"/>
        </w:rPr>
        <w:t>的</w:t>
      </w:r>
      <w:r>
        <w:rPr>
          <w:rFonts w:hint="default" w:ascii="方正仿宋简体" w:hAnsi="方正仿宋简体" w:eastAsia="方正仿宋简体" w:cs="方正仿宋简体"/>
          <w:color w:val="auto"/>
          <w:position w:val="0"/>
          <w:sz w:val="32"/>
          <w:szCs w:val="32"/>
        </w:rPr>
        <w:t>安置政策。</w:t>
      </w:r>
    </w:p>
    <w:p w14:paraId="7C0979A5">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3）负责促进就业创业工作，拟订统筹城乡的就业发展规划和促进就业创业扶持政策，完善公共就业服务体系，拟订全县技工学校和职业培训机构发展规划和管理规划并组织实施，统筹建立面向城乡劳动者的职业技能培训制度，加强就业服务和就业培训，拟订就业援助制度，牵头拟订高校毕业生就业政策</w:t>
      </w:r>
      <w:r>
        <w:rPr>
          <w:rFonts w:hint="eastAsia" w:ascii="方正仿宋简体" w:hAnsi="方正仿宋简体" w:eastAsia="方正仿宋简体" w:cs="方正仿宋简体"/>
          <w:color w:val="auto"/>
          <w:position w:val="0"/>
          <w:sz w:val="32"/>
          <w:szCs w:val="32"/>
          <w:lang w:eastAsia="zh-CN"/>
        </w:rPr>
        <w:t>，</w:t>
      </w:r>
      <w:r>
        <w:rPr>
          <w:rFonts w:hint="default" w:ascii="方正仿宋简体" w:hAnsi="方正仿宋简体" w:eastAsia="方正仿宋简体" w:cs="方正仿宋简体"/>
          <w:color w:val="auto"/>
          <w:position w:val="0"/>
          <w:sz w:val="32"/>
          <w:szCs w:val="32"/>
        </w:rPr>
        <w:t>按规定负责中专以上毕业生(非师范类)的就业工作。</w:t>
      </w:r>
    </w:p>
    <w:p w14:paraId="2D555C3E">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4）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4D90396D">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（5）负责就业、失业和相关社会保险基金预测预警和信息引导，拟订应对预案，实施预防、调节和控制，保持就业形势稳定和社会保险基金总体收支平衡。</w:t>
      </w:r>
    </w:p>
    <w:p w14:paraId="7E5F8FCD">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6）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044DF8AE">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w:t>
      </w:r>
      <w:r>
        <w:rPr>
          <w:rFonts w:hint="eastAsia" w:ascii="方正仿宋简体" w:hAnsi="方正仿宋简体" w:eastAsia="方正仿宋简体" w:cs="方正仿宋简体"/>
          <w:color w:val="auto"/>
          <w:position w:val="0"/>
          <w:sz w:val="32"/>
          <w:szCs w:val="32"/>
          <w:lang w:val="en-US" w:eastAsia="zh-CN"/>
        </w:rPr>
        <w:t>7</w:t>
      </w:r>
      <w:r>
        <w:rPr>
          <w:rFonts w:hint="default" w:ascii="方正仿宋简体" w:hAnsi="方正仿宋简体" w:eastAsia="方正仿宋简体" w:cs="方正仿宋简体"/>
          <w:color w:val="auto"/>
          <w:position w:val="0"/>
          <w:sz w:val="32"/>
          <w:szCs w:val="32"/>
        </w:rPr>
        <w:t>）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w:t>
      </w:r>
      <w:r>
        <w:rPr>
          <w:rFonts w:hint="eastAsia" w:ascii="方正仿宋简体" w:hAnsi="方正仿宋简体" w:eastAsia="方正仿宋简体" w:cs="方正仿宋简体"/>
          <w:color w:val="auto"/>
          <w:position w:val="0"/>
          <w:sz w:val="32"/>
          <w:szCs w:val="32"/>
          <w:lang w:eastAsia="zh-CN"/>
        </w:rPr>
        <w:t>，</w:t>
      </w:r>
      <w:r>
        <w:rPr>
          <w:rFonts w:hint="default" w:ascii="方正仿宋简体" w:hAnsi="方正仿宋简体" w:eastAsia="方正仿宋简体" w:cs="方正仿宋简体"/>
          <w:color w:val="auto"/>
          <w:position w:val="0"/>
          <w:sz w:val="32"/>
          <w:szCs w:val="32"/>
        </w:rPr>
        <w:t>牵头推进全县深化职称制度改革，综合管理全县职称工作。负责专业技术人员管理、继续教育工作，负责高层次专业技术人才选拔和培养，组织拟订技能人才培训、评价、使用和激励制度。贯彻执行职业资格制度，负责职业技能多元化评价工作。</w:t>
      </w:r>
    </w:p>
    <w:p w14:paraId="5B5802AC">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8）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工资基金手册管理工作。</w:t>
      </w:r>
    </w:p>
    <w:p w14:paraId="31C32C85">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9）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14:paraId="04613611">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10）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w:t>
      </w:r>
    </w:p>
    <w:p w14:paraId="53B97EDC">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（11）负责农民工工作，对政策落实情况进行监督检查，协调解决重点难点问题，维护农民工合法权益。</w:t>
      </w:r>
    </w:p>
    <w:p w14:paraId="08C11945">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（12）负责人力资源和社会保障对外交流与合作工作。</w:t>
      </w:r>
    </w:p>
    <w:p w14:paraId="423F967D">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（13）完成县委、县政府交办的其他任务。</w:t>
      </w:r>
    </w:p>
    <w:p w14:paraId="553B905C">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2. 机构情况</w:t>
      </w:r>
    </w:p>
    <w:tbl>
      <w:tblPr>
        <w:tblStyle w:val="5"/>
        <w:tblpPr w:vertAnchor="text" w:horzAnchor="page" w:tblpX="1147" w:tblpY="109"/>
        <w:tblW w:w="9750" w:type="dxa"/>
        <w:tblInd w:w="0" w:type="dxa"/>
        <w:tblLayout w:type="fixed"/>
        <w:tblCellMar>
          <w:top w:w="0" w:type="dxa"/>
          <w:left w:w="108" w:type="dxa"/>
          <w:bottom w:w="0" w:type="dxa"/>
          <w:right w:w="108" w:type="dxa"/>
        </w:tblCellMar>
      </w:tblPr>
      <w:tblGrid>
        <w:gridCol w:w="720"/>
        <w:gridCol w:w="4245"/>
        <w:gridCol w:w="2280"/>
        <w:gridCol w:w="2505"/>
      </w:tblGrid>
      <w:tr w14:paraId="6A06809A">
        <w:tblPrEx>
          <w:tblCellMar>
            <w:top w:w="0" w:type="dxa"/>
            <w:left w:w="108" w:type="dxa"/>
            <w:bottom w:w="0" w:type="dxa"/>
            <w:right w:w="108" w:type="dxa"/>
          </w:tblCellMar>
        </w:tblPrEx>
        <w:trPr>
          <w:trHeight w:val="355" w:hRule="atLeast"/>
        </w:trPr>
        <w:tc>
          <w:tcPr>
            <w:tcW w:w="720" w:type="dxa"/>
            <w:tcBorders>
              <w:top w:val="single" w:color="000000" w:sz="4" w:space="0"/>
              <w:left w:val="single" w:color="000000" w:sz="4" w:space="0"/>
              <w:bottom w:val="single" w:color="000000" w:sz="4" w:space="0"/>
              <w:right w:val="single" w:color="000000" w:sz="4" w:space="0"/>
            </w:tcBorders>
            <w:vAlign w:val="center"/>
          </w:tcPr>
          <w:p w14:paraId="7993CE90">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center"/>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序号</w:t>
            </w:r>
          </w:p>
        </w:tc>
        <w:tc>
          <w:tcPr>
            <w:tcW w:w="4245" w:type="dxa"/>
            <w:tcBorders>
              <w:top w:val="single" w:color="000000" w:sz="4" w:space="0"/>
              <w:left w:val="single" w:color="000000" w:sz="4" w:space="0"/>
              <w:bottom w:val="single" w:color="000000" w:sz="4" w:space="0"/>
              <w:right w:val="single" w:color="000000" w:sz="4" w:space="0"/>
            </w:tcBorders>
            <w:vAlign w:val="center"/>
          </w:tcPr>
          <w:p w14:paraId="6EEFABD9">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center"/>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单位名称</w:t>
            </w:r>
          </w:p>
        </w:tc>
        <w:tc>
          <w:tcPr>
            <w:tcW w:w="2280" w:type="dxa"/>
            <w:tcBorders>
              <w:top w:val="single" w:color="000000" w:sz="4" w:space="0"/>
              <w:left w:val="single" w:color="000000" w:sz="4" w:space="0"/>
              <w:bottom w:val="single" w:color="000000" w:sz="4" w:space="0"/>
              <w:right w:val="single" w:color="000000" w:sz="4" w:space="0"/>
            </w:tcBorders>
            <w:vAlign w:val="center"/>
          </w:tcPr>
          <w:p w14:paraId="718D3838">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center"/>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单位基本性质</w:t>
            </w:r>
          </w:p>
        </w:tc>
        <w:tc>
          <w:tcPr>
            <w:tcW w:w="2505" w:type="dxa"/>
            <w:tcBorders>
              <w:top w:val="single" w:color="000000" w:sz="4" w:space="0"/>
              <w:left w:val="single" w:color="000000" w:sz="4" w:space="0"/>
              <w:bottom w:val="single" w:color="000000" w:sz="4" w:space="0"/>
              <w:right w:val="single" w:color="000000" w:sz="4" w:space="0"/>
            </w:tcBorders>
            <w:vAlign w:val="center"/>
          </w:tcPr>
          <w:p w14:paraId="7CFC9D02">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center"/>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经费形式</w:t>
            </w:r>
          </w:p>
        </w:tc>
      </w:tr>
      <w:tr w14:paraId="050E0613">
        <w:tblPrEx>
          <w:tblCellMar>
            <w:top w:w="0" w:type="dxa"/>
            <w:left w:w="108" w:type="dxa"/>
            <w:bottom w:w="0" w:type="dxa"/>
            <w:right w:w="108" w:type="dxa"/>
          </w:tblCellMar>
        </w:tblPrEx>
        <w:trPr>
          <w:trHeight w:val="150" w:hRule="atLeast"/>
        </w:trPr>
        <w:tc>
          <w:tcPr>
            <w:tcW w:w="720" w:type="dxa"/>
            <w:tcBorders>
              <w:top w:val="single" w:color="000000" w:sz="4" w:space="0"/>
              <w:left w:val="single" w:color="000000" w:sz="4" w:space="0"/>
              <w:bottom w:val="single" w:color="000000" w:sz="4" w:space="0"/>
              <w:right w:val="single" w:color="000000" w:sz="4" w:space="0"/>
            </w:tcBorders>
            <w:vAlign w:val="center"/>
          </w:tcPr>
          <w:p w14:paraId="14AA56C1">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center"/>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1</w:t>
            </w:r>
          </w:p>
        </w:tc>
        <w:tc>
          <w:tcPr>
            <w:tcW w:w="4245" w:type="dxa"/>
            <w:tcBorders>
              <w:top w:val="single" w:color="000000" w:sz="4" w:space="0"/>
              <w:left w:val="single" w:color="000000" w:sz="4" w:space="0"/>
              <w:bottom w:val="single" w:color="000000" w:sz="4" w:space="0"/>
              <w:right w:val="single" w:color="000000" w:sz="4" w:space="0"/>
            </w:tcBorders>
            <w:vAlign w:val="center"/>
          </w:tcPr>
          <w:p w14:paraId="592C5A3E">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井陉县人力资源和社会保障局（本级）</w:t>
            </w:r>
          </w:p>
        </w:tc>
        <w:tc>
          <w:tcPr>
            <w:tcW w:w="2280" w:type="dxa"/>
            <w:tcBorders>
              <w:top w:val="single" w:color="000000" w:sz="4" w:space="0"/>
              <w:left w:val="single" w:color="000000" w:sz="4" w:space="0"/>
              <w:bottom w:val="single" w:color="000000" w:sz="4" w:space="0"/>
              <w:right w:val="single" w:color="000000" w:sz="4" w:space="0"/>
            </w:tcBorders>
            <w:vAlign w:val="center"/>
          </w:tcPr>
          <w:p w14:paraId="07159AD4">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行政单位</w:t>
            </w:r>
          </w:p>
        </w:tc>
        <w:tc>
          <w:tcPr>
            <w:tcW w:w="2505" w:type="dxa"/>
            <w:tcBorders>
              <w:top w:val="single" w:color="000000" w:sz="4" w:space="0"/>
              <w:left w:val="single" w:color="000000" w:sz="4" w:space="0"/>
              <w:bottom w:val="single" w:color="000000" w:sz="4" w:space="0"/>
              <w:right w:val="single" w:color="000000" w:sz="4" w:space="0"/>
            </w:tcBorders>
            <w:vAlign w:val="center"/>
          </w:tcPr>
          <w:p w14:paraId="28B4073C">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财政拨款</w:t>
            </w:r>
          </w:p>
        </w:tc>
      </w:tr>
      <w:tr w14:paraId="38ED7011">
        <w:tblPrEx>
          <w:tblCellMar>
            <w:top w:w="0" w:type="dxa"/>
            <w:left w:w="108" w:type="dxa"/>
            <w:bottom w:w="0" w:type="dxa"/>
            <w:right w:w="108" w:type="dxa"/>
          </w:tblCellMar>
        </w:tblPrEx>
        <w:trPr>
          <w:trHeight w:val="485" w:hRule="atLeast"/>
        </w:trPr>
        <w:tc>
          <w:tcPr>
            <w:tcW w:w="720" w:type="dxa"/>
            <w:tcBorders>
              <w:top w:val="single" w:color="000000" w:sz="4" w:space="0"/>
              <w:left w:val="single" w:color="000000" w:sz="4" w:space="0"/>
              <w:bottom w:val="single" w:color="000000" w:sz="4" w:space="0"/>
              <w:right w:val="single" w:color="000000" w:sz="4" w:space="0"/>
            </w:tcBorders>
            <w:vAlign w:val="center"/>
          </w:tcPr>
          <w:p w14:paraId="24A6BE69">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center"/>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2</w:t>
            </w:r>
          </w:p>
        </w:tc>
        <w:tc>
          <w:tcPr>
            <w:tcW w:w="4245" w:type="dxa"/>
            <w:tcBorders>
              <w:top w:val="single" w:color="000000" w:sz="4" w:space="0"/>
              <w:left w:val="single" w:color="000000" w:sz="4" w:space="0"/>
              <w:bottom w:val="single" w:color="000000" w:sz="4" w:space="0"/>
              <w:right w:val="single" w:color="000000" w:sz="4" w:space="0"/>
            </w:tcBorders>
            <w:vAlign w:val="center"/>
          </w:tcPr>
          <w:p w14:paraId="61EA0BA6">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井陉县就业服务中心</w:t>
            </w:r>
          </w:p>
        </w:tc>
        <w:tc>
          <w:tcPr>
            <w:tcW w:w="2280" w:type="dxa"/>
            <w:tcBorders>
              <w:top w:val="single" w:color="000000" w:sz="4" w:space="0"/>
              <w:left w:val="single" w:color="000000" w:sz="4" w:space="0"/>
              <w:bottom w:val="single" w:color="000000" w:sz="4" w:space="0"/>
              <w:right w:val="single" w:color="000000" w:sz="4" w:space="0"/>
            </w:tcBorders>
            <w:vAlign w:val="center"/>
          </w:tcPr>
          <w:p w14:paraId="7F882BC7">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财政补助事业单位</w:t>
            </w:r>
          </w:p>
        </w:tc>
        <w:tc>
          <w:tcPr>
            <w:tcW w:w="2505" w:type="dxa"/>
            <w:tcBorders>
              <w:top w:val="single" w:color="000000" w:sz="4" w:space="0"/>
              <w:left w:val="single" w:color="000000" w:sz="4" w:space="0"/>
              <w:bottom w:val="single" w:color="000000" w:sz="4" w:space="0"/>
              <w:right w:val="single" w:color="000000" w:sz="4" w:space="0"/>
            </w:tcBorders>
            <w:vAlign w:val="center"/>
          </w:tcPr>
          <w:p w14:paraId="7D010960">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财政性资金基本保证</w:t>
            </w:r>
          </w:p>
        </w:tc>
      </w:tr>
      <w:tr w14:paraId="11DF0AFE">
        <w:tblPrEx>
          <w:tblCellMar>
            <w:top w:w="0" w:type="dxa"/>
            <w:left w:w="108" w:type="dxa"/>
            <w:bottom w:w="0" w:type="dxa"/>
            <w:right w:w="108" w:type="dxa"/>
          </w:tblCellMar>
        </w:tblPrEx>
        <w:trPr>
          <w:trHeight w:val="485" w:hRule="atLeast"/>
        </w:trPr>
        <w:tc>
          <w:tcPr>
            <w:tcW w:w="720" w:type="dxa"/>
            <w:tcBorders>
              <w:top w:val="single" w:color="000000" w:sz="4" w:space="0"/>
              <w:left w:val="single" w:color="000000" w:sz="4" w:space="0"/>
              <w:bottom w:val="single" w:color="000000" w:sz="4" w:space="0"/>
              <w:right w:val="single" w:color="000000" w:sz="4" w:space="0"/>
            </w:tcBorders>
            <w:vAlign w:val="center"/>
          </w:tcPr>
          <w:p w14:paraId="3346F0B6">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center"/>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3</w:t>
            </w:r>
          </w:p>
        </w:tc>
        <w:tc>
          <w:tcPr>
            <w:tcW w:w="4245" w:type="dxa"/>
            <w:tcBorders>
              <w:top w:val="single" w:color="000000" w:sz="4" w:space="0"/>
              <w:left w:val="single" w:color="000000" w:sz="4" w:space="0"/>
              <w:bottom w:val="single" w:color="000000" w:sz="4" w:space="0"/>
              <w:right w:val="single" w:color="000000" w:sz="4" w:space="0"/>
            </w:tcBorders>
            <w:vAlign w:val="center"/>
          </w:tcPr>
          <w:p w14:paraId="1112F127">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井陉县社会保险中心</w:t>
            </w:r>
          </w:p>
        </w:tc>
        <w:tc>
          <w:tcPr>
            <w:tcW w:w="2280" w:type="dxa"/>
            <w:tcBorders>
              <w:top w:val="single" w:color="000000" w:sz="4" w:space="0"/>
              <w:left w:val="single" w:color="000000" w:sz="4" w:space="0"/>
              <w:bottom w:val="single" w:color="000000" w:sz="4" w:space="0"/>
              <w:right w:val="single" w:color="000000" w:sz="4" w:space="0"/>
            </w:tcBorders>
            <w:vAlign w:val="center"/>
          </w:tcPr>
          <w:p w14:paraId="5C2D127B">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财政补助事业单位</w:t>
            </w:r>
          </w:p>
        </w:tc>
        <w:tc>
          <w:tcPr>
            <w:tcW w:w="2505" w:type="dxa"/>
            <w:tcBorders>
              <w:top w:val="single" w:color="000000" w:sz="4" w:space="0"/>
              <w:left w:val="single" w:color="000000" w:sz="4" w:space="0"/>
              <w:bottom w:val="single" w:color="000000" w:sz="4" w:space="0"/>
              <w:right w:val="single" w:color="000000" w:sz="4" w:space="0"/>
            </w:tcBorders>
            <w:vAlign w:val="center"/>
          </w:tcPr>
          <w:p w14:paraId="5D7991EC">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财政性资金基本保证</w:t>
            </w:r>
          </w:p>
        </w:tc>
      </w:tr>
      <w:tr w14:paraId="5DA28AEF">
        <w:tblPrEx>
          <w:tblCellMar>
            <w:top w:w="0" w:type="dxa"/>
            <w:left w:w="108" w:type="dxa"/>
            <w:bottom w:w="0" w:type="dxa"/>
            <w:right w:w="108" w:type="dxa"/>
          </w:tblCellMar>
        </w:tblPrEx>
        <w:trPr>
          <w:trHeight w:val="485" w:hRule="atLeast"/>
        </w:trPr>
        <w:tc>
          <w:tcPr>
            <w:tcW w:w="720" w:type="dxa"/>
            <w:tcBorders>
              <w:top w:val="single" w:color="000000" w:sz="4" w:space="0"/>
              <w:left w:val="single" w:color="000000" w:sz="4" w:space="0"/>
              <w:bottom w:val="single" w:color="000000" w:sz="4" w:space="0"/>
              <w:right w:val="single" w:color="000000" w:sz="4" w:space="0"/>
            </w:tcBorders>
            <w:vAlign w:val="center"/>
          </w:tcPr>
          <w:p w14:paraId="602739F6">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center"/>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4</w:t>
            </w:r>
          </w:p>
        </w:tc>
        <w:tc>
          <w:tcPr>
            <w:tcW w:w="4245" w:type="dxa"/>
            <w:tcBorders>
              <w:top w:val="single" w:color="000000" w:sz="4" w:space="0"/>
              <w:left w:val="single" w:color="000000" w:sz="4" w:space="0"/>
              <w:bottom w:val="single" w:color="000000" w:sz="4" w:space="0"/>
              <w:right w:val="single" w:color="000000" w:sz="4" w:space="0"/>
            </w:tcBorders>
            <w:vAlign w:val="center"/>
          </w:tcPr>
          <w:p w14:paraId="7CF959C2">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井陉县人才开发交流中心</w:t>
            </w:r>
          </w:p>
        </w:tc>
        <w:tc>
          <w:tcPr>
            <w:tcW w:w="2280" w:type="dxa"/>
            <w:tcBorders>
              <w:top w:val="single" w:color="000000" w:sz="4" w:space="0"/>
              <w:left w:val="single" w:color="000000" w:sz="4" w:space="0"/>
              <w:bottom w:val="single" w:color="000000" w:sz="4" w:space="0"/>
              <w:right w:val="single" w:color="000000" w:sz="4" w:space="0"/>
            </w:tcBorders>
            <w:vAlign w:val="center"/>
          </w:tcPr>
          <w:p w14:paraId="3F45573C">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财政补助事业单位</w:t>
            </w:r>
          </w:p>
        </w:tc>
        <w:tc>
          <w:tcPr>
            <w:tcW w:w="2505" w:type="dxa"/>
            <w:tcBorders>
              <w:top w:val="single" w:color="000000" w:sz="4" w:space="0"/>
              <w:left w:val="single" w:color="000000" w:sz="4" w:space="0"/>
              <w:bottom w:val="single" w:color="000000" w:sz="4" w:space="0"/>
              <w:right w:val="single" w:color="000000" w:sz="4" w:space="0"/>
            </w:tcBorders>
            <w:vAlign w:val="center"/>
          </w:tcPr>
          <w:p w14:paraId="7F03CCBE">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财政性资金基本保证</w:t>
            </w:r>
          </w:p>
        </w:tc>
      </w:tr>
      <w:tr w14:paraId="0B873E8D">
        <w:tblPrEx>
          <w:tblCellMar>
            <w:top w:w="0" w:type="dxa"/>
            <w:left w:w="108" w:type="dxa"/>
            <w:bottom w:w="0" w:type="dxa"/>
            <w:right w:w="108" w:type="dxa"/>
          </w:tblCellMar>
        </w:tblPrEx>
        <w:trPr>
          <w:trHeight w:val="485" w:hRule="atLeast"/>
        </w:trPr>
        <w:tc>
          <w:tcPr>
            <w:tcW w:w="720" w:type="dxa"/>
            <w:tcBorders>
              <w:top w:val="single" w:color="000000" w:sz="4" w:space="0"/>
              <w:left w:val="single" w:color="000000" w:sz="4" w:space="0"/>
              <w:bottom w:val="single" w:color="000000" w:sz="4" w:space="0"/>
              <w:right w:val="single" w:color="000000" w:sz="4" w:space="0"/>
            </w:tcBorders>
            <w:vAlign w:val="center"/>
          </w:tcPr>
          <w:p w14:paraId="45AFDDAF">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center"/>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5</w:t>
            </w:r>
          </w:p>
        </w:tc>
        <w:tc>
          <w:tcPr>
            <w:tcW w:w="4245" w:type="dxa"/>
            <w:tcBorders>
              <w:top w:val="single" w:color="000000" w:sz="4" w:space="0"/>
              <w:left w:val="single" w:color="000000" w:sz="4" w:space="0"/>
              <w:bottom w:val="single" w:color="000000" w:sz="4" w:space="0"/>
              <w:right w:val="single" w:color="000000" w:sz="4" w:space="0"/>
            </w:tcBorders>
            <w:vAlign w:val="center"/>
          </w:tcPr>
          <w:p w14:paraId="0E05D738">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井陉县劳动保障维权中心</w:t>
            </w:r>
          </w:p>
        </w:tc>
        <w:tc>
          <w:tcPr>
            <w:tcW w:w="2280" w:type="dxa"/>
            <w:tcBorders>
              <w:top w:val="single" w:color="000000" w:sz="4" w:space="0"/>
              <w:left w:val="single" w:color="000000" w:sz="4" w:space="0"/>
              <w:bottom w:val="single" w:color="000000" w:sz="4" w:space="0"/>
              <w:right w:val="single" w:color="000000" w:sz="4" w:space="0"/>
            </w:tcBorders>
            <w:vAlign w:val="center"/>
          </w:tcPr>
          <w:p w14:paraId="15738C69">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财政补助事业单位</w:t>
            </w:r>
          </w:p>
        </w:tc>
        <w:tc>
          <w:tcPr>
            <w:tcW w:w="2505" w:type="dxa"/>
            <w:tcBorders>
              <w:top w:val="single" w:color="000000" w:sz="4" w:space="0"/>
              <w:left w:val="single" w:color="000000" w:sz="4" w:space="0"/>
              <w:bottom w:val="single" w:color="000000" w:sz="4" w:space="0"/>
              <w:right w:val="single" w:color="000000" w:sz="4" w:space="0"/>
            </w:tcBorders>
            <w:vAlign w:val="center"/>
          </w:tcPr>
          <w:p w14:paraId="190C2AF7">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财政性资金基本保证</w:t>
            </w:r>
          </w:p>
        </w:tc>
      </w:tr>
      <w:tr w14:paraId="132CCBB2">
        <w:tblPrEx>
          <w:tblCellMar>
            <w:top w:w="0" w:type="dxa"/>
            <w:left w:w="108" w:type="dxa"/>
            <w:bottom w:w="0" w:type="dxa"/>
            <w:right w:w="108" w:type="dxa"/>
          </w:tblCellMar>
        </w:tblPrEx>
        <w:trPr>
          <w:trHeight w:val="485" w:hRule="atLeast"/>
        </w:trPr>
        <w:tc>
          <w:tcPr>
            <w:tcW w:w="720" w:type="dxa"/>
            <w:tcBorders>
              <w:top w:val="single" w:color="000000" w:sz="4" w:space="0"/>
              <w:left w:val="single" w:color="000000" w:sz="4" w:space="0"/>
              <w:bottom w:val="single" w:color="000000" w:sz="4" w:space="0"/>
              <w:right w:val="single" w:color="000000" w:sz="4" w:space="0"/>
            </w:tcBorders>
            <w:vAlign w:val="center"/>
          </w:tcPr>
          <w:p w14:paraId="153FB366">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center"/>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6</w:t>
            </w:r>
          </w:p>
        </w:tc>
        <w:tc>
          <w:tcPr>
            <w:tcW w:w="4245" w:type="dxa"/>
            <w:tcBorders>
              <w:top w:val="single" w:color="000000" w:sz="4" w:space="0"/>
              <w:left w:val="single" w:color="000000" w:sz="4" w:space="0"/>
              <w:bottom w:val="single" w:color="000000" w:sz="4" w:space="0"/>
              <w:right w:val="single" w:color="000000" w:sz="4" w:space="0"/>
            </w:tcBorders>
            <w:vAlign w:val="center"/>
          </w:tcPr>
          <w:p w14:paraId="631B65BA">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井陉县劳动人事争议仲裁院</w:t>
            </w:r>
          </w:p>
        </w:tc>
        <w:tc>
          <w:tcPr>
            <w:tcW w:w="2280" w:type="dxa"/>
            <w:tcBorders>
              <w:top w:val="single" w:color="000000" w:sz="4" w:space="0"/>
              <w:left w:val="single" w:color="000000" w:sz="4" w:space="0"/>
              <w:bottom w:val="single" w:color="000000" w:sz="4" w:space="0"/>
              <w:right w:val="single" w:color="000000" w:sz="4" w:space="0"/>
            </w:tcBorders>
            <w:vAlign w:val="center"/>
          </w:tcPr>
          <w:p w14:paraId="6370C514">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财政补助事业单位</w:t>
            </w:r>
          </w:p>
        </w:tc>
        <w:tc>
          <w:tcPr>
            <w:tcW w:w="2505" w:type="dxa"/>
            <w:tcBorders>
              <w:top w:val="single" w:color="000000" w:sz="4" w:space="0"/>
              <w:left w:val="single" w:color="000000" w:sz="4" w:space="0"/>
              <w:bottom w:val="single" w:color="000000" w:sz="4" w:space="0"/>
              <w:right w:val="single" w:color="000000" w:sz="4" w:space="0"/>
            </w:tcBorders>
            <w:vAlign w:val="center"/>
          </w:tcPr>
          <w:p w14:paraId="3867E948">
            <w:pPr>
              <w:keepNext w:val="0"/>
              <w:keepLines w:val="0"/>
              <w:pageBreakBefore w:val="0"/>
              <w:widowControl/>
              <w:numPr>
                <w:ilvl w:val="0"/>
                <w:numId w:val="0"/>
              </w:numPr>
              <w:kinsoku/>
              <w:wordWrap w:val="0"/>
              <w:overflowPunct/>
              <w:topLinePunct w:val="0"/>
              <w:autoSpaceDE/>
              <w:autoSpaceDN/>
              <w:bidi w:val="0"/>
              <w:adjustRightInd/>
              <w:spacing w:before="0" w:after="160" w:line="560" w:lineRule="exact"/>
              <w:ind w:right="0" w:firstLine="0" w:firstLineChars="0"/>
              <w:jc w:val="left"/>
              <w:textAlignment w:val="auto"/>
              <w:rPr>
                <w:rFonts w:hint="default" w:ascii="方正仿宋简体" w:hAnsi="方正仿宋简体" w:eastAsia="方正仿宋简体"/>
                <w:b w:val="0"/>
                <w:smallCaps w:val="0"/>
                <w:color w:val="auto"/>
                <w:spacing w:val="0"/>
                <w:position w:val="0"/>
                <w:sz w:val="24"/>
                <w:szCs w:val="24"/>
              </w:rPr>
            </w:pPr>
            <w:r>
              <w:rPr>
                <w:rFonts w:hint="default" w:ascii="方正仿宋简体" w:hAnsi="方正仿宋简体" w:eastAsia="方正仿宋简体"/>
                <w:b w:val="0"/>
                <w:smallCaps w:val="0"/>
                <w:color w:val="auto"/>
                <w:spacing w:val="0"/>
                <w:position w:val="0"/>
                <w:sz w:val="24"/>
                <w:szCs w:val="24"/>
              </w:rPr>
              <w:t>财政性资金基本保证</w:t>
            </w:r>
          </w:p>
        </w:tc>
      </w:tr>
    </w:tbl>
    <w:p w14:paraId="54AB84BC">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3. 人员情况</w:t>
      </w:r>
    </w:p>
    <w:p w14:paraId="0AC06F22">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井陉县人力资源和社会保障局编制20人，现有在职职工1</w:t>
      </w:r>
      <w:r>
        <w:rPr>
          <w:rFonts w:hint="eastAsia" w:ascii="方正仿宋简体" w:hAnsi="方正仿宋简体" w:eastAsia="方正仿宋简体" w:cs="方正仿宋简体"/>
          <w:color w:val="auto"/>
          <w:position w:val="0"/>
          <w:sz w:val="32"/>
          <w:szCs w:val="32"/>
          <w:lang w:val="en-US" w:eastAsia="zh-CN"/>
        </w:rPr>
        <w:t>7</w:t>
      </w:r>
      <w:r>
        <w:rPr>
          <w:rFonts w:hint="default" w:ascii="方正仿宋简体" w:hAnsi="方正仿宋简体" w:eastAsia="方正仿宋简体" w:cs="方正仿宋简体"/>
          <w:color w:val="auto"/>
          <w:position w:val="0"/>
          <w:sz w:val="32"/>
          <w:szCs w:val="32"/>
        </w:rPr>
        <w:t>人。</w:t>
      </w:r>
    </w:p>
    <w:p w14:paraId="7B3CB572">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井陉县井陉县劳动保障维权中心编制10人，现有在职职工</w:t>
      </w:r>
      <w:r>
        <w:rPr>
          <w:rFonts w:hint="eastAsia" w:ascii="方正仿宋简体" w:hAnsi="方正仿宋简体" w:eastAsia="方正仿宋简体" w:cs="方正仿宋简体"/>
          <w:color w:val="auto"/>
          <w:position w:val="0"/>
          <w:sz w:val="32"/>
          <w:szCs w:val="32"/>
          <w:lang w:val="en-US" w:eastAsia="zh-CN"/>
        </w:rPr>
        <w:t>9</w:t>
      </w:r>
      <w:r>
        <w:rPr>
          <w:rFonts w:hint="default" w:ascii="方正仿宋简体" w:hAnsi="方正仿宋简体" w:eastAsia="方正仿宋简体" w:cs="方正仿宋简体"/>
          <w:color w:val="auto"/>
          <w:position w:val="0"/>
          <w:sz w:val="32"/>
          <w:szCs w:val="32"/>
        </w:rPr>
        <w:t>人。</w:t>
      </w:r>
    </w:p>
    <w:p w14:paraId="07949B38">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井陉县劳动人事争议仲裁院编制3人，现有在职职工</w:t>
      </w:r>
      <w:r>
        <w:rPr>
          <w:rFonts w:hint="eastAsia" w:ascii="方正仿宋简体" w:hAnsi="方正仿宋简体" w:eastAsia="方正仿宋简体" w:cs="方正仿宋简体"/>
          <w:color w:val="auto"/>
          <w:position w:val="0"/>
          <w:sz w:val="32"/>
          <w:szCs w:val="32"/>
          <w:lang w:val="en-US" w:eastAsia="zh-CN"/>
        </w:rPr>
        <w:t>3</w:t>
      </w:r>
      <w:r>
        <w:rPr>
          <w:rFonts w:hint="default" w:ascii="方正仿宋简体" w:hAnsi="方正仿宋简体" w:eastAsia="方正仿宋简体" w:cs="方正仿宋简体"/>
          <w:color w:val="auto"/>
          <w:position w:val="0"/>
          <w:sz w:val="32"/>
          <w:szCs w:val="32"/>
        </w:rPr>
        <w:t>人。</w:t>
      </w:r>
    </w:p>
    <w:p w14:paraId="3D27B451">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井陉县人才开发交流中心编制</w:t>
      </w:r>
      <w:r>
        <w:rPr>
          <w:rFonts w:hint="eastAsia" w:ascii="方正仿宋简体" w:hAnsi="方正仿宋简体" w:eastAsia="方正仿宋简体" w:cs="方正仿宋简体"/>
          <w:color w:val="auto"/>
          <w:position w:val="0"/>
          <w:sz w:val="32"/>
          <w:szCs w:val="32"/>
          <w:lang w:val="en-US" w:eastAsia="zh-CN"/>
        </w:rPr>
        <w:t>5</w:t>
      </w:r>
      <w:r>
        <w:rPr>
          <w:rFonts w:hint="default" w:ascii="方正仿宋简体" w:hAnsi="方正仿宋简体" w:eastAsia="方正仿宋简体" w:cs="方正仿宋简体"/>
          <w:color w:val="auto"/>
          <w:position w:val="0"/>
          <w:sz w:val="32"/>
          <w:szCs w:val="32"/>
        </w:rPr>
        <w:t>人，现有在职职工</w:t>
      </w:r>
      <w:r>
        <w:rPr>
          <w:rFonts w:hint="eastAsia" w:ascii="方正仿宋简体" w:hAnsi="方正仿宋简体" w:eastAsia="方正仿宋简体" w:cs="方正仿宋简体"/>
          <w:color w:val="auto"/>
          <w:position w:val="0"/>
          <w:sz w:val="32"/>
          <w:szCs w:val="32"/>
          <w:lang w:val="en-US" w:eastAsia="zh-CN"/>
        </w:rPr>
        <w:t>5</w:t>
      </w:r>
      <w:r>
        <w:rPr>
          <w:rFonts w:hint="default" w:ascii="方正仿宋简体" w:hAnsi="方正仿宋简体" w:eastAsia="方正仿宋简体" w:cs="方正仿宋简体"/>
          <w:color w:val="auto"/>
          <w:position w:val="0"/>
          <w:sz w:val="32"/>
          <w:szCs w:val="32"/>
        </w:rPr>
        <w:t>人。</w:t>
      </w:r>
    </w:p>
    <w:p w14:paraId="2671BA2F">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井陉县社会保险中心编制26人，现有在职职工</w:t>
      </w:r>
      <w:r>
        <w:rPr>
          <w:rFonts w:hint="eastAsia" w:ascii="方正仿宋简体" w:hAnsi="方正仿宋简体" w:eastAsia="方正仿宋简体" w:cs="方正仿宋简体"/>
          <w:color w:val="auto"/>
          <w:position w:val="0"/>
          <w:sz w:val="32"/>
          <w:szCs w:val="32"/>
          <w:lang w:val="en-US" w:eastAsia="zh-CN"/>
        </w:rPr>
        <w:t>23</w:t>
      </w:r>
      <w:r>
        <w:rPr>
          <w:rFonts w:hint="default" w:ascii="方正仿宋简体" w:hAnsi="方正仿宋简体" w:eastAsia="方正仿宋简体" w:cs="方正仿宋简体"/>
          <w:color w:val="auto"/>
          <w:position w:val="0"/>
          <w:sz w:val="32"/>
          <w:szCs w:val="32"/>
        </w:rPr>
        <w:t>人。</w:t>
      </w:r>
    </w:p>
    <w:p w14:paraId="7CFD45B0">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井陉县就业服务中心编制1</w:t>
      </w:r>
      <w:r>
        <w:rPr>
          <w:rFonts w:hint="eastAsia" w:ascii="方正仿宋简体" w:hAnsi="方正仿宋简体" w:eastAsia="方正仿宋简体" w:cs="方正仿宋简体"/>
          <w:color w:val="auto"/>
          <w:position w:val="0"/>
          <w:sz w:val="32"/>
          <w:szCs w:val="32"/>
          <w:lang w:val="en-US" w:eastAsia="zh-CN"/>
        </w:rPr>
        <w:t>3</w:t>
      </w:r>
      <w:r>
        <w:rPr>
          <w:rFonts w:hint="default" w:ascii="方正仿宋简体" w:hAnsi="方正仿宋简体" w:eastAsia="方正仿宋简体" w:cs="方正仿宋简体"/>
          <w:color w:val="auto"/>
          <w:position w:val="0"/>
          <w:sz w:val="32"/>
          <w:szCs w:val="32"/>
        </w:rPr>
        <w:t>人，现有在职职工1</w:t>
      </w:r>
      <w:r>
        <w:rPr>
          <w:rFonts w:hint="eastAsia" w:ascii="方正仿宋简体" w:hAnsi="方正仿宋简体" w:eastAsia="方正仿宋简体" w:cs="方正仿宋简体"/>
          <w:color w:val="auto"/>
          <w:position w:val="0"/>
          <w:sz w:val="32"/>
          <w:szCs w:val="32"/>
          <w:lang w:val="en-US" w:eastAsia="zh-CN"/>
        </w:rPr>
        <w:t>3</w:t>
      </w:r>
      <w:r>
        <w:rPr>
          <w:rFonts w:hint="default" w:ascii="方正仿宋简体" w:hAnsi="方正仿宋简体" w:eastAsia="方正仿宋简体" w:cs="方正仿宋简体"/>
          <w:color w:val="auto"/>
          <w:position w:val="0"/>
          <w:sz w:val="32"/>
          <w:szCs w:val="32"/>
        </w:rPr>
        <w:t>人。</w:t>
      </w:r>
    </w:p>
    <w:p w14:paraId="11D168F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pPr>
      <w:r>
        <w:rPr>
          <w:rFonts w:hint="eastAsia" w:ascii="楷体" w:hAnsi="楷体" w:eastAsia="楷体" w:cs="楷体_GB2312"/>
          <w:bCs/>
          <w:sz w:val="32"/>
          <w:szCs w:val="32"/>
        </w:rPr>
        <w:t>（</w:t>
      </w: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）部门收支预决算情况</w:t>
      </w:r>
    </w:p>
    <w:p w14:paraId="4CC578F5">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1.收入支出预算执行情况</w:t>
      </w:r>
    </w:p>
    <w:p w14:paraId="4F480D87">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本年收入年初预算2211.29万元，比上年年初预算2237.82万元降低1.19%，原因是本年度就业资金减少。支出安排年初预算2211.29万元，比上年年初预算2237.82万元降低1.19%，原因是本年度就业资金减少。</w:t>
      </w:r>
    </w:p>
    <w:p w14:paraId="20879496">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年初预算收</w:t>
      </w:r>
      <w:r>
        <w:rPr>
          <w:rFonts w:hint="eastAsia" w:ascii="方正仿宋简体" w:hAnsi="方正仿宋简体" w:eastAsia="方正仿宋简体" w:cs="方正仿宋简体"/>
          <w:color w:val="auto"/>
          <w:position w:val="0"/>
          <w:sz w:val="32"/>
          <w:szCs w:val="32"/>
          <w:lang w:eastAsia="zh-CN"/>
        </w:rPr>
        <w:t>入</w:t>
      </w:r>
      <w:r>
        <w:rPr>
          <w:rFonts w:hint="default" w:ascii="方正仿宋简体" w:hAnsi="方正仿宋简体" w:eastAsia="方正仿宋简体" w:cs="方正仿宋简体"/>
          <w:color w:val="auto"/>
          <w:position w:val="0"/>
          <w:sz w:val="32"/>
          <w:szCs w:val="32"/>
        </w:rPr>
        <w:t>2211.29万元，实际收入2400.41万元，上年度收入2467.70万元，比上年</w:t>
      </w:r>
      <w:r>
        <w:rPr>
          <w:rFonts w:hint="eastAsia" w:ascii="方正仿宋简体" w:hAnsi="方正仿宋简体" w:eastAsia="方正仿宋简体" w:cs="方正仿宋简体"/>
          <w:color w:val="auto"/>
          <w:position w:val="0"/>
          <w:sz w:val="32"/>
          <w:szCs w:val="32"/>
          <w:lang w:eastAsia="zh-CN"/>
        </w:rPr>
        <w:t>减少67.29</w:t>
      </w:r>
      <w:r>
        <w:rPr>
          <w:rFonts w:hint="default" w:ascii="方正仿宋简体" w:hAnsi="方正仿宋简体" w:eastAsia="方正仿宋简体" w:cs="方正仿宋简体"/>
          <w:color w:val="auto"/>
          <w:position w:val="0"/>
          <w:sz w:val="32"/>
          <w:szCs w:val="32"/>
        </w:rPr>
        <w:t>万元，</w:t>
      </w:r>
      <w:r>
        <w:rPr>
          <w:rFonts w:hint="eastAsia" w:ascii="方正仿宋简体" w:hAnsi="方正仿宋简体" w:eastAsia="方正仿宋简体" w:cs="方正仿宋简体"/>
          <w:color w:val="auto"/>
          <w:position w:val="0"/>
          <w:sz w:val="32"/>
          <w:szCs w:val="32"/>
          <w:lang w:eastAsia="zh-CN"/>
        </w:rPr>
        <w:t>降低2.73</w:t>
      </w:r>
      <w:r>
        <w:rPr>
          <w:rFonts w:hint="default" w:ascii="方正仿宋简体" w:hAnsi="方正仿宋简体" w:eastAsia="方正仿宋简体" w:cs="方正仿宋简体"/>
          <w:color w:val="auto"/>
          <w:position w:val="0"/>
          <w:sz w:val="32"/>
          <w:szCs w:val="32"/>
        </w:rPr>
        <w:t>%。主要原因是原因是本年度就业资金减少。</w:t>
      </w:r>
    </w:p>
    <w:p w14:paraId="75540EA7">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 xml:space="preserve"> 年初预算支出2211.29万元，实际收入2400.41万元，上年度收入2467.70万元，比上年</w:t>
      </w:r>
      <w:r>
        <w:rPr>
          <w:rFonts w:hint="eastAsia" w:ascii="方正仿宋简体" w:hAnsi="方正仿宋简体" w:eastAsia="方正仿宋简体" w:cs="方正仿宋简体"/>
          <w:color w:val="auto"/>
          <w:position w:val="0"/>
          <w:sz w:val="32"/>
          <w:szCs w:val="32"/>
          <w:lang w:eastAsia="zh-CN"/>
        </w:rPr>
        <w:t>减少67.29</w:t>
      </w:r>
      <w:r>
        <w:rPr>
          <w:rFonts w:hint="default" w:ascii="方正仿宋简体" w:hAnsi="方正仿宋简体" w:eastAsia="方正仿宋简体" w:cs="方正仿宋简体"/>
          <w:color w:val="auto"/>
          <w:position w:val="0"/>
          <w:sz w:val="32"/>
          <w:szCs w:val="32"/>
        </w:rPr>
        <w:t>万元，</w:t>
      </w:r>
      <w:r>
        <w:rPr>
          <w:rFonts w:hint="eastAsia" w:ascii="方正仿宋简体" w:hAnsi="方正仿宋简体" w:eastAsia="方正仿宋简体" w:cs="方正仿宋简体"/>
          <w:color w:val="auto"/>
          <w:position w:val="0"/>
          <w:sz w:val="32"/>
          <w:szCs w:val="32"/>
          <w:lang w:eastAsia="zh-CN"/>
        </w:rPr>
        <w:t>降低2.73</w:t>
      </w:r>
      <w:r>
        <w:rPr>
          <w:rFonts w:hint="default" w:ascii="方正仿宋简体" w:hAnsi="方正仿宋简体" w:eastAsia="方正仿宋简体" w:cs="方正仿宋简体"/>
          <w:color w:val="auto"/>
          <w:position w:val="0"/>
          <w:sz w:val="32"/>
          <w:szCs w:val="32"/>
        </w:rPr>
        <w:t>%。主要原因是原因是本年度就业资金减少。</w:t>
      </w:r>
    </w:p>
    <w:p w14:paraId="2FDF425B">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2.“三公”经费支出情况</w:t>
      </w:r>
    </w:p>
    <w:p w14:paraId="54DE5FF4">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pPr>
      <w:r>
        <w:rPr>
          <w:rFonts w:hint="default" w:ascii="方正仿宋简体" w:hAnsi="方正仿宋简体" w:eastAsia="方正仿宋简体" w:cs="方正仿宋简体"/>
          <w:color w:val="auto"/>
          <w:position w:val="0"/>
          <w:sz w:val="32"/>
          <w:szCs w:val="32"/>
        </w:rPr>
        <w:t>本年预算数为</w:t>
      </w:r>
      <w:r>
        <w:rPr>
          <w:rFonts w:hint="eastAsia" w:ascii="方正仿宋简体" w:hAnsi="方正仿宋简体" w:eastAsia="方正仿宋简体" w:cs="方正仿宋简体"/>
          <w:color w:val="auto"/>
          <w:position w:val="0"/>
          <w:sz w:val="32"/>
          <w:szCs w:val="32"/>
          <w:lang w:val="en-US" w:eastAsia="zh-CN"/>
        </w:rPr>
        <w:t>5.8</w:t>
      </w:r>
      <w:r>
        <w:rPr>
          <w:rFonts w:hint="default" w:ascii="方正仿宋简体" w:hAnsi="方正仿宋简体" w:eastAsia="方正仿宋简体" w:cs="方正仿宋简体"/>
          <w:color w:val="auto"/>
          <w:position w:val="0"/>
          <w:sz w:val="32"/>
          <w:szCs w:val="32"/>
        </w:rPr>
        <w:t>万元，实际支出为</w:t>
      </w:r>
      <w:r>
        <w:rPr>
          <w:rFonts w:hint="eastAsia" w:ascii="方正仿宋简体" w:hAnsi="方正仿宋简体" w:eastAsia="方正仿宋简体" w:cs="方正仿宋简体"/>
          <w:color w:val="auto"/>
          <w:position w:val="0"/>
          <w:sz w:val="32"/>
          <w:szCs w:val="32"/>
          <w:lang w:val="en-US" w:eastAsia="zh-CN"/>
        </w:rPr>
        <w:t>5</w:t>
      </w:r>
      <w:r>
        <w:rPr>
          <w:rFonts w:hint="default" w:ascii="方正仿宋简体" w:hAnsi="方正仿宋简体" w:eastAsia="方正仿宋简体" w:cs="方正仿宋简体"/>
          <w:color w:val="auto"/>
          <w:position w:val="0"/>
          <w:sz w:val="32"/>
          <w:szCs w:val="32"/>
        </w:rPr>
        <w:t>万元，上年支出为</w:t>
      </w:r>
      <w:r>
        <w:rPr>
          <w:rFonts w:hint="eastAsia" w:ascii="方正仿宋简体" w:hAnsi="方正仿宋简体" w:eastAsia="方正仿宋简体" w:cs="方正仿宋简体"/>
          <w:color w:val="auto"/>
          <w:position w:val="0"/>
          <w:sz w:val="32"/>
          <w:szCs w:val="32"/>
          <w:lang w:val="en-US" w:eastAsia="zh-CN"/>
        </w:rPr>
        <w:t>5.3</w:t>
      </w:r>
      <w:r>
        <w:rPr>
          <w:rFonts w:hint="default" w:ascii="方正仿宋简体" w:hAnsi="方正仿宋简体" w:eastAsia="方正仿宋简体" w:cs="方正仿宋简体"/>
          <w:color w:val="auto"/>
          <w:position w:val="0"/>
          <w:sz w:val="32"/>
          <w:szCs w:val="32"/>
        </w:rPr>
        <w:t>万元，比上年减少</w:t>
      </w:r>
      <w:r>
        <w:rPr>
          <w:rFonts w:hint="eastAsia" w:ascii="方正仿宋简体" w:hAnsi="方正仿宋简体" w:eastAsia="方正仿宋简体" w:cs="方正仿宋简体"/>
          <w:color w:val="auto"/>
          <w:position w:val="0"/>
          <w:sz w:val="32"/>
          <w:szCs w:val="32"/>
          <w:lang w:val="en-US" w:eastAsia="zh-CN"/>
        </w:rPr>
        <w:t>0.3</w:t>
      </w:r>
      <w:r>
        <w:rPr>
          <w:rFonts w:hint="default" w:ascii="方正仿宋简体" w:hAnsi="方正仿宋简体" w:eastAsia="方正仿宋简体" w:cs="方正仿宋简体"/>
          <w:color w:val="auto"/>
          <w:position w:val="0"/>
          <w:sz w:val="32"/>
          <w:szCs w:val="32"/>
        </w:rPr>
        <w:t>万元，降低</w:t>
      </w:r>
      <w:r>
        <w:rPr>
          <w:rFonts w:hint="eastAsia" w:ascii="仿宋_GB2312" w:hAnsi="Times New Roman" w:eastAsia="仿宋_GB2312" w:cs="DengXian-Regular"/>
          <w:sz w:val="32"/>
          <w:szCs w:val="32"/>
          <w:lang w:val="en-US" w:eastAsia="zh-CN"/>
        </w:rPr>
        <w:t>5.66</w:t>
      </w:r>
      <w:r>
        <w:rPr>
          <w:rFonts w:hint="default" w:ascii="方正仿宋简体" w:hAnsi="方正仿宋简体" w:eastAsia="方正仿宋简体" w:cs="方正仿宋简体"/>
          <w:color w:val="auto"/>
          <w:position w:val="0"/>
          <w:sz w:val="32"/>
          <w:szCs w:val="32"/>
        </w:rPr>
        <w:t>%。主要原因是本部门厉行节俭，缩减“三公”经费。无因公出国（境）和公务接待。</w:t>
      </w:r>
    </w:p>
    <w:p w14:paraId="3F1C8939">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B5894A7">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1.总体绩效目标</w:t>
      </w:r>
    </w:p>
    <w:p w14:paraId="043C5F77">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以习近平新时代中国特色社会主义思想为引领，深入贯彻党的</w:t>
      </w:r>
      <w:r>
        <w:rPr>
          <w:rFonts w:hint="eastAsia" w:ascii="方正仿宋简体" w:hAnsi="方正仿宋简体" w:eastAsia="方正仿宋简体" w:cs="方正仿宋简体"/>
          <w:color w:val="auto"/>
          <w:position w:val="0"/>
          <w:sz w:val="32"/>
          <w:szCs w:val="32"/>
          <w:lang w:val="en-US" w:eastAsia="zh-CN"/>
        </w:rPr>
        <w:t>二十</w:t>
      </w:r>
      <w:r>
        <w:rPr>
          <w:rFonts w:hint="default" w:ascii="方正仿宋简体" w:hAnsi="方正仿宋简体" w:eastAsia="方正仿宋简体" w:cs="方正仿宋简体"/>
          <w:color w:val="auto"/>
          <w:position w:val="0"/>
          <w:sz w:val="32"/>
          <w:szCs w:val="32"/>
        </w:rPr>
        <w:t>届</w:t>
      </w:r>
      <w:r>
        <w:rPr>
          <w:rFonts w:hint="eastAsia" w:ascii="方正仿宋简体" w:hAnsi="方正仿宋简体" w:eastAsia="方正仿宋简体" w:cs="方正仿宋简体"/>
          <w:color w:val="auto"/>
          <w:position w:val="0"/>
          <w:sz w:val="32"/>
          <w:szCs w:val="32"/>
          <w:lang w:val="en-US" w:eastAsia="zh-CN"/>
        </w:rPr>
        <w:t>三</w:t>
      </w:r>
      <w:r>
        <w:rPr>
          <w:rFonts w:hint="default" w:ascii="方正仿宋简体" w:hAnsi="方正仿宋简体" w:eastAsia="方正仿宋简体" w:cs="方正仿宋简体"/>
          <w:color w:val="auto"/>
          <w:position w:val="0"/>
          <w:sz w:val="32"/>
          <w:szCs w:val="32"/>
        </w:rPr>
        <w:t>中全会</w:t>
      </w:r>
      <w:r>
        <w:rPr>
          <w:rFonts w:hint="eastAsia" w:ascii="方正仿宋简体" w:hAnsi="方正仿宋简体" w:eastAsia="方正仿宋简体" w:cs="方正仿宋简体"/>
          <w:color w:val="auto"/>
          <w:position w:val="0"/>
          <w:sz w:val="32"/>
          <w:szCs w:val="32"/>
          <w:lang w:val="en-US" w:eastAsia="zh-CN"/>
        </w:rPr>
        <w:t>精神</w:t>
      </w:r>
      <w:r>
        <w:rPr>
          <w:rFonts w:hint="default" w:ascii="方正仿宋简体" w:hAnsi="方正仿宋简体" w:eastAsia="方正仿宋简体" w:cs="方正仿宋简体"/>
          <w:color w:val="auto"/>
          <w:position w:val="0"/>
          <w:sz w:val="32"/>
          <w:szCs w:val="32"/>
        </w:rPr>
        <w:t>，坚持“民生为本、人才优先”工作主线，实施就业优先战略和人才强县战略，建立更加公平更可持续的社会保障制度，深化人事制度改革和工资收入分配制度改革，构建和谐稳定的劳动关系，提升基本公共服务能力，努力实现人力资源社会保障事业全面协调可持续发展，为建设经济县作出新的更大贡献。</w:t>
      </w:r>
    </w:p>
    <w:p w14:paraId="1C561AEB">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2.分项绩效目标</w:t>
      </w:r>
    </w:p>
    <w:p w14:paraId="31335749">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w:t>
      </w:r>
      <w:r>
        <w:rPr>
          <w:rFonts w:hint="eastAsia" w:ascii="方正仿宋简体" w:hAnsi="方正仿宋简体" w:eastAsia="方正仿宋简体" w:cs="方正仿宋简体"/>
          <w:color w:val="auto"/>
          <w:position w:val="0"/>
          <w:sz w:val="32"/>
          <w:szCs w:val="32"/>
          <w:lang w:val="en-US" w:eastAsia="zh-CN"/>
        </w:rPr>
        <w:t>1</w:t>
      </w:r>
      <w:r>
        <w:rPr>
          <w:rFonts w:hint="default" w:ascii="方正仿宋简体" w:hAnsi="方正仿宋简体" w:eastAsia="方正仿宋简体" w:cs="方正仿宋简体"/>
          <w:color w:val="auto"/>
          <w:position w:val="0"/>
          <w:sz w:val="32"/>
          <w:szCs w:val="32"/>
        </w:rPr>
        <w:t>）各项考核指标稳步提高</w:t>
      </w:r>
    </w:p>
    <w:p w14:paraId="0F74522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一是202</w:t>
      </w:r>
      <w:r>
        <w:rPr>
          <w:rFonts w:hint="eastAsia" w:ascii="方正仿宋简体" w:hAnsi="方正仿宋简体" w:eastAsia="方正仿宋简体" w:cs="方正仿宋简体"/>
          <w:color w:val="auto"/>
          <w:position w:val="0"/>
          <w:sz w:val="32"/>
          <w:szCs w:val="32"/>
          <w:lang w:val="en-US" w:eastAsia="zh-CN"/>
        </w:rPr>
        <w:t>5</w:t>
      </w:r>
      <w:r>
        <w:rPr>
          <w:rFonts w:hint="default" w:ascii="方正仿宋简体" w:hAnsi="方正仿宋简体" w:eastAsia="方正仿宋简体" w:cs="方正仿宋简体"/>
          <w:color w:val="auto"/>
          <w:position w:val="0"/>
          <w:sz w:val="32"/>
          <w:szCs w:val="32"/>
        </w:rPr>
        <w:t>年我县城镇居民人均可支配收入增速</w:t>
      </w:r>
      <w:r>
        <w:rPr>
          <w:rFonts w:hint="eastAsia" w:ascii="方正仿宋简体" w:hAnsi="方正仿宋简体" w:eastAsia="方正仿宋简体" w:cs="方正仿宋简体"/>
          <w:color w:val="auto"/>
          <w:position w:val="0"/>
          <w:sz w:val="32"/>
          <w:szCs w:val="32"/>
          <w:lang w:val="en-US" w:eastAsia="zh-CN"/>
        </w:rPr>
        <w:t>4.9</w:t>
      </w:r>
      <w:r>
        <w:rPr>
          <w:rFonts w:hint="default" w:ascii="方正仿宋简体" w:hAnsi="方正仿宋简体" w:eastAsia="方正仿宋简体" w:cs="方正仿宋简体"/>
          <w:color w:val="auto"/>
          <w:position w:val="0"/>
          <w:sz w:val="32"/>
          <w:szCs w:val="32"/>
        </w:rPr>
        <w:t>%，城乡比为</w:t>
      </w:r>
      <w:r>
        <w:rPr>
          <w:rFonts w:hint="eastAsia" w:ascii="方正仿宋简体" w:hAnsi="方正仿宋简体" w:eastAsia="方正仿宋简体" w:cs="方正仿宋简体"/>
          <w:color w:val="auto"/>
          <w:position w:val="0"/>
          <w:sz w:val="32"/>
          <w:szCs w:val="32"/>
          <w:lang w:val="en-US" w:eastAsia="zh-CN"/>
        </w:rPr>
        <w:t>1.97</w:t>
      </w:r>
      <w:r>
        <w:rPr>
          <w:rFonts w:hint="default" w:ascii="方正仿宋简体" w:hAnsi="方正仿宋简体" w:eastAsia="方正仿宋简体" w:cs="方正仿宋简体"/>
          <w:color w:val="auto"/>
          <w:position w:val="0"/>
          <w:sz w:val="32"/>
          <w:szCs w:val="32"/>
        </w:rPr>
        <w:t>。二是</w:t>
      </w:r>
      <w:bookmarkStart w:id="0" w:name="OLE_LINK1"/>
      <w:r>
        <w:rPr>
          <w:rFonts w:hint="eastAsia" w:ascii="方正仿宋简体" w:hAnsi="方正仿宋简体" w:eastAsia="方正仿宋简体" w:cs="方正仿宋简体"/>
          <w:sz w:val="32"/>
          <w:szCs w:val="32"/>
          <w:lang w:val="en-US" w:eastAsia="zh-CN"/>
        </w:rPr>
        <w:t>截至目前城乡居民基本养老保险月人均待遇水平达214.41元，已实现“十四五”规划目标。</w:t>
      </w:r>
      <w:bookmarkEnd w:id="0"/>
      <w:r>
        <w:rPr>
          <w:rFonts w:hint="default" w:ascii="方正仿宋简体" w:hAnsi="方正仿宋简体" w:eastAsia="方正仿宋简体" w:cs="方正仿宋简体"/>
          <w:color w:val="auto"/>
          <w:position w:val="0"/>
          <w:sz w:val="32"/>
          <w:szCs w:val="32"/>
        </w:rPr>
        <w:t>三是井陉县城镇新增就业人数</w:t>
      </w:r>
      <w:r>
        <w:rPr>
          <w:rFonts w:hint="eastAsia" w:ascii="方正仿宋简体" w:hAnsi="方正仿宋简体" w:eastAsia="方正仿宋简体" w:cs="方正仿宋简体"/>
          <w:color w:val="auto"/>
          <w:sz w:val="32"/>
          <w:szCs w:val="32"/>
          <w:lang w:val="en-US" w:eastAsia="zh-CN"/>
        </w:rPr>
        <w:t>2825</w:t>
      </w:r>
      <w:r>
        <w:rPr>
          <w:rFonts w:hint="default" w:ascii="方正仿宋简体" w:hAnsi="方正仿宋简体" w:eastAsia="方正仿宋简体" w:cs="方正仿宋简体"/>
          <w:color w:val="auto"/>
          <w:position w:val="0"/>
          <w:sz w:val="32"/>
          <w:szCs w:val="32"/>
        </w:rPr>
        <w:t>人，占年度任务的1</w:t>
      </w:r>
      <w:r>
        <w:rPr>
          <w:rFonts w:hint="eastAsia" w:ascii="方正仿宋简体" w:hAnsi="方正仿宋简体" w:eastAsia="方正仿宋简体" w:cs="方正仿宋简体"/>
          <w:color w:val="auto"/>
          <w:sz w:val="32"/>
          <w:szCs w:val="32"/>
          <w:lang w:val="en-US" w:eastAsia="zh-CN"/>
        </w:rPr>
        <w:t>04.63</w:t>
      </w:r>
      <w:r>
        <w:rPr>
          <w:rFonts w:hint="default" w:ascii="方正仿宋简体" w:hAnsi="方正仿宋简体" w:eastAsia="方正仿宋简体" w:cs="方正仿宋简体"/>
          <w:color w:val="auto"/>
          <w:position w:val="0"/>
          <w:sz w:val="32"/>
          <w:szCs w:val="32"/>
        </w:rPr>
        <w:t>%。四是</w:t>
      </w:r>
      <w:r>
        <w:rPr>
          <w:rFonts w:hint="eastAsia" w:ascii="方正仿宋简体" w:hAnsi="方正仿宋简体" w:eastAsia="方正仿宋简体" w:cs="方正仿宋简体"/>
          <w:sz w:val="32"/>
          <w:szCs w:val="32"/>
          <w:lang w:val="en-US" w:eastAsia="zh-CN"/>
        </w:rPr>
        <w:t>开展创业服务816人次，占年度任务的107.37%，</w:t>
      </w:r>
      <w:r>
        <w:rPr>
          <w:rFonts w:hint="eastAsia" w:ascii="方正仿宋简体" w:hAnsi="方正仿宋简体" w:eastAsia="方正仿宋简体" w:cs="方正仿宋简体"/>
          <w:color w:val="auto"/>
          <w:sz w:val="32"/>
          <w:szCs w:val="32"/>
          <w:lang w:val="en-US" w:eastAsia="zh-CN"/>
        </w:rPr>
        <w:t>截止11月底，完成失业人员再就业668人，占年度任务的121.45%</w:t>
      </w:r>
      <w:r>
        <w:rPr>
          <w:rFonts w:hint="default" w:ascii="方正仿宋简体" w:hAnsi="方正仿宋简体" w:eastAsia="方正仿宋简体" w:cs="方正仿宋简体"/>
          <w:color w:val="auto"/>
          <w:position w:val="0"/>
          <w:sz w:val="32"/>
          <w:szCs w:val="32"/>
        </w:rPr>
        <w:t>。</w:t>
      </w:r>
    </w:p>
    <w:p w14:paraId="4BF0581F">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w:t>
      </w:r>
      <w:r>
        <w:rPr>
          <w:rFonts w:hint="eastAsia" w:ascii="方正仿宋简体" w:hAnsi="方正仿宋简体" w:eastAsia="方正仿宋简体" w:cs="方正仿宋简体"/>
          <w:color w:val="auto"/>
          <w:position w:val="0"/>
          <w:sz w:val="32"/>
          <w:szCs w:val="32"/>
          <w:lang w:val="en-US" w:eastAsia="zh-CN"/>
        </w:rPr>
        <w:t>2</w:t>
      </w:r>
      <w:r>
        <w:rPr>
          <w:rFonts w:hint="default" w:ascii="方正仿宋简体" w:hAnsi="方正仿宋简体" w:eastAsia="方正仿宋简体" w:cs="方正仿宋简体"/>
          <w:color w:val="auto"/>
          <w:position w:val="0"/>
          <w:sz w:val="32"/>
          <w:szCs w:val="32"/>
        </w:rPr>
        <w:t>）就业工作</w:t>
      </w:r>
    </w:p>
    <w:p w14:paraId="6795ED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一是累计举办“春风行动”“就业援助月”“局长送岗”等招聘活动79场次，累计提供岗位3万余个，达成就业意向8千余个，服务企业380余家；加强创业孵化基地管理，目前我县两家创业孵化基地入驻实体118家，带动就业272人；开展人社惠民政策宣讲座谈会，邀请65家企业参会，解读人社政策，释放政策红利，为企业创新发展注入持久动力。二是2025年共发放贷款共9笔890万，其中个贷7笔190万，小微企业贷款2笔700万。扶持自主创业9人，带动就业80余人。三是截止目前，已完成北京、天津劳务输出1850人，占年任务的100%。</w:t>
      </w:r>
    </w:p>
    <w:p w14:paraId="64F5D8C3">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w:t>
      </w:r>
      <w:r>
        <w:rPr>
          <w:rFonts w:hint="eastAsia" w:ascii="方正仿宋简体" w:hAnsi="方正仿宋简体" w:eastAsia="方正仿宋简体" w:cs="方正仿宋简体"/>
          <w:color w:val="auto"/>
          <w:position w:val="0"/>
          <w:sz w:val="32"/>
          <w:szCs w:val="32"/>
          <w:lang w:val="en-US" w:eastAsia="zh-CN"/>
        </w:rPr>
        <w:t>3</w:t>
      </w:r>
      <w:r>
        <w:rPr>
          <w:rFonts w:hint="default" w:ascii="方正仿宋简体" w:hAnsi="方正仿宋简体" w:eastAsia="方正仿宋简体" w:cs="方正仿宋简体"/>
          <w:color w:val="auto"/>
          <w:position w:val="0"/>
          <w:sz w:val="32"/>
          <w:szCs w:val="32"/>
        </w:rPr>
        <w:t>）社会保险工作</w:t>
      </w:r>
    </w:p>
    <w:p w14:paraId="6DDF3552">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eastAsia" w:ascii="方正仿宋简体" w:hAnsi="方正仿宋简体" w:eastAsia="方正仿宋简体" w:cs="方正仿宋简体"/>
          <w:color w:val="auto"/>
          <w:position w:val="0"/>
          <w:sz w:val="32"/>
          <w:szCs w:val="32"/>
          <w:lang w:val="en-US" w:eastAsia="zh-CN"/>
        </w:rPr>
      </w:pPr>
      <w:r>
        <w:rPr>
          <w:rFonts w:hint="eastAsia" w:ascii="方正仿宋简体" w:hAnsi="方正仿宋简体" w:eastAsia="方正仿宋简体" w:cs="方正仿宋简体"/>
          <w:sz w:val="32"/>
          <w:szCs w:val="32"/>
          <w:highlight w:val="none"/>
          <w:lang w:val="en-US" w:eastAsia="zh-CN"/>
        </w:rPr>
        <w:t>一是企业养老参保人数</w:t>
      </w:r>
      <w:r>
        <w:rPr>
          <w:rFonts w:hint="eastAsia" w:ascii="方正仿宋简体" w:hAnsi="方正仿宋简体" w:eastAsia="方正仿宋简体" w:cs="方正仿宋简体"/>
          <w:sz w:val="32"/>
          <w:szCs w:val="32"/>
        </w:rPr>
        <w:t>21</w:t>
      </w:r>
      <w:r>
        <w:rPr>
          <w:rFonts w:hint="eastAsia" w:ascii="方正仿宋简体" w:hAnsi="方正仿宋简体" w:eastAsia="方正仿宋简体" w:cs="方正仿宋简体"/>
          <w:sz w:val="32"/>
          <w:szCs w:val="32"/>
          <w:lang w:val="en-US" w:eastAsia="zh-CN"/>
        </w:rPr>
        <w:t>676</w:t>
      </w:r>
      <w:r>
        <w:rPr>
          <w:rFonts w:hint="eastAsia" w:ascii="方正仿宋简体" w:hAnsi="方正仿宋简体" w:eastAsia="方正仿宋简体" w:cs="方正仿宋简体"/>
          <w:sz w:val="32"/>
          <w:szCs w:val="32"/>
          <w:highlight w:val="none"/>
          <w:lang w:val="en-US" w:eastAsia="zh-CN"/>
        </w:rPr>
        <w:t>人，失业保险参保人数</w:t>
      </w:r>
      <w:r>
        <w:rPr>
          <w:rFonts w:hint="eastAsia" w:ascii="方正仿宋简体" w:hAnsi="方正仿宋简体" w:eastAsia="方正仿宋简体" w:cs="方正仿宋简体"/>
          <w:sz w:val="32"/>
          <w:szCs w:val="32"/>
          <w:lang w:val="en-US" w:eastAsia="zh-CN"/>
        </w:rPr>
        <w:t>16432</w:t>
      </w:r>
      <w:r>
        <w:rPr>
          <w:rFonts w:hint="eastAsia" w:ascii="方正仿宋简体" w:hAnsi="方正仿宋简体" w:eastAsia="方正仿宋简体" w:cs="方正仿宋简体"/>
          <w:sz w:val="32"/>
          <w:szCs w:val="32"/>
          <w:highlight w:val="none"/>
          <w:lang w:val="en-US" w:eastAsia="zh-CN"/>
        </w:rPr>
        <w:t>人，工伤保险参保人数</w:t>
      </w:r>
      <w:r>
        <w:rPr>
          <w:rFonts w:hint="eastAsia" w:ascii="方正仿宋简体" w:hAnsi="方正仿宋简体" w:eastAsia="方正仿宋简体" w:cs="方正仿宋简体"/>
          <w:sz w:val="32"/>
          <w:szCs w:val="32"/>
          <w:lang w:val="en-US" w:eastAsia="zh-CN"/>
        </w:rPr>
        <w:t>26335</w:t>
      </w:r>
      <w:r>
        <w:rPr>
          <w:rFonts w:hint="eastAsia" w:ascii="方正仿宋简体" w:hAnsi="方正仿宋简体" w:eastAsia="方正仿宋简体" w:cs="方正仿宋简体"/>
          <w:sz w:val="32"/>
          <w:szCs w:val="32"/>
          <w:highlight w:val="none"/>
          <w:lang w:val="en-US" w:eastAsia="zh-CN"/>
        </w:rPr>
        <w:t>人，机关养老保险参保人数6678人，城乡养老参保人数144277人。二是发放企业职工养老保险待遇人员10951人；机关养老待遇发放64788人次；城乡居民养老保险待遇发放768670人；工伤保险待遇共支付94.41万元。三是失业保险金共计发放414.88万元，惠及失业人员2571人，技能提升补贴发放452人合计73.3万元，稳岗返还企业608家</w:t>
      </w:r>
      <w:r>
        <w:rPr>
          <w:rFonts w:hint="eastAsia" w:ascii="方正仿宋简体" w:hAnsi="方正仿宋简体" w:eastAsia="方正仿宋简体" w:cs="方正仿宋简体"/>
          <w:color w:val="auto"/>
          <w:position w:val="0"/>
          <w:sz w:val="32"/>
          <w:szCs w:val="32"/>
          <w:lang w:val="en-US" w:eastAsia="zh-CN"/>
        </w:rPr>
        <w:t>，发放资金225.14万元。四是接收征地项目10个批次，涉及被征地农民2328人，落实被征地农民参保补贴103人，共落实参保补贴557.42万元。</w:t>
      </w:r>
    </w:p>
    <w:p w14:paraId="009A6D94">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w:t>
      </w:r>
      <w:r>
        <w:rPr>
          <w:rFonts w:hint="eastAsia" w:ascii="方正仿宋简体" w:hAnsi="方正仿宋简体" w:eastAsia="方正仿宋简体" w:cs="方正仿宋简体"/>
          <w:color w:val="auto"/>
          <w:position w:val="0"/>
          <w:sz w:val="32"/>
          <w:szCs w:val="32"/>
          <w:lang w:val="en-US" w:eastAsia="zh-CN"/>
        </w:rPr>
        <w:t>4</w:t>
      </w:r>
      <w:r>
        <w:rPr>
          <w:rFonts w:hint="default" w:ascii="方正仿宋简体" w:hAnsi="方正仿宋简体" w:eastAsia="方正仿宋简体" w:cs="方正仿宋简体"/>
          <w:color w:val="auto"/>
          <w:position w:val="0"/>
          <w:sz w:val="32"/>
          <w:szCs w:val="32"/>
        </w:rPr>
        <w:t>）人事人才工作</w:t>
      </w:r>
    </w:p>
    <w:p w14:paraId="0CFC4F26">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eastAsia" w:ascii="方正仿宋简体" w:hAnsi="方正仿宋简体" w:eastAsia="方正仿宋简体" w:cs="方正仿宋简体"/>
          <w:color w:val="auto"/>
          <w:position w:val="0"/>
          <w:sz w:val="32"/>
          <w:szCs w:val="32"/>
          <w:lang w:eastAsia="zh-CN"/>
        </w:rPr>
      </w:pPr>
      <w:r>
        <w:rPr>
          <w:rFonts w:hint="default" w:ascii="方正仿宋简体" w:hAnsi="方正仿宋简体" w:eastAsia="方正仿宋简体" w:cs="方正仿宋简体"/>
          <w:color w:val="auto"/>
          <w:position w:val="0"/>
          <w:sz w:val="32"/>
          <w:szCs w:val="32"/>
        </w:rPr>
        <w:t>一是通过石家庄市事业单位公开招聘，招聘事业单位工作人员165名、引进“三支一扶”志愿者 3 名。二是精准征集急需岗位189个，并同步发布招聘公告；开展秋季校园专场招聘，现场提供优质岗位25个，收到简历60余份，解答政策咨询80余次、发放宣传手册100余本。三是为122名市人才绿卡B卡人才发放租房补贴153.65万元，为7名符合条件人才申请购房补贴55万元，为28名企业人才发放2024年度生活补贴12.8万元。四是</w:t>
      </w:r>
      <w:r>
        <w:rPr>
          <w:rFonts w:hint="eastAsia" w:ascii="方正仿宋简体" w:hAnsi="方正仿宋简体" w:eastAsia="方正仿宋简体" w:cs="方正仿宋简体"/>
          <w:color w:val="auto"/>
          <w:position w:val="0"/>
          <w:sz w:val="32"/>
          <w:szCs w:val="32"/>
          <w:lang w:eastAsia="zh-CN"/>
        </w:rPr>
        <w:t>申报</w:t>
      </w:r>
      <w:r>
        <w:rPr>
          <w:rFonts w:hint="default" w:ascii="方正仿宋简体" w:hAnsi="方正仿宋简体" w:eastAsia="方正仿宋简体" w:cs="方正仿宋简体"/>
          <w:color w:val="auto"/>
          <w:position w:val="0"/>
          <w:sz w:val="32"/>
          <w:szCs w:val="32"/>
        </w:rPr>
        <w:t>初级职称考核认定192人、中级职称申报评审362人、高级职称申报评审205人</w:t>
      </w:r>
      <w:r>
        <w:rPr>
          <w:rFonts w:hint="eastAsia" w:ascii="方正仿宋简体" w:hAnsi="方正仿宋简体" w:eastAsia="方正仿宋简体" w:cs="方正仿宋简体"/>
          <w:color w:val="auto"/>
          <w:position w:val="0"/>
          <w:sz w:val="32"/>
          <w:szCs w:val="32"/>
          <w:lang w:eastAsia="zh-CN"/>
        </w:rPr>
        <w:t>。</w:t>
      </w:r>
    </w:p>
    <w:p w14:paraId="11BCC168">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w:t>
      </w:r>
      <w:r>
        <w:rPr>
          <w:rFonts w:hint="eastAsia" w:ascii="方正仿宋简体" w:hAnsi="方正仿宋简体" w:eastAsia="方正仿宋简体" w:cs="方正仿宋简体"/>
          <w:color w:val="auto"/>
          <w:position w:val="0"/>
          <w:sz w:val="32"/>
          <w:szCs w:val="32"/>
          <w:lang w:val="en-US" w:eastAsia="zh-CN"/>
        </w:rPr>
        <w:t>5</w:t>
      </w:r>
      <w:r>
        <w:rPr>
          <w:rFonts w:hint="default" w:ascii="方正仿宋简体" w:hAnsi="方正仿宋简体" w:eastAsia="方正仿宋简体" w:cs="方正仿宋简体"/>
          <w:color w:val="auto"/>
          <w:position w:val="0"/>
          <w:sz w:val="32"/>
          <w:szCs w:val="32"/>
        </w:rPr>
        <w:t>）根治欠薪</w:t>
      </w:r>
    </w:p>
    <w:p w14:paraId="46C1B1D3">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一是截止12月上旬，共为2158人追回工资1964.72万元。二是向56个工程项目征缴农民工工资保证金4858.08万元。通过专户代发21984人次工资15132.28万元。应急周转金500万元足额列支。三是下达4份行政处罚，共计罚款10.814万元；向社会公布1起重大劳动保障违法行为；向公安机关移交案件9起。四是654家用人单位参加年审，其中168家事业单位，486家企业。60家企业被评为A级，426家企业被评为B级。</w:t>
      </w:r>
    </w:p>
    <w:p w14:paraId="41B69F9A">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w:t>
      </w:r>
      <w:r>
        <w:rPr>
          <w:rFonts w:hint="eastAsia" w:ascii="方正仿宋简体" w:hAnsi="方正仿宋简体" w:eastAsia="方正仿宋简体" w:cs="方正仿宋简体"/>
          <w:color w:val="auto"/>
          <w:position w:val="0"/>
          <w:sz w:val="32"/>
          <w:szCs w:val="32"/>
          <w:lang w:val="en-US" w:eastAsia="zh-CN"/>
        </w:rPr>
        <w:t>6</w:t>
      </w:r>
      <w:r>
        <w:rPr>
          <w:rFonts w:hint="default" w:ascii="方正仿宋简体" w:hAnsi="方正仿宋简体" w:eastAsia="方正仿宋简体" w:cs="方正仿宋简体"/>
          <w:color w:val="auto"/>
          <w:position w:val="0"/>
          <w:sz w:val="32"/>
          <w:szCs w:val="32"/>
        </w:rPr>
        <w:t>）劳动仲裁</w:t>
      </w:r>
    </w:p>
    <w:p w14:paraId="7C3F681E">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一是成立全市人社系统首家劳动争议公益法律服务工作站，并荣获由河北省人力资源和社会保障厅、河北省司法厅等6部门联合评定的“2024年度工作突出劳动人事争议调解组织”称号。已接待劳动者500余人次，面向县域11家企业开展了劳动法律培训和劳动用工法律体检服务。二是联合县总工会设立工会法律服务工作站，立案前化解纠纷30余起；联合县法院执行局建立裁执联动机制，已处理1件20余万元执行案件。三是办结信访案件36件、12345热线工单47条。</w:t>
      </w:r>
    </w:p>
    <w:p w14:paraId="18226864">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3.工作保障措施</w:t>
      </w:r>
    </w:p>
    <w:p w14:paraId="55D959C4">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（1）加强制度建设，奠定绩效目标实现基础</w:t>
      </w:r>
    </w:p>
    <w:p w14:paraId="6F08EAB9">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严格落实《中华人民共和国预算法》等法规制度要求，结合部门实际，将绩效管理、资金支付进度、资金细化分解、转移支付资金下达、绩效自评等要求充实到各项规章制度中，严格资产登记使用、报废处置等审批程序权限，进一步健全完善预算绩效实现保障制度，为顺利实现全面预算绩效目标奠定基础。</w:t>
      </w:r>
    </w:p>
    <w:p w14:paraId="5D4D12B8">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（2）加强监督监管，确保资金安全效益</w:t>
      </w:r>
    </w:p>
    <w:p w14:paraId="5F610832">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健全绩效目标指标监测评估机制，开展绩效目标指标中期评估和总结评估，加强重点项目目标指标实施管理。一是落实资金管理责任。二是做好绩效自评。按规定开展上年度预算绩效自评和重点评价，充分运用绩效自评结果，为编制下一年度预算提供支撑。三是扎实开展中期评估。结合预算绩效目标指标设定情况，对资金开展中期评估，及时发现问题制定措施，加快预算绩效目标指标实现。四是做好内审外审结合，助力预算绩效实现。强化内部审计职能，内部审计工作与项目资金绩效评价相结合，实现项目资金监管全覆盖。内部审计与县审计局审计相配合，进一步加大资金监管力度，确保支出合法合规，资金有效安全。</w:t>
      </w:r>
    </w:p>
    <w:p w14:paraId="39677A1C">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（3）加强队伍建设，促进绩效目标指标实现</w:t>
      </w:r>
    </w:p>
    <w:p w14:paraId="64DC62BC">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加强人力资源社会保障系统干部队伍和作风建设。认真落实新时代好干部标准，强化人员教育培训，提高干部能力素质和业务水平，满足业务范围不断扩大、服务层级不断下延、服务对象不断增多、工作总量快速上升的事业发展需求。一是加大宣传力度，强化绩效约束意识，提高预算绩效认识，促进围绕绩效目标实现开展工作。二是加强廉政建设，强化廉政风险点控制，有针对性地建立健全各项预防措施，着力打造一支廉洁、勤政、务实、高效的人力资源社会保障干部队伍，有效保障资金安全，确保预算绩效目标实现。三是加强平时考核和目标绩效考核，大力培树先进典型，营造争先工作氛围，加快预算绩效目标完成。</w:t>
      </w:r>
    </w:p>
    <w:p w14:paraId="004F4E43">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5C80A12F">
      <w:pPr>
        <w:keepNext w:val="0"/>
        <w:keepLines w:val="0"/>
        <w:pageBreakBefore w:val="0"/>
        <w:kinsoku/>
        <w:overflowPunct/>
        <w:topLinePunct w:val="0"/>
        <w:autoSpaceDE/>
        <w:autoSpaceDN/>
        <w:bidi w:val="0"/>
        <w:spacing w:line="560" w:lineRule="exact"/>
        <w:ind w:firstLine="640" w:firstLineChars="200"/>
        <w:textAlignment w:val="auto"/>
        <w:rPr>
          <w:rFonts w:ascii="楷体" w:hAnsi="楷体" w:eastAsia="楷体" w:cs="楷体_GB2312"/>
          <w:sz w:val="32"/>
          <w:szCs w:val="32"/>
        </w:rPr>
      </w:pPr>
      <w:r>
        <w:rPr>
          <w:rFonts w:hint="eastAsia" w:ascii="楷体" w:hAnsi="楷体" w:eastAsia="楷体" w:cs="楷体_GB2312"/>
          <w:bCs/>
          <w:sz w:val="32"/>
          <w:szCs w:val="32"/>
        </w:rPr>
        <w:t>（一）自评的组织工作</w:t>
      </w:r>
    </w:p>
    <w:p w14:paraId="4FE4302E">
      <w:pPr>
        <w:keepNext w:val="0"/>
        <w:keepLines w:val="0"/>
        <w:pageBreakBefore w:val="0"/>
        <w:kinsoku/>
        <w:overflowPunct/>
        <w:topLinePunct w:val="0"/>
        <w:autoSpaceDE/>
        <w:autoSpaceDN/>
        <w:bidi w:val="0"/>
        <w:spacing w:line="560" w:lineRule="exact"/>
        <w:ind w:firstLine="640" w:firstLineChars="200"/>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认真组织，贯彻落实。根据《井陉县县级部门项目绩效自评管理办法》（井财</w:t>
      </w:r>
      <w:r>
        <w:rPr>
          <w:rFonts w:hint="eastAsia" w:ascii="方正仿宋简体" w:hAnsi="方正仿宋简体" w:eastAsia="方正仿宋简体" w:cs="方正仿宋简体"/>
          <w:color w:val="000000"/>
          <w:kern w:val="0"/>
          <w:sz w:val="32"/>
          <w:szCs w:val="32"/>
        </w:rPr>
        <w:t>〔</w:t>
      </w:r>
      <w:r>
        <w:rPr>
          <w:rFonts w:hint="default" w:ascii="方正仿宋简体" w:hAnsi="方正仿宋简体" w:eastAsia="方正仿宋简体" w:cs="方正仿宋简体"/>
          <w:color w:val="auto"/>
          <w:position w:val="0"/>
          <w:sz w:val="32"/>
          <w:szCs w:val="32"/>
        </w:rPr>
        <w:t>202</w:t>
      </w:r>
      <w:r>
        <w:rPr>
          <w:rFonts w:hint="eastAsia" w:ascii="方正仿宋简体" w:hAnsi="方正仿宋简体" w:eastAsia="方正仿宋简体" w:cs="方正仿宋简体"/>
          <w:color w:val="auto"/>
          <w:position w:val="0"/>
          <w:sz w:val="32"/>
          <w:szCs w:val="32"/>
          <w:lang w:val="en-US" w:eastAsia="zh-CN"/>
        </w:rPr>
        <w:t>5</w:t>
      </w:r>
      <w:r>
        <w:rPr>
          <w:rFonts w:hint="eastAsia" w:ascii="方正仿宋简体" w:hAnsi="方正仿宋简体" w:eastAsia="方正仿宋简体" w:cs="方正仿宋简体"/>
          <w:color w:val="000000"/>
          <w:kern w:val="0"/>
          <w:sz w:val="32"/>
          <w:szCs w:val="32"/>
        </w:rPr>
        <w:t>〕</w:t>
      </w:r>
      <w:r>
        <w:rPr>
          <w:rFonts w:hint="eastAsia" w:ascii="方正仿宋简体" w:hAnsi="方正仿宋简体" w:eastAsia="方正仿宋简体" w:cs="方正仿宋简体"/>
          <w:color w:val="auto"/>
          <w:position w:val="0"/>
          <w:sz w:val="32"/>
          <w:szCs w:val="32"/>
          <w:lang w:val="en-US" w:eastAsia="zh-CN"/>
        </w:rPr>
        <w:t>3</w:t>
      </w:r>
      <w:r>
        <w:rPr>
          <w:rFonts w:hint="default" w:ascii="方正仿宋简体" w:hAnsi="方正仿宋简体" w:eastAsia="方正仿宋简体" w:cs="方正仿宋简体"/>
          <w:color w:val="auto"/>
          <w:position w:val="0"/>
          <w:sz w:val="32"/>
          <w:szCs w:val="32"/>
        </w:rPr>
        <w:t>号）文件精神，成立了由局财务和相关业科室、局属单位财务组成的专项资金绩效自评工作小组。绩效评价工作按照“谁使用、谁评价”的原则，由各相关科室和局属单位及时做好评价工作，局财务做好汇总审核工作。</w:t>
      </w:r>
    </w:p>
    <w:p w14:paraId="7EA57B47">
      <w:pPr>
        <w:keepNext w:val="0"/>
        <w:keepLines w:val="0"/>
        <w:pageBreakBefore w:val="0"/>
        <w:kinsoku/>
        <w:overflowPunct/>
        <w:topLinePunct w:val="0"/>
        <w:autoSpaceDE/>
        <w:autoSpaceDN/>
        <w:bidi w:val="0"/>
        <w:spacing w:line="560" w:lineRule="exact"/>
        <w:ind w:firstLine="640" w:firstLineChars="200"/>
        <w:textAlignment w:val="auto"/>
        <w:rPr>
          <w:rFonts w:ascii="楷体" w:hAnsi="楷体" w:eastAsia="楷体" w:cs="楷体_GB2312"/>
          <w:bCs/>
          <w:sz w:val="32"/>
          <w:szCs w:val="32"/>
        </w:rPr>
      </w:pPr>
      <w:r>
        <w:rPr>
          <w:rFonts w:hint="eastAsia" w:ascii="方正仿宋简体" w:hAnsi="方正仿宋简体" w:eastAsia="方正仿宋简体" w:cs="方正仿宋简体"/>
          <w:color w:val="auto"/>
          <w:position w:val="0"/>
          <w:sz w:val="32"/>
          <w:szCs w:val="32"/>
          <w:lang w:eastAsia="zh-CN"/>
        </w:rPr>
        <w:t>（二）</w:t>
      </w:r>
      <w:r>
        <w:rPr>
          <w:rFonts w:hint="eastAsia" w:ascii="楷体" w:hAnsi="楷体" w:eastAsia="楷体" w:cs="楷体_GB2312"/>
          <w:bCs/>
          <w:sz w:val="32"/>
          <w:szCs w:val="32"/>
        </w:rPr>
        <w:t>自评的方法和过程</w:t>
      </w:r>
    </w:p>
    <w:p w14:paraId="03C4DCBF">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pPr>
      <w:r>
        <w:rPr>
          <w:rFonts w:hint="default" w:ascii="方正仿宋简体" w:hAnsi="方正仿宋简体" w:eastAsia="方正仿宋简体" w:cs="方正仿宋简体"/>
          <w:color w:val="auto"/>
          <w:position w:val="0"/>
          <w:sz w:val="32"/>
          <w:szCs w:val="32"/>
        </w:rPr>
        <w:t>精准实施，客观真实。绩效评价工作采取自行组织评价，工作小组由各相关科室和局属单位负责人等人员组成。依据项目各自的特点，根据年度指标值、指标分值、评分标准等，分别定量和定性指标，逐项计算产出指标、效益指标、满意度指标各项的分值，客观评价各项目的绩效目标完成情况。</w:t>
      </w:r>
    </w:p>
    <w:p w14:paraId="10063363">
      <w:pPr>
        <w:keepNext w:val="0"/>
        <w:keepLines w:val="0"/>
        <w:pageBreakBefore w:val="0"/>
        <w:kinsoku/>
        <w:overflowPunct/>
        <w:topLinePunct w:val="0"/>
        <w:autoSpaceDE/>
        <w:autoSpaceDN/>
        <w:bidi w:val="0"/>
        <w:spacing w:line="560" w:lineRule="exact"/>
        <w:ind w:firstLine="640" w:firstLineChars="200"/>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9F2FBDB">
      <w:pPr>
        <w:keepNext w:val="0"/>
        <w:keepLines w:val="0"/>
        <w:pageBreakBefore w:val="0"/>
        <w:numPr>
          <w:ilvl w:val="0"/>
          <w:numId w:val="1"/>
        </w:numPr>
        <w:kinsoku/>
        <w:overflowPunct/>
        <w:topLinePunct w:val="0"/>
        <w:autoSpaceDE/>
        <w:autoSpaceDN/>
        <w:bidi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EE8634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进一步强化绩效目标意识，制定行之有效的保障措施，对照目标考核要求，全面完成规定的绩效目标任务，最大限度</w:t>
      </w:r>
      <w:r>
        <w:rPr>
          <w:rFonts w:hint="eastAsia" w:ascii="方正仿宋简体" w:hAnsi="方正仿宋简体" w:eastAsia="方正仿宋简体" w:cs="方正仿宋简体"/>
          <w:color w:val="auto"/>
          <w:position w:val="0"/>
          <w:sz w:val="32"/>
          <w:szCs w:val="32"/>
          <w:lang w:val="en-US" w:eastAsia="zh-CN"/>
        </w:rPr>
        <w:t>地</w:t>
      </w:r>
      <w:r>
        <w:rPr>
          <w:rFonts w:hint="default" w:ascii="方正仿宋简体" w:hAnsi="方正仿宋简体" w:eastAsia="方正仿宋简体" w:cs="方正仿宋简体"/>
          <w:color w:val="auto"/>
          <w:position w:val="0"/>
          <w:sz w:val="32"/>
          <w:szCs w:val="32"/>
        </w:rPr>
        <w:t>促进地方经济发展。</w:t>
      </w:r>
    </w:p>
    <w:p w14:paraId="6937A9E9">
      <w:pPr>
        <w:keepNext w:val="0"/>
        <w:keepLines w:val="0"/>
        <w:pageBreakBefore w:val="0"/>
        <w:kinsoku/>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59E0D3FF">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1、就业比较充分质量更高。就业规模持续扩大，就业结构更加合理，化解过剩产能职工得到有效安置，统一规范灵活的人力资源市场体系基本形成，公共就业创业服务能力有效提升，人力资源开发和职业技能培训水平明显提高，就业局势保持总体稳定。</w:t>
      </w:r>
    </w:p>
    <w:p w14:paraId="407AFAF1">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2、社会保障体系更加完善更可持续。推进社会保障制度改革，社会保障制度更加完善，基本实现法定人员全覆盖，建立社会保障待遇正常调整机制，稳步提高保障水平，确保基金安全可持续进行，经办管理服务规范高效。</w:t>
      </w:r>
    </w:p>
    <w:p w14:paraId="60F8E85B">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3、人才总体水平进一步提升。人才发展环境进一步优化，人才活力进一步激发，以高层次、高技能人才为重点的人才队伍规模不断扩大、素质不断提高、结构不断优化，为经济社会发展提供有力人才保障和智力支撑。</w:t>
      </w:r>
    </w:p>
    <w:p w14:paraId="40283947">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4、人事工资制度改革进一步深化。贯彻执行《事业单位人事管理条例》，形成符合事业单位特点、规范有序、充满活力的人事管理制度，人员调配政策体系进一步完善。进一步完善企业职工工资指导</w:t>
      </w:r>
      <w:r>
        <w:rPr>
          <w:rFonts w:hint="eastAsia" w:ascii="方正仿宋简体" w:hAnsi="方正仿宋简体" w:eastAsia="方正仿宋简体" w:cs="方正仿宋简体"/>
          <w:color w:val="auto"/>
          <w:position w:val="0"/>
          <w:sz w:val="32"/>
          <w:szCs w:val="32"/>
          <w:lang w:val="en-US" w:eastAsia="zh-CN"/>
        </w:rPr>
        <w:t>线</w:t>
      </w:r>
      <w:r>
        <w:rPr>
          <w:rFonts w:hint="default" w:ascii="方正仿宋简体" w:hAnsi="方正仿宋简体" w:eastAsia="方正仿宋简体" w:cs="方正仿宋简体"/>
          <w:color w:val="auto"/>
          <w:position w:val="0"/>
          <w:sz w:val="32"/>
          <w:szCs w:val="32"/>
        </w:rPr>
        <w:t>办法，完善事业单位工资制度，建立健全工资正常调整机制。</w:t>
      </w:r>
    </w:p>
    <w:p w14:paraId="234C6DA0">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5、劳动关系和谐稳定。依法规范用工管理，加大对劳动合同制度实施的指导和监督。加强劳动保障监察执法能力建设，推进劳动保障监察行政执法体制改革和执法行为标准化、执法程序规范化、执法队伍正规化。</w:t>
      </w:r>
    </w:p>
    <w:p w14:paraId="6E04AFA0">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6、基本公共服务能力显著提升。实现基层人力资源和社会保障公共服务平台标准化建设，服务设施更加完善，信息网络互联互通，服务流程科学规范，队伍素质持续提升，服务水平显著提高。</w:t>
      </w:r>
    </w:p>
    <w:p w14:paraId="5D4A3068">
      <w:pPr>
        <w:keepNext w:val="0"/>
        <w:keepLines w:val="0"/>
        <w:pageBreakBefore w:val="0"/>
        <w:kinsoku/>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36B82BD5">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根据我部门职责定位和各项工作履职情况进行综合评价，202</w:t>
      </w:r>
      <w:r>
        <w:rPr>
          <w:rFonts w:hint="eastAsia" w:ascii="方正仿宋简体" w:hAnsi="方正仿宋简体" w:eastAsia="方正仿宋简体" w:cs="方正仿宋简体"/>
          <w:color w:val="auto"/>
          <w:position w:val="0"/>
          <w:sz w:val="32"/>
          <w:szCs w:val="32"/>
          <w:lang w:val="en-US" w:eastAsia="zh-CN"/>
        </w:rPr>
        <w:t>5</w:t>
      </w:r>
      <w:r>
        <w:rPr>
          <w:rFonts w:hint="default" w:ascii="方正仿宋简体" w:hAnsi="方正仿宋简体" w:eastAsia="方正仿宋简体" w:cs="方正仿宋简体"/>
          <w:color w:val="auto"/>
          <w:position w:val="0"/>
          <w:sz w:val="32"/>
          <w:szCs w:val="32"/>
        </w:rPr>
        <w:t>年总得分为97分，评价等级为优秀。</w:t>
      </w:r>
    </w:p>
    <w:p w14:paraId="77FA3098">
      <w:pPr>
        <w:keepNext w:val="0"/>
        <w:keepLines w:val="0"/>
        <w:pageBreakBefore w:val="0"/>
        <w:kinsoku/>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3F3E04E7">
      <w:pPr>
        <w:keepNext w:val="0"/>
        <w:keepLines w:val="0"/>
        <w:pageBreakBefore w:val="0"/>
        <w:kinsoku/>
        <w:overflowPunct/>
        <w:topLinePunct w:val="0"/>
        <w:autoSpaceDE/>
        <w:autoSpaceDN/>
        <w:bidi w:val="0"/>
        <w:spacing w:line="56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14:paraId="3E5C766B">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pPr>
      <w:r>
        <w:rPr>
          <w:rFonts w:hint="default" w:ascii="方正仿宋简体" w:hAnsi="方正仿宋简体" w:eastAsia="方正仿宋简体" w:cs="方正仿宋简体"/>
          <w:color w:val="auto"/>
          <w:position w:val="0"/>
          <w:sz w:val="32"/>
          <w:szCs w:val="32"/>
        </w:rPr>
        <w:t>项目的经济社会效益指标、可持续影响力指标难以量化评估。</w:t>
      </w:r>
    </w:p>
    <w:p w14:paraId="7D153458">
      <w:pPr>
        <w:keepNext w:val="0"/>
        <w:keepLines w:val="0"/>
        <w:pageBreakBefore w:val="0"/>
        <w:numPr>
          <w:ilvl w:val="0"/>
          <w:numId w:val="1"/>
        </w:numPr>
        <w:kinsoku/>
        <w:overflowPunct/>
        <w:topLinePunct w:val="0"/>
        <w:autoSpaceDE/>
        <w:autoSpaceDN/>
        <w:bidi w:val="0"/>
        <w:spacing w:line="560" w:lineRule="exact"/>
        <w:ind w:left="0" w:leftChars="0" w:firstLine="640" w:firstLineChars="200"/>
        <w:textAlignment w:val="auto"/>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6C9F6403">
      <w:pPr>
        <w:keepNext w:val="0"/>
        <w:keepLines w:val="0"/>
        <w:pageBreakBefore w:val="0"/>
        <w:widowControl/>
        <w:numPr>
          <w:ilvl w:val="0"/>
          <w:numId w:val="0"/>
        </w:numPr>
        <w:kinsoku/>
        <w:wordWrap/>
        <w:overflowPunct/>
        <w:topLinePunct w:val="0"/>
        <w:autoSpaceDE/>
        <w:autoSpaceDN/>
        <w:bidi w:val="0"/>
        <w:adjustRightInd/>
        <w:snapToGrid w:val="0"/>
        <w:spacing w:before="0" w:after="0" w:line="560" w:lineRule="exact"/>
        <w:ind w:right="0" w:firstLine="640" w:firstLineChars="200"/>
        <w:jc w:val="both"/>
        <w:textAlignment w:val="auto"/>
        <w:rPr>
          <w:rFonts w:hint="default" w:ascii="方正仿宋简体" w:hAnsi="方正仿宋简体" w:eastAsia="方正仿宋简体" w:cs="方正仿宋简体"/>
          <w:color w:val="auto"/>
          <w:position w:val="0"/>
          <w:sz w:val="32"/>
          <w:szCs w:val="32"/>
        </w:rPr>
      </w:pPr>
      <w:r>
        <w:rPr>
          <w:rFonts w:hint="default" w:ascii="方正仿宋简体" w:hAnsi="方正仿宋简体" w:eastAsia="方正仿宋简体" w:cs="方正仿宋简体"/>
          <w:color w:val="auto"/>
          <w:position w:val="0"/>
          <w:sz w:val="32"/>
          <w:szCs w:val="32"/>
        </w:rPr>
        <w:t>制定项目管理办法，强化过程结果应用，项目绩效评价结果纳入股室（单位）目标考核内容。</w:t>
      </w:r>
    </w:p>
    <w:p w14:paraId="193B282D">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6"/>
        <w:tblW w:w="8571" w:type="dxa"/>
        <w:tblInd w:w="1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1"/>
        <w:gridCol w:w="4650"/>
        <w:gridCol w:w="2670"/>
      </w:tblGrid>
      <w:tr w14:paraId="57F18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1" w:type="dxa"/>
            <w:shd w:val="clear" w:color="auto" w:fill="auto"/>
            <w:vAlign w:val="top"/>
          </w:tcPr>
          <w:p w14:paraId="2FB7E99B">
            <w:pPr>
              <w:numPr>
                <w:ilvl w:val="0"/>
                <w:numId w:val="0"/>
              </w:numPr>
              <w:wordWrap w:val="0"/>
              <w:autoSpaceDE/>
              <w:autoSpaceDN/>
              <w:spacing w:before="0" w:after="0" w:line="560" w:lineRule="exact"/>
              <w:ind w:right="0" w:firstLine="0"/>
              <w:jc w:val="center"/>
              <w:rPr>
                <w:rFonts w:hint="eastAsia" w:ascii="方正仿宋简体" w:hAnsi="方正仿宋简体" w:eastAsia="方正仿宋简体" w:cs="方正仿宋简体"/>
                <w:b w:val="0"/>
                <w:color w:val="auto"/>
                <w:position w:val="0"/>
                <w:sz w:val="28"/>
                <w:szCs w:val="28"/>
              </w:rPr>
            </w:pPr>
            <w:r>
              <w:rPr>
                <w:rFonts w:hint="eastAsia" w:ascii="方正仿宋简体" w:hAnsi="方正仿宋简体" w:eastAsia="方正仿宋简体" w:cs="方正仿宋简体"/>
                <w:b w:val="0"/>
                <w:color w:val="auto"/>
                <w:position w:val="0"/>
                <w:sz w:val="28"/>
                <w:szCs w:val="28"/>
              </w:rPr>
              <w:t>姓名</w:t>
            </w:r>
          </w:p>
        </w:tc>
        <w:tc>
          <w:tcPr>
            <w:tcW w:w="4650" w:type="dxa"/>
            <w:shd w:val="clear" w:color="auto" w:fill="auto"/>
            <w:vAlign w:val="top"/>
          </w:tcPr>
          <w:p w14:paraId="61A2F418">
            <w:pPr>
              <w:numPr>
                <w:ilvl w:val="0"/>
                <w:numId w:val="0"/>
              </w:numPr>
              <w:wordWrap w:val="0"/>
              <w:autoSpaceDE/>
              <w:autoSpaceDN/>
              <w:spacing w:before="0" w:after="0" w:line="560" w:lineRule="exact"/>
              <w:ind w:right="0" w:firstLine="0"/>
              <w:jc w:val="center"/>
              <w:rPr>
                <w:rFonts w:hint="eastAsia" w:ascii="方正仿宋简体" w:hAnsi="方正仿宋简体" w:eastAsia="方正仿宋简体" w:cs="方正仿宋简体"/>
                <w:b w:val="0"/>
                <w:color w:val="auto"/>
                <w:position w:val="0"/>
                <w:sz w:val="28"/>
                <w:szCs w:val="28"/>
              </w:rPr>
            </w:pPr>
            <w:r>
              <w:rPr>
                <w:rFonts w:hint="eastAsia" w:ascii="方正仿宋简体" w:hAnsi="方正仿宋简体" w:eastAsia="方正仿宋简体" w:cs="方正仿宋简体"/>
                <w:b w:val="0"/>
                <w:color w:val="auto"/>
                <w:position w:val="0"/>
                <w:sz w:val="28"/>
                <w:szCs w:val="28"/>
              </w:rPr>
              <w:t>工作单位</w:t>
            </w:r>
          </w:p>
        </w:tc>
        <w:tc>
          <w:tcPr>
            <w:tcW w:w="2670" w:type="dxa"/>
            <w:shd w:val="clear" w:color="auto" w:fill="auto"/>
            <w:vAlign w:val="top"/>
          </w:tcPr>
          <w:p w14:paraId="45DA9003">
            <w:pPr>
              <w:numPr>
                <w:ilvl w:val="0"/>
                <w:numId w:val="0"/>
              </w:numPr>
              <w:wordWrap w:val="0"/>
              <w:autoSpaceDE/>
              <w:autoSpaceDN/>
              <w:spacing w:before="0" w:after="0" w:line="560" w:lineRule="exact"/>
              <w:ind w:right="0" w:firstLine="0"/>
              <w:jc w:val="center"/>
              <w:rPr>
                <w:rFonts w:hint="eastAsia" w:ascii="方正仿宋简体" w:hAnsi="方正仿宋简体" w:eastAsia="方正仿宋简体" w:cs="方正仿宋简体"/>
                <w:b w:val="0"/>
                <w:color w:val="auto"/>
                <w:position w:val="0"/>
                <w:sz w:val="28"/>
                <w:szCs w:val="28"/>
              </w:rPr>
            </w:pPr>
            <w:r>
              <w:rPr>
                <w:rFonts w:hint="eastAsia" w:ascii="方正仿宋简体" w:hAnsi="方正仿宋简体" w:eastAsia="方正仿宋简体" w:cs="方正仿宋简体"/>
                <w:b w:val="0"/>
                <w:color w:val="auto"/>
                <w:position w:val="0"/>
                <w:sz w:val="28"/>
                <w:szCs w:val="28"/>
              </w:rPr>
              <w:t>职务</w:t>
            </w:r>
          </w:p>
        </w:tc>
      </w:tr>
      <w:tr w14:paraId="0E5FD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1" w:type="dxa"/>
            <w:shd w:val="clear" w:color="auto" w:fill="auto"/>
            <w:vAlign w:val="top"/>
          </w:tcPr>
          <w:p w14:paraId="287F97EA">
            <w:pPr>
              <w:numPr>
                <w:ilvl w:val="0"/>
                <w:numId w:val="0"/>
              </w:numPr>
              <w:wordWrap w:val="0"/>
              <w:autoSpaceDE/>
              <w:autoSpaceDN/>
              <w:spacing w:before="0" w:after="0" w:line="560" w:lineRule="exact"/>
              <w:ind w:right="0" w:firstLine="0"/>
              <w:jc w:val="center"/>
              <w:rPr>
                <w:rFonts w:hint="eastAsia" w:ascii="方正仿宋简体" w:hAnsi="方正仿宋简体" w:eastAsia="方正仿宋简体" w:cs="方正仿宋简体"/>
                <w:b w:val="0"/>
                <w:color w:val="auto"/>
                <w:position w:val="0"/>
                <w:sz w:val="28"/>
                <w:szCs w:val="28"/>
                <w:lang w:eastAsia="zh-CN"/>
              </w:rPr>
            </w:pPr>
            <w:r>
              <w:rPr>
                <w:rFonts w:hint="eastAsia" w:ascii="方正仿宋简体" w:hAnsi="方正仿宋简体" w:eastAsia="方正仿宋简体" w:cs="方正仿宋简体"/>
                <w:b w:val="0"/>
                <w:color w:val="auto"/>
                <w:position w:val="0"/>
                <w:sz w:val="28"/>
                <w:szCs w:val="28"/>
                <w:lang w:eastAsia="zh-CN"/>
              </w:rPr>
              <w:t>尹俊芳</w:t>
            </w:r>
          </w:p>
        </w:tc>
        <w:tc>
          <w:tcPr>
            <w:tcW w:w="4650" w:type="dxa"/>
            <w:shd w:val="clear" w:color="auto" w:fill="auto"/>
            <w:vAlign w:val="top"/>
          </w:tcPr>
          <w:p w14:paraId="649DB064">
            <w:pPr>
              <w:numPr>
                <w:ilvl w:val="0"/>
                <w:numId w:val="0"/>
              </w:numPr>
              <w:wordWrap w:val="0"/>
              <w:autoSpaceDE/>
              <w:autoSpaceDN/>
              <w:spacing w:before="0" w:after="0" w:line="560" w:lineRule="exact"/>
              <w:ind w:right="0" w:firstLine="0"/>
              <w:jc w:val="center"/>
              <w:rPr>
                <w:rFonts w:hint="eastAsia" w:ascii="方正仿宋简体" w:hAnsi="方正仿宋简体" w:eastAsia="方正仿宋简体" w:cs="方正仿宋简体"/>
                <w:b w:val="0"/>
                <w:color w:val="auto"/>
                <w:position w:val="0"/>
                <w:sz w:val="28"/>
                <w:szCs w:val="28"/>
              </w:rPr>
            </w:pPr>
            <w:r>
              <w:rPr>
                <w:rFonts w:hint="eastAsia" w:ascii="方正仿宋简体" w:hAnsi="方正仿宋简体" w:eastAsia="方正仿宋简体" w:cs="方正仿宋简体"/>
                <w:b w:val="0"/>
                <w:color w:val="auto"/>
                <w:position w:val="0"/>
                <w:sz w:val="28"/>
                <w:szCs w:val="28"/>
              </w:rPr>
              <w:t>井陉县人力资源和社会保障局</w:t>
            </w:r>
          </w:p>
        </w:tc>
        <w:tc>
          <w:tcPr>
            <w:tcW w:w="2670" w:type="dxa"/>
            <w:shd w:val="clear" w:color="auto" w:fill="auto"/>
            <w:vAlign w:val="top"/>
          </w:tcPr>
          <w:p w14:paraId="74049D67">
            <w:pPr>
              <w:numPr>
                <w:ilvl w:val="0"/>
                <w:numId w:val="0"/>
              </w:numPr>
              <w:wordWrap w:val="0"/>
              <w:autoSpaceDE/>
              <w:autoSpaceDN/>
              <w:spacing w:before="0" w:after="0" w:line="560" w:lineRule="exact"/>
              <w:ind w:right="0" w:firstLine="0"/>
              <w:jc w:val="center"/>
              <w:rPr>
                <w:rFonts w:hint="eastAsia" w:ascii="方正仿宋简体" w:hAnsi="方正仿宋简体" w:eastAsia="方正仿宋简体" w:cs="方正仿宋简体"/>
                <w:b w:val="0"/>
                <w:color w:val="auto"/>
                <w:position w:val="0"/>
                <w:sz w:val="28"/>
                <w:szCs w:val="28"/>
              </w:rPr>
            </w:pPr>
            <w:r>
              <w:rPr>
                <w:rFonts w:hint="eastAsia" w:ascii="方正仿宋简体" w:hAnsi="方正仿宋简体" w:eastAsia="方正仿宋简体" w:cs="方正仿宋简体"/>
                <w:b w:val="0"/>
                <w:color w:val="auto"/>
                <w:position w:val="0"/>
                <w:sz w:val="28"/>
                <w:szCs w:val="28"/>
              </w:rPr>
              <w:t>副局长</w:t>
            </w:r>
          </w:p>
        </w:tc>
      </w:tr>
      <w:tr w14:paraId="5AD82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1" w:type="dxa"/>
            <w:shd w:val="clear" w:color="auto" w:fill="auto"/>
            <w:vAlign w:val="top"/>
          </w:tcPr>
          <w:p w14:paraId="05A07F96">
            <w:pPr>
              <w:numPr>
                <w:ilvl w:val="0"/>
                <w:numId w:val="0"/>
              </w:numPr>
              <w:wordWrap w:val="0"/>
              <w:autoSpaceDE/>
              <w:autoSpaceDN/>
              <w:spacing w:before="0" w:after="0" w:line="560" w:lineRule="exact"/>
              <w:ind w:right="0" w:firstLine="0"/>
              <w:jc w:val="center"/>
              <w:rPr>
                <w:rFonts w:hint="eastAsia" w:ascii="方正仿宋简体" w:hAnsi="方正仿宋简体" w:eastAsia="方正仿宋简体" w:cs="方正仿宋简体"/>
                <w:b w:val="0"/>
                <w:color w:val="auto"/>
                <w:position w:val="0"/>
                <w:sz w:val="28"/>
                <w:szCs w:val="28"/>
                <w:lang w:eastAsia="zh-CN"/>
              </w:rPr>
            </w:pPr>
            <w:r>
              <w:rPr>
                <w:rFonts w:hint="eastAsia" w:ascii="方正仿宋简体" w:hAnsi="方正仿宋简体" w:eastAsia="方正仿宋简体" w:cs="方正仿宋简体"/>
                <w:b w:val="0"/>
                <w:color w:val="auto"/>
                <w:position w:val="0"/>
                <w:sz w:val="28"/>
                <w:szCs w:val="28"/>
                <w:lang w:val="en-US" w:eastAsia="zh-CN"/>
              </w:rPr>
              <w:t>耿江杉</w:t>
            </w:r>
          </w:p>
        </w:tc>
        <w:tc>
          <w:tcPr>
            <w:tcW w:w="4650" w:type="dxa"/>
            <w:shd w:val="clear" w:color="auto" w:fill="auto"/>
            <w:vAlign w:val="top"/>
          </w:tcPr>
          <w:p w14:paraId="4B811F94">
            <w:pPr>
              <w:numPr>
                <w:ilvl w:val="0"/>
                <w:numId w:val="0"/>
              </w:numPr>
              <w:wordWrap w:val="0"/>
              <w:autoSpaceDE/>
              <w:autoSpaceDN/>
              <w:spacing w:before="0" w:after="0" w:line="560" w:lineRule="exact"/>
              <w:ind w:right="0" w:firstLine="0"/>
              <w:jc w:val="center"/>
              <w:rPr>
                <w:rFonts w:hint="eastAsia" w:ascii="方正仿宋简体" w:hAnsi="方正仿宋简体" w:eastAsia="方正仿宋简体" w:cs="方正仿宋简体"/>
                <w:b w:val="0"/>
                <w:color w:val="auto"/>
                <w:position w:val="0"/>
                <w:sz w:val="28"/>
                <w:szCs w:val="28"/>
              </w:rPr>
            </w:pPr>
            <w:r>
              <w:rPr>
                <w:rFonts w:hint="eastAsia" w:ascii="方正仿宋简体" w:hAnsi="方正仿宋简体" w:eastAsia="方正仿宋简体" w:cs="方正仿宋简体"/>
                <w:b w:val="0"/>
                <w:color w:val="auto"/>
                <w:position w:val="0"/>
                <w:sz w:val="28"/>
                <w:szCs w:val="28"/>
              </w:rPr>
              <w:t>井陉县人力资源和社会保障局</w:t>
            </w:r>
          </w:p>
        </w:tc>
        <w:tc>
          <w:tcPr>
            <w:tcW w:w="2670" w:type="dxa"/>
            <w:shd w:val="clear" w:color="auto" w:fill="auto"/>
            <w:vAlign w:val="top"/>
          </w:tcPr>
          <w:p w14:paraId="56DC4FBD">
            <w:pPr>
              <w:numPr>
                <w:ilvl w:val="0"/>
                <w:numId w:val="0"/>
              </w:numPr>
              <w:wordWrap w:val="0"/>
              <w:autoSpaceDE/>
              <w:autoSpaceDN/>
              <w:spacing w:before="0" w:after="0" w:line="560" w:lineRule="exact"/>
              <w:ind w:right="0" w:firstLine="0"/>
              <w:jc w:val="center"/>
              <w:rPr>
                <w:rFonts w:hint="eastAsia" w:ascii="方正仿宋简体" w:hAnsi="方正仿宋简体" w:eastAsia="方正仿宋简体" w:cs="方正仿宋简体"/>
                <w:b w:val="0"/>
                <w:color w:val="auto"/>
                <w:position w:val="0"/>
                <w:sz w:val="28"/>
                <w:szCs w:val="28"/>
              </w:rPr>
            </w:pPr>
            <w:r>
              <w:rPr>
                <w:rFonts w:hint="eastAsia" w:ascii="方正仿宋简体" w:hAnsi="方正仿宋简体" w:eastAsia="方正仿宋简体" w:cs="方正仿宋简体"/>
                <w:b w:val="0"/>
                <w:color w:val="auto"/>
                <w:position w:val="0"/>
                <w:sz w:val="28"/>
                <w:szCs w:val="28"/>
              </w:rPr>
              <w:t>工资福利股负责人</w:t>
            </w:r>
          </w:p>
        </w:tc>
      </w:tr>
    </w:tbl>
    <w:p w14:paraId="1A0DDF92">
      <w:pPr>
        <w:spacing w:line="560" w:lineRule="exact"/>
        <w:rPr>
          <w:rFonts w:ascii="仿宋" w:hAnsi="仿宋" w:eastAsia="仿宋"/>
        </w:rPr>
      </w:pPr>
    </w:p>
    <w:sectPr>
      <w:footerReference r:id="rId3" w:type="default"/>
      <w:pgSz w:w="11906" w:h="16838"/>
      <w:pgMar w:top="1587" w:right="1587" w:bottom="1587"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YQiHei-50S">
    <w:altName w:val="Segoe Print"/>
    <w:panose1 w:val="00000000000000000000"/>
    <w:charset w:val="00"/>
    <w:family w:val="auto"/>
    <w:pitch w:val="default"/>
    <w:sig w:usb0="00000000" w:usb1="00000000" w:usb2="00000000" w:usb3="00000000" w:csb0="00000000" w:csb1="00000000"/>
  </w:font>
  <w:font w:name="国标仿宋">
    <w:altName w:val="仿宋"/>
    <w:panose1 w:val="02000500000000000000"/>
    <w:charset w:val="86"/>
    <w:family w:val="auto"/>
    <w:pitch w:val="default"/>
    <w:sig w:usb0="00000000" w:usb1="00000000" w:usb2="00000016" w:usb3="00000000" w:csb0="00060007" w:csb1="00000000"/>
  </w:font>
  <w:font w:name="方正小标宋简体">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方正仿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00"/>
    <w:family w:val="modern"/>
    <w:pitch w:val="default"/>
    <w:sig w:usb0="00000000" w:usb1="00000000" w:usb2="00000000" w:usb3="00000000" w:csb0="00040000" w:csb1="00000000"/>
  </w:font>
  <w:font w:name="DengXian-Regular">
    <w:altName w:val="宋体"/>
    <w:panose1 w:val="00000000000000000000"/>
    <w:charset w:val="00"/>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97FB2">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9FE4B7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9FE4B7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C79671A"/>
    <w:rsid w:val="0EB97A43"/>
    <w:rsid w:val="0EBD2122"/>
    <w:rsid w:val="0F214EAE"/>
    <w:rsid w:val="11B71E6A"/>
    <w:rsid w:val="1AAF0063"/>
    <w:rsid w:val="1BE140DE"/>
    <w:rsid w:val="248C197D"/>
    <w:rsid w:val="252959AF"/>
    <w:rsid w:val="267790F6"/>
    <w:rsid w:val="277A6671"/>
    <w:rsid w:val="292D35B7"/>
    <w:rsid w:val="31151E97"/>
    <w:rsid w:val="33EB6CFF"/>
    <w:rsid w:val="35A12947"/>
    <w:rsid w:val="37387040"/>
    <w:rsid w:val="3B0548E0"/>
    <w:rsid w:val="3B625C0A"/>
    <w:rsid w:val="3B7394A4"/>
    <w:rsid w:val="3CEE1963"/>
    <w:rsid w:val="3F6A3501"/>
    <w:rsid w:val="436B78D3"/>
    <w:rsid w:val="48B60C1B"/>
    <w:rsid w:val="4C9C27FE"/>
    <w:rsid w:val="512260B4"/>
    <w:rsid w:val="51C960B7"/>
    <w:rsid w:val="52BD6ACB"/>
    <w:rsid w:val="55537534"/>
    <w:rsid w:val="561A74F1"/>
    <w:rsid w:val="56FF2571"/>
    <w:rsid w:val="597244E8"/>
    <w:rsid w:val="5DF7AA80"/>
    <w:rsid w:val="5EB71C30"/>
    <w:rsid w:val="633FC484"/>
    <w:rsid w:val="66AF0CE5"/>
    <w:rsid w:val="66DF5679"/>
    <w:rsid w:val="6AA27932"/>
    <w:rsid w:val="6AC537CF"/>
    <w:rsid w:val="6E5B14A6"/>
    <w:rsid w:val="711B255E"/>
    <w:rsid w:val="736F435B"/>
    <w:rsid w:val="74C269A3"/>
    <w:rsid w:val="7AFF8B70"/>
    <w:rsid w:val="7B7F7225"/>
    <w:rsid w:val="7BB51E06"/>
    <w:rsid w:val="7BF60BDE"/>
    <w:rsid w:val="7C387F7C"/>
    <w:rsid w:val="7FE83423"/>
    <w:rsid w:val="7FF15254"/>
    <w:rsid w:val="7FFFD3F7"/>
    <w:rsid w:val="A9F7CFDE"/>
    <w:rsid w:val="AB651B2F"/>
    <w:rsid w:val="DDF7F611"/>
    <w:rsid w:val="E75D9857"/>
    <w:rsid w:val="ED825308"/>
    <w:rsid w:val="F5FD879F"/>
    <w:rsid w:val="F7BDF426"/>
    <w:rsid w:val="FADF8559"/>
    <w:rsid w:val="FDFFDED0"/>
    <w:rsid w:val="FFEFB4F5"/>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8"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6">
    <w:name w:val="Table Grid"/>
    <w:qFormat/>
    <w:uiPriority w:val="38"/>
    <w:pPr>
      <w:widowControl/>
      <w:wordWrap/>
      <w:autoSpaceDE/>
      <w:autoSpaceDN/>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Default"/>
    <w:basedOn w:val="1"/>
    <w:hidden/>
    <w:qFormat/>
    <w:uiPriority w:val="0"/>
    <w:pPr>
      <w:keepNext w:val="0"/>
      <w:keepLines w:val="0"/>
      <w:widowControl w:val="0"/>
      <w:suppressLineNumbers w:val="0"/>
      <w:autoSpaceDE w:val="0"/>
      <w:autoSpaceDN w:val="0"/>
      <w:adjustRightInd w:val="0"/>
      <w:spacing w:before="0" w:beforeAutospacing="0" w:after="0" w:afterAutospacing="0"/>
      <w:ind w:left="0" w:right="0"/>
      <w:jc w:val="left"/>
    </w:pPr>
    <w:rPr>
      <w:rFonts w:hint="default" w:ascii="HYQiHei-50S" w:hAnsi="Times New Roman" w:eastAsia="HYQiHei-50S" w:cs="Times New Roman"/>
      <w:color w:val="000000"/>
      <w:kern w:val="0"/>
      <w:sz w:val="24"/>
      <w:szCs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4302</Words>
  <Characters>4643</Characters>
  <Lines>4</Lines>
  <Paragraphs>1</Paragraphs>
  <TotalTime>4</TotalTime>
  <ScaleCrop>false</ScaleCrop>
  <LinksUpToDate>false</LinksUpToDate>
  <CharactersWithSpaces>4648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2020-02-06T11:46:00Z</dcterms:created>
  <dc:creator>欣欣大人</dc:creator>
  <cp:lastModifiedBy>Fiona</cp:lastModifiedBy>
  <cp:lastPrinted>2026-03-13T15:55:00Z</cp:lastPrinted>
  <dcterms:modified xsi:type="dcterms:W3CDTF">2026-04-28T08:05:49Z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74A4198CA13A4317B3AF683D12DA338C</vt:lpwstr>
  </property>
  <property fmtid="{D5CDD505-2E9C-101B-9397-08002B2CF9AE}" pid="4" name="KSOTemplateDocerSaveRecord">
    <vt:lpwstr>eyJoZGlkIjoiZmNlYjhkODkzODVhZDQxZTIyOGFkZGVhMzBkNTUzZmEiLCJ1c2VySWQiOiIyNDgyNjgxOTkifQ==</vt:lpwstr>
  </property>
</Properties>
</file>