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50C582">
      <w:pPr>
        <w:adjustRightInd w:val="0"/>
        <w:snapToGrid w:val="0"/>
        <w:spacing w:line="560" w:lineRule="exact"/>
        <w:rPr>
          <w:rFonts w:hint="eastAsia" w:ascii="黑体" w:hAnsi="黑体" w:eastAsia="黑体" w:cs="黑体"/>
          <w:sz w:val="32"/>
          <w:szCs w:val="32"/>
          <w:lang w:eastAsia="zh-CN"/>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29F0B5DD">
      <w:pPr>
        <w:spacing w:line="560" w:lineRule="exact"/>
        <w:jc w:val="center"/>
        <w:rPr>
          <w:rFonts w:ascii="宋体" w:hAnsi="宋体" w:cs="宋体"/>
          <w:b/>
          <w:bCs/>
          <w:sz w:val="44"/>
          <w:szCs w:val="44"/>
        </w:rPr>
      </w:pPr>
    </w:p>
    <w:p w14:paraId="183310D6">
      <w:pPr>
        <w:keepNext w:val="0"/>
        <w:keepLines w:val="0"/>
        <w:pageBreakBefore w:val="0"/>
        <w:widowControl w:val="0"/>
        <w:kinsoku/>
        <w:wordWrap/>
        <w:overflowPunct/>
        <w:topLinePunct w:val="0"/>
        <w:bidi w:val="0"/>
        <w:spacing w:line="700" w:lineRule="exact"/>
        <w:jc w:val="center"/>
        <w:rPr>
          <w:rFonts w:hint="eastAsia" w:ascii="宋体" w:hAnsi="宋体" w:cs="宋体"/>
          <w:b/>
          <w:bCs/>
          <w:sz w:val="44"/>
          <w:szCs w:val="44"/>
        </w:rPr>
      </w:pPr>
      <w:r>
        <w:rPr>
          <w:rFonts w:hint="eastAsia" w:ascii="宋体" w:hAnsi="宋体" w:cs="宋体"/>
          <w:b/>
          <w:bCs/>
          <w:sz w:val="44"/>
          <w:szCs w:val="44"/>
          <w:lang w:val="en-US" w:eastAsia="zh-CN"/>
        </w:rPr>
        <w:t>井陉县发展和改革局</w:t>
      </w:r>
      <w:r>
        <w:rPr>
          <w:rFonts w:hint="eastAsia" w:ascii="宋体" w:hAnsi="宋体" w:cs="宋体"/>
          <w:b/>
          <w:bCs/>
          <w:sz w:val="44"/>
          <w:szCs w:val="44"/>
        </w:rPr>
        <w:t>部门</w:t>
      </w:r>
    </w:p>
    <w:p w14:paraId="51652596">
      <w:pPr>
        <w:spacing w:line="560" w:lineRule="exact"/>
        <w:jc w:val="center"/>
        <w:rPr>
          <w:rFonts w:ascii="华文楷体" w:eastAsia="华文楷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B69F896">
      <w:pPr>
        <w:adjustRightInd w:val="0"/>
        <w:snapToGrid w:val="0"/>
        <w:spacing w:line="560" w:lineRule="exact"/>
        <w:ind w:firstLine="640" w:firstLineChars="200"/>
        <w:rPr>
          <w:rFonts w:hint="eastAsia" w:ascii="仿宋" w:hAnsi="仿宋" w:eastAsia="仿宋"/>
          <w:sz w:val="32"/>
          <w:szCs w:val="32"/>
        </w:rPr>
      </w:pPr>
    </w:p>
    <w:p w14:paraId="74C6300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井陉县发展和改革局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78C490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0734D1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7AB6EAB">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（1）拟订并组织实施全县国民经济和社会发展战略、中长期规划和年度计划。牵头组织统一规划体系建设。负责县级专项规划、区域规划、空间规划与全县发展规划的统筹衔接。</w:t>
      </w:r>
    </w:p>
    <w:p w14:paraId="7D7CF9FD">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（2）提出加快建设全县现代化经济体系、推动高质量发展的总体目标、重大任务以及相关政策。组织开展重大战略规划、重大政策、重大工程等的评估督导，提出相关调整建议。</w:t>
      </w:r>
    </w:p>
    <w:p w14:paraId="611B106E">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指导协调全县招投标工作。</w:t>
      </w:r>
    </w:p>
    <w:p w14:paraId="7A980DF3">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指导推进和综合协调经济体制改革有关工作，提出相关改革建议。牵头推进供给侧结构性改革。协调推进产权制度和要素市场化配置改革。落实国家、省、市完善基本经济制度政策，推动现代化市场体系建设。负责生产经营类事业单位管理体制改革工作。</w:t>
      </w:r>
    </w:p>
    <w:p w14:paraId="17C6EAC5">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（5）提出全县利用外资和境外投资的战略、规划、总量平衡和结构优化政策。承担统筹协调走出去有关工作。</w:t>
      </w:r>
    </w:p>
    <w:p w14:paraId="4845A5CB">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w:t>
      </w:r>
    </w:p>
    <w:p w14:paraId="286267F4">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（7）推进落实区域协调发展战略和重大政策，组织拟订相关区域规划和政策。落实推进实施京津冀协同发展等区域发展战略。</w:t>
      </w:r>
    </w:p>
    <w:p w14:paraId="08CE6259">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7FA4BC38">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6A10F1BD">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（10）跟踪研判涉及经济安全、生态安全、资源安全、科技安全、社会安全等各类风险隐患，提出相关工作建议。会同有关部门拟订全县储备物资品种目录、总体发展规划。</w:t>
      </w:r>
    </w:p>
    <w:p w14:paraId="39AE8AE7">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11）负责全县社会发展与国民经济发展的政策衔接，协调有关重大问题。拟订社会发展战略、总体规划，统筹推进基本公共服务体系建设和收入分配制度改革，提出促进就业、完善社会保障与经济协调发展的政策建议。</w:t>
      </w:r>
    </w:p>
    <w:p w14:paraId="28F0014A">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推进实施可持续发展战略，推动生态文明建设和改革，协调生态环境保护与修复、能源资源节约和综合利用等工作。综合协调环保产业和清洁生产促进有关工作。提出全县能源消费控制目标、任务并组织实施。</w:t>
      </w:r>
    </w:p>
    <w:p w14:paraId="2F592259">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（13）组织拟订推进全县经济建设与国防建设协调发展的战略和规划，组织推进经济建设项目贯彻国防要求。</w:t>
      </w:r>
    </w:p>
    <w:p w14:paraId="0187A195">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0F4C1060">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（15）提出全县能源发展战略建议，拟订能源发展规划、产业政策和年度制定计划并组织实施。负责能源行业节能和资源综合利用。负责煤炭、天然气等能源市场监管；负责散装水泥管理工作。</w:t>
      </w:r>
    </w:p>
    <w:p w14:paraId="25F1C9E0">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14:paraId="75B2AD7B">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233C4C58">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（18）协调、管理、推动物流业发展，组织推动重大物流园区和物流项目建设等相关工作。</w:t>
      </w:r>
    </w:p>
    <w:p w14:paraId="717541C2">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（19）完成县委、县政府交办的其他任务。</w:t>
      </w:r>
    </w:p>
    <w:p w14:paraId="4D547E9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A1600A9">
      <w:pPr>
        <w:pStyle w:val="2"/>
        <w:ind w:left="0" w:leftChars="0"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2025年预算收入3776.1万元，其中：一般公共预算收入3766.29万元，基金预算收入0万元，财政专户核拨收入0万元，其他来源收入9.31万元。2025年度决算总收入</w:t>
      </w:r>
      <w:r>
        <w:rPr>
          <w:rFonts w:hint="eastAsia" w:ascii="仿宋" w:hAnsi="仿宋" w:eastAsia="仿宋" w:cs="黑体"/>
          <w:kern w:val="2"/>
          <w:sz w:val="32"/>
          <w:szCs w:val="32"/>
          <w:lang w:val="en-US" w:eastAsia="zh-CN" w:bidi="ar-SA"/>
        </w:rPr>
        <w:t>3776.1</w:t>
      </w:r>
      <w:r>
        <w:rPr>
          <w:rFonts w:hint="eastAsia" w:ascii="仿宋" w:hAnsi="仿宋" w:eastAsia="仿宋" w:cs="黑体"/>
          <w:kern w:val="2"/>
          <w:sz w:val="32"/>
          <w:szCs w:val="32"/>
          <w:lang w:val="en-US" w:eastAsia="zh-CN" w:bidi="ar-SA"/>
        </w:rPr>
        <w:t>万元，其中财政拨款收入为</w:t>
      </w:r>
      <w:r>
        <w:rPr>
          <w:rFonts w:hint="eastAsia" w:ascii="仿宋" w:hAnsi="仿宋" w:eastAsia="仿宋" w:cs="黑体"/>
          <w:kern w:val="2"/>
          <w:sz w:val="32"/>
          <w:szCs w:val="32"/>
          <w:lang w:val="en-US" w:eastAsia="zh-CN" w:bidi="ar-SA"/>
        </w:rPr>
        <w:t>3766.29</w:t>
      </w:r>
      <w:r>
        <w:rPr>
          <w:rFonts w:hint="eastAsia" w:ascii="仿宋" w:hAnsi="仿宋" w:eastAsia="仿宋" w:cs="黑体"/>
          <w:kern w:val="2"/>
          <w:sz w:val="32"/>
          <w:szCs w:val="32"/>
          <w:lang w:val="en-US" w:eastAsia="zh-CN" w:bidi="ar-SA"/>
        </w:rPr>
        <w:t>万元。</w:t>
      </w:r>
    </w:p>
    <w:p w14:paraId="2155FA38">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2025年部门预算支出安排</w:t>
      </w:r>
      <w:r>
        <w:rPr>
          <w:rFonts w:hint="eastAsia" w:ascii="仿宋" w:hAnsi="仿宋" w:eastAsia="仿宋" w:cs="黑体"/>
          <w:kern w:val="2"/>
          <w:sz w:val="32"/>
          <w:szCs w:val="32"/>
          <w:lang w:val="en-US" w:eastAsia="zh-CN" w:bidi="ar-SA"/>
        </w:rPr>
        <w:t>3776.1</w:t>
      </w:r>
      <w:r>
        <w:rPr>
          <w:rFonts w:hint="eastAsia" w:ascii="仿宋" w:hAnsi="仿宋" w:eastAsia="仿宋" w:cs="黑体"/>
          <w:kern w:val="2"/>
          <w:sz w:val="32"/>
          <w:szCs w:val="32"/>
          <w:lang w:val="en-US" w:eastAsia="zh-CN" w:bidi="ar-SA"/>
        </w:rPr>
        <w:t>万元，决算总支出</w:t>
      </w:r>
      <w:r>
        <w:rPr>
          <w:rFonts w:hint="eastAsia" w:ascii="仿宋" w:hAnsi="仿宋" w:eastAsia="仿宋" w:cs="黑体"/>
          <w:kern w:val="2"/>
          <w:sz w:val="32"/>
          <w:szCs w:val="32"/>
          <w:lang w:val="en-US" w:eastAsia="zh-CN" w:bidi="ar-SA"/>
        </w:rPr>
        <w:t>3776.1</w:t>
      </w:r>
      <w:r>
        <w:rPr>
          <w:rFonts w:hint="eastAsia" w:ascii="仿宋" w:hAnsi="仿宋" w:eastAsia="仿宋" w:cs="黑体"/>
          <w:kern w:val="2"/>
          <w:sz w:val="32"/>
          <w:szCs w:val="32"/>
          <w:lang w:val="en-US" w:eastAsia="zh-CN" w:bidi="ar-SA"/>
        </w:rPr>
        <w:t>万元，一般公共服务支出524.69万元；社会保障和就业支出90.87万元；卫生健康支出10.14万元；节能环保支出2575.79万元；住房保障支出19.72万元；粮油物资储备支出</w:t>
      </w:r>
      <w:r>
        <w:rPr>
          <w:rFonts w:hint="eastAsia" w:ascii="仿宋_GB2312" w:hAnsi="仿宋" w:eastAsia="仿宋_GB2312" w:cs="Times New Roman"/>
          <w:sz w:val="32"/>
          <w:szCs w:val="32"/>
          <w:highlight w:val="none"/>
          <w:lang w:val="en-US" w:eastAsia="zh-CN"/>
        </w:rPr>
        <w:t>378.68</w:t>
      </w:r>
      <w:r>
        <w:rPr>
          <w:rFonts w:hint="eastAsia" w:ascii="仿宋" w:hAnsi="仿宋" w:eastAsia="仿宋" w:cs="黑体"/>
          <w:kern w:val="2"/>
          <w:sz w:val="32"/>
          <w:szCs w:val="32"/>
          <w:lang w:val="en-US" w:eastAsia="zh-CN" w:bidi="ar-SA"/>
        </w:rPr>
        <w:t>万元。</w:t>
      </w:r>
    </w:p>
    <w:p w14:paraId="3B197BD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B84BBC7">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一、GDP及相关指标数据</w:t>
      </w:r>
    </w:p>
    <w:p w14:paraId="6C827F9F">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认真分析国家、省、市经济走势，科学研判我县各行业支撑现状，并对全县经济指标作出总体规划。协调各个行业主管部门，对分项指标检测预警。</w:t>
      </w:r>
    </w:p>
    <w:p w14:paraId="0D9875AE">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人均地区生产总值：该项指标排位相对稳定，努力缩小与前一位的差距，力争在同类县中争先进位。</w:t>
      </w:r>
    </w:p>
    <w:p w14:paraId="47621C14">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民间投资占固定资产投资比重：2025年预计比重达到40%左右。</w:t>
      </w:r>
    </w:p>
    <w:p w14:paraId="6A1EB8CD">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工业战略性新兴产业总产值占规模以上工业总产值比重：2025年工业战略性新兴产业力争12家以上，预计总产值占规模以上工业总产值8%左右。</w:t>
      </w:r>
    </w:p>
    <w:p w14:paraId="7F9959B2">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能源项目投资计划完成率：预计完成80%。</w:t>
      </w:r>
    </w:p>
    <w:p w14:paraId="183A7B79">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天然气等能源保障完成率：预计完成100%。</w:t>
      </w:r>
    </w:p>
    <w:p w14:paraId="534E8FFA">
      <w:pPr>
        <w:pStyle w:val="2"/>
        <w:ind w:left="0" w:leftChars="0" w:firstLine="0" w:firstLineChars="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二、紧盯项目谋划支撑</w:t>
      </w:r>
    </w:p>
    <w:p w14:paraId="3B40EDBD">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1、重点项目</w:t>
      </w:r>
    </w:p>
    <w:p w14:paraId="0D01C4A0">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经向上问计（文件未下发），2025年井陉县列入市重点建设项目10项（其中金融学院列入省重点），项目计划总投资86.06亿元，2025年计划完成投资18.4亿元。</w:t>
      </w:r>
    </w:p>
    <w:p w14:paraId="7FC461D6">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2、谋划争取国家增量政策资金支持</w:t>
      </w:r>
    </w:p>
    <w:p w14:paraId="45737C52">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目前，全县17个部门和单位共梳理上报37个项目纳入台账管理（其中，市政基础设施项目7个，总投资7.1亿元；农业项目4个，总投资5.2亿元；教育项目3个，总投资3.9亿元；产业园区基础设施项目3个，总投资7.6亿元；文化旅游项目2个，总投资4.8亿元；水利项目3个，总投资7.25亿元；能源项目2个，总投资11.4亿元；卫生健康项目1个，总投资0.5亿元；文化项目1个，总投资1.5亿元；养老项目1个，总投资0.5亿元；农村人居环境整治等农村建设项目1个，总投资0.6亿元；市政、公共服务等民生领域信息化项目2个，总投资2.3亿元；交通类项目5个，总投资28.39亿元；设备更新项目1个，总投资0.14亿元；其他项目1个，总投资3.35亿元），其中，全市谋划争取国家增量政策资金支持工作视频调度会后，新增入库项目1个，总投资3.35亿元（年产400亿粒植物空心胶囊及1万吨淀粉胶项目）；新谋划10个项目（井陉县冶河秀林段污水管网及配套建设项目、井陉县秀林教育片区电力配套设施建设项目、井陉绵河灌区2025年续建配套与现代化改造项目、人工智能产学研应用创新中心、西柏山至南芦庄公路(苍岩山连接线)建设工程、北正至铺上公路(307改线)建设工程、上安西村至岩峰村公路和平路西沿建设工程、平赞高速县城连接线建设工程、国道G307黄骅至山丹公路(岩峰至秀林段)改建工程、国网新源控股张河湾公司静止变频SFC系统升级改造项目）。项目计划总投资84.5亿元，2025年资金需求54.05亿元，省级审核通过21个项目，涉及14个领域12个项目单位，总投资30.98亿元，上级资金19.07亿元。</w:t>
      </w:r>
    </w:p>
    <w:p w14:paraId="62C83DE0">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3、新能源项目</w:t>
      </w:r>
    </w:p>
    <w:p w14:paraId="791082BE">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深入挖掘新能源项目潜力，全力推进在建新能源项目建设，加快前期工作进度，确保项目按时建成投产。同时，积极谋划申报后续新能源项目，争取更多项目纳入年度建设清单，完善新能源消纳体系，促进新能源项目快速发展。</w:t>
      </w:r>
    </w:p>
    <w:p w14:paraId="7D0F11AC">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4、做好物价管理各项工作</w:t>
      </w:r>
    </w:p>
    <w:p w14:paraId="58E3E35D">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根据市局安排，继续推进农业水价综合改革。继续做好农产品成本调查工作，通过走访调研，掌握基础数据，认真填写工作台账并做好年报数据的填报。做好殡葬领域腐败乱象专项行动的工作。</w:t>
      </w:r>
    </w:p>
    <w:p w14:paraId="6E07B0B9">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同时，持续深化国防动员建设，做好军事设施保护区域划定工作；全力保障粮食安全和应急物资储备；扎实做好价格认定，为我县价格市场合法、有序发展提供保障。认真做好优化营商环境各项工作，持续营造“人人维护营商环境、事事关乎营商环境、处处优化营商环境”的浓厚氛围，为建设“休养胜地、经济强县、魅力井陉”贡献力量。</w:t>
      </w:r>
    </w:p>
    <w:p w14:paraId="20F96B4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B28C02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BEF4877">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根据《</w:t>
      </w:r>
      <w:r>
        <w:rPr>
          <w:rFonts w:hint="eastAsia" w:ascii="仿宋" w:hAnsi="仿宋" w:eastAsia="仿宋"/>
          <w:sz w:val="32"/>
          <w:szCs w:val="32"/>
        </w:rPr>
        <w:t>井陉县财政局关于开展202</w:t>
      </w:r>
      <w:r>
        <w:rPr>
          <w:rFonts w:hint="eastAsia" w:ascii="仿宋" w:hAnsi="仿宋" w:eastAsia="仿宋"/>
          <w:sz w:val="32"/>
          <w:szCs w:val="32"/>
          <w:lang w:val="en-US" w:eastAsia="zh-CN"/>
        </w:rPr>
        <w:t>6</w:t>
      </w:r>
      <w:r>
        <w:rPr>
          <w:rFonts w:hint="eastAsia" w:ascii="仿宋" w:hAnsi="仿宋" w:eastAsia="仿宋"/>
          <w:sz w:val="32"/>
          <w:szCs w:val="32"/>
        </w:rPr>
        <w:t>年绩效自评工作的通知</w:t>
      </w:r>
      <w:r>
        <w:rPr>
          <w:rFonts w:hint="eastAsia" w:ascii="仿宋" w:hAnsi="仿宋" w:eastAsia="仿宋"/>
          <w:sz w:val="32"/>
          <w:szCs w:val="32"/>
          <w:lang w:eastAsia="zh-CN"/>
        </w:rPr>
        <w:t>》（井</w:t>
      </w:r>
      <w:r>
        <w:rPr>
          <w:rFonts w:hint="eastAsia" w:ascii="仿宋" w:hAnsi="仿宋" w:eastAsia="仿宋"/>
          <w:sz w:val="32"/>
          <w:szCs w:val="32"/>
        </w:rPr>
        <w:t>财监</w:t>
      </w:r>
      <w:r>
        <w:rPr>
          <w:rFonts w:hint="eastAsia" w:ascii="仿宋" w:hAnsi="仿宋" w:eastAsia="仿宋"/>
          <w:sz w:val="32"/>
          <w:szCs w:val="32"/>
          <w:lang w:eastAsia="zh-CN"/>
        </w:rPr>
        <w:t>【</w:t>
      </w:r>
      <w:r>
        <w:rPr>
          <w:rFonts w:hint="eastAsia" w:ascii="仿宋" w:hAnsi="仿宋" w:eastAsia="仿宋"/>
          <w:sz w:val="32"/>
          <w:szCs w:val="32"/>
          <w:lang w:val="en-US" w:eastAsia="zh-CN"/>
        </w:rPr>
        <w:t>2026】1</w:t>
      </w:r>
      <w:r>
        <w:rPr>
          <w:rFonts w:hint="eastAsia" w:ascii="仿宋" w:hAnsi="仿宋" w:eastAsia="仿宋"/>
          <w:sz w:val="32"/>
          <w:szCs w:val="32"/>
        </w:rPr>
        <w:t>号</w:t>
      </w:r>
      <w:r>
        <w:rPr>
          <w:rFonts w:hint="eastAsia" w:ascii="仿宋" w:hAnsi="仿宋" w:eastAsia="仿宋"/>
          <w:sz w:val="32"/>
          <w:szCs w:val="32"/>
          <w:lang w:eastAsia="zh-CN"/>
        </w:rPr>
        <w:t>）要求，我局迅速抽调相关业务部门的工作人员组成以</w:t>
      </w:r>
      <w:r>
        <w:rPr>
          <w:rFonts w:hint="eastAsia" w:ascii="仿宋" w:hAnsi="仿宋" w:eastAsia="仿宋"/>
          <w:sz w:val="32"/>
          <w:szCs w:val="32"/>
          <w:lang w:val="en-US" w:eastAsia="zh-CN"/>
        </w:rPr>
        <w:t>李彦华</w:t>
      </w:r>
      <w:r>
        <w:rPr>
          <w:rFonts w:hint="eastAsia" w:ascii="仿宋" w:hAnsi="仿宋" w:eastAsia="仿宋"/>
          <w:sz w:val="32"/>
          <w:szCs w:val="32"/>
          <w:lang w:eastAsia="zh-CN"/>
        </w:rPr>
        <w:t>局长为组长的自评工作小组，开展我部门的项目绩效评价工作。</w:t>
      </w:r>
    </w:p>
    <w:p w14:paraId="084607CE">
      <w:pPr>
        <w:numPr>
          <w:ilvl w:val="0"/>
          <w:numId w:val="1"/>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73260322">
      <w:pPr>
        <w:keepNext w:val="0"/>
        <w:keepLines w:val="0"/>
        <w:pageBreakBefore w:val="0"/>
        <w:widowControl w:val="0"/>
        <w:kinsoku/>
        <w:wordWrap/>
        <w:overflowPunct/>
        <w:topLinePunct w:val="0"/>
        <w:bidi w:val="0"/>
        <w:adjustRightInd w:val="0"/>
        <w:snapToGrid w:val="0"/>
        <w:spacing w:line="700" w:lineRule="exact"/>
        <w:ind w:firstLine="640" w:firstLineChars="200"/>
      </w:pPr>
      <w:r>
        <w:rPr>
          <w:rFonts w:hint="eastAsia" w:ascii="仿宋" w:hAnsi="仿宋" w:eastAsia="仿宋"/>
          <w:sz w:val="32"/>
          <w:szCs w:val="32"/>
          <w:lang w:eastAsia="zh-CN"/>
        </w:rPr>
        <w:t>评价工作先由项目涉及的业务科室按照公平公正、科学规范的原则对项目进行自评，并按照评价标准和规范对各项指标进行计算和打分，形成上报项目自评表；对县级重点项目，先由业务科室自评，再由自评工作小组对业务科室上报的相关材料进行审查、复核和测评，最终形成上报项目自评表和自评报告。</w:t>
      </w:r>
    </w:p>
    <w:p w14:paraId="62DF18D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381A2F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lang w:val="en-US" w:eastAsia="zh-CN"/>
        </w:rPr>
      </w:pPr>
      <w:r>
        <w:rPr>
          <w:rFonts w:hint="eastAsia" w:ascii="方正仿宋简体" w:hAnsi="方正仿宋简体" w:eastAsia="方正仿宋简体" w:cs="方正仿宋简体"/>
          <w:b/>
          <w:bCs/>
          <w:color w:val="auto"/>
          <w:sz w:val="32"/>
          <w:szCs w:val="32"/>
          <w:highlight w:val="none"/>
          <w:lang w:eastAsia="zh-CN"/>
        </w:rPr>
        <w:t>一是政治引领坚强有力。</w:t>
      </w:r>
      <w:r>
        <w:rPr>
          <w:rFonts w:hint="eastAsia" w:ascii="方正仿宋简体" w:hAnsi="方正仿宋简体" w:eastAsia="方正仿宋简体" w:cs="方正仿宋简体"/>
          <w:color w:val="auto"/>
          <w:sz w:val="32"/>
          <w:szCs w:val="32"/>
          <w:highlight w:val="none"/>
          <w:lang w:eastAsia="zh-CN"/>
        </w:rPr>
        <w:t>坚决落实意识形态工作责任制，局党组切实担负起意识形态工作主体责任，将其纳入重要议事日程和党建工作责任制，召开党组会议专题研究意识形态</w:t>
      </w:r>
      <w:r>
        <w:rPr>
          <w:rFonts w:hint="eastAsia" w:ascii="方正仿宋简体" w:hAnsi="方正仿宋简体" w:eastAsia="方正仿宋简体" w:cs="方正仿宋简体"/>
          <w:color w:val="auto"/>
          <w:sz w:val="32"/>
          <w:szCs w:val="32"/>
          <w:highlight w:val="none"/>
          <w:lang w:val="en-US" w:eastAsia="zh-CN"/>
        </w:rPr>
        <w:t>2次</w:t>
      </w:r>
      <w:r>
        <w:rPr>
          <w:rFonts w:hint="eastAsia" w:ascii="方正仿宋简体" w:hAnsi="方正仿宋简体" w:eastAsia="方正仿宋简体" w:cs="方正仿宋简体"/>
          <w:color w:val="auto"/>
          <w:sz w:val="32"/>
          <w:szCs w:val="32"/>
          <w:highlight w:val="none"/>
          <w:lang w:eastAsia="zh-CN"/>
        </w:rPr>
        <w:t>。</w:t>
      </w:r>
      <w:r>
        <w:rPr>
          <w:rFonts w:hint="eastAsia" w:ascii="方正仿宋简体" w:hAnsi="方正仿宋简体" w:eastAsia="方正仿宋简体" w:cs="方正仿宋简体"/>
          <w:b/>
          <w:bCs/>
          <w:color w:val="auto"/>
          <w:sz w:val="32"/>
          <w:szCs w:val="32"/>
          <w:highlight w:val="none"/>
          <w:lang w:eastAsia="zh-CN"/>
        </w:rPr>
        <w:t>二是主要指标稳中有进。</w:t>
      </w:r>
      <w:r>
        <w:rPr>
          <w:rFonts w:hint="eastAsia" w:ascii="方正仿宋简体" w:hAnsi="方正仿宋简体" w:eastAsia="方正仿宋简体" w:cs="方正仿宋简体"/>
          <w:color w:val="auto"/>
          <w:sz w:val="32"/>
          <w:szCs w:val="32"/>
          <w:highlight w:val="none"/>
          <w:lang w:eastAsia="zh-CN"/>
        </w:rPr>
        <w:t>预计全年地区生产总值完成</w:t>
      </w:r>
      <w:r>
        <w:rPr>
          <w:rFonts w:hint="eastAsia" w:ascii="方正仿宋简体" w:hAnsi="方正仿宋简体" w:eastAsia="方正仿宋简体" w:cs="方正仿宋简体"/>
          <w:color w:val="auto"/>
          <w:sz w:val="32"/>
          <w:szCs w:val="32"/>
          <w:highlight w:val="none"/>
          <w:lang w:val="en-US" w:eastAsia="zh-CN"/>
        </w:rPr>
        <w:t>140亿元，</w:t>
      </w:r>
      <w:r>
        <w:rPr>
          <w:rFonts w:hint="eastAsia" w:ascii="方正仿宋简体" w:hAnsi="方正仿宋简体" w:eastAsia="方正仿宋简体" w:cs="方正仿宋简体"/>
          <w:color w:val="auto"/>
          <w:sz w:val="32"/>
          <w:szCs w:val="32"/>
          <w:highlight w:val="none"/>
          <w:lang w:eastAsia="zh-CN"/>
        </w:rPr>
        <w:t>增长</w:t>
      </w:r>
      <w:r>
        <w:rPr>
          <w:rFonts w:hint="eastAsia" w:ascii="方正仿宋简体" w:hAnsi="方正仿宋简体" w:eastAsia="方正仿宋简体" w:cs="方正仿宋简体"/>
          <w:color w:val="auto"/>
          <w:sz w:val="32"/>
          <w:szCs w:val="32"/>
          <w:highlight w:val="none"/>
          <w:lang w:val="en-US" w:eastAsia="zh-CN"/>
        </w:rPr>
        <w:t>6</w:t>
      </w:r>
      <w:r>
        <w:rPr>
          <w:rFonts w:hint="eastAsia" w:ascii="方正仿宋简体" w:hAnsi="方正仿宋简体" w:eastAsia="方正仿宋简体" w:cs="方正仿宋简体"/>
          <w:color w:val="auto"/>
          <w:sz w:val="32"/>
          <w:szCs w:val="32"/>
          <w:highlight w:val="none"/>
          <w:lang w:eastAsia="zh-CN"/>
        </w:rPr>
        <w:t>%左右；固定资产投资增长</w:t>
      </w:r>
      <w:r>
        <w:rPr>
          <w:rFonts w:hint="eastAsia" w:ascii="方正仿宋简体" w:hAnsi="方正仿宋简体" w:eastAsia="方正仿宋简体" w:cs="方正仿宋简体"/>
          <w:color w:val="auto"/>
          <w:sz w:val="32"/>
          <w:szCs w:val="32"/>
          <w:highlight w:val="none"/>
          <w:lang w:val="en-US" w:eastAsia="zh-CN"/>
        </w:rPr>
        <w:t>9.9</w:t>
      </w:r>
      <w:r>
        <w:rPr>
          <w:rFonts w:hint="eastAsia" w:ascii="方正仿宋简体" w:hAnsi="方正仿宋简体" w:eastAsia="方正仿宋简体" w:cs="方正仿宋简体"/>
          <w:color w:val="auto"/>
          <w:sz w:val="32"/>
          <w:szCs w:val="32"/>
          <w:highlight w:val="none"/>
          <w:lang w:eastAsia="zh-CN"/>
        </w:rPr>
        <w:t>%，</w:t>
      </w:r>
      <w:r>
        <w:rPr>
          <w:rFonts w:hint="eastAsia" w:ascii="方正仿宋简体" w:hAnsi="方正仿宋简体" w:eastAsia="方正仿宋简体" w:cs="方正仿宋简体"/>
          <w:color w:val="auto"/>
          <w:sz w:val="32"/>
          <w:szCs w:val="32"/>
          <w:highlight w:val="none"/>
          <w:lang w:val="en-US" w:eastAsia="zh-CN"/>
        </w:rPr>
        <w:t>经济运行保持在合理区间。</w:t>
      </w:r>
      <w:r>
        <w:rPr>
          <w:rFonts w:hint="eastAsia" w:ascii="方正仿宋简体" w:hAnsi="方正仿宋简体" w:eastAsia="方正仿宋简体" w:cs="方正仿宋简体"/>
          <w:b/>
          <w:bCs/>
          <w:color w:val="auto"/>
          <w:sz w:val="32"/>
          <w:szCs w:val="32"/>
          <w:highlight w:val="none"/>
          <w:lang w:val="en-US" w:eastAsia="zh-CN"/>
        </w:rPr>
        <w:t>三是</w:t>
      </w:r>
      <w:r>
        <w:rPr>
          <w:rFonts w:hint="eastAsia" w:ascii="方正仿宋简体" w:hAnsi="方正仿宋简体" w:eastAsia="方正仿宋简体" w:cs="方正仿宋简体"/>
          <w:b/>
          <w:bCs/>
          <w:color w:val="auto"/>
          <w:sz w:val="32"/>
          <w:szCs w:val="32"/>
          <w:highlight w:val="none"/>
          <w:lang w:eastAsia="zh-CN"/>
        </w:rPr>
        <w:t>项目建设提质增效。</w:t>
      </w:r>
      <w:r>
        <w:rPr>
          <w:rFonts w:hint="eastAsia" w:ascii="方正仿宋简体" w:hAnsi="方正仿宋简体" w:eastAsia="方正仿宋简体" w:cs="方正仿宋简体"/>
          <w:sz w:val="32"/>
          <w:szCs w:val="32"/>
          <w:lang w:val="en-US" w:eastAsia="zh-CN"/>
        </w:rPr>
        <w:t>全年谋划实施项目131个，总投资505.8亿元。</w:t>
      </w:r>
      <w:r>
        <w:rPr>
          <w:rFonts w:hint="eastAsia" w:ascii="方正仿宋简体" w:hAnsi="方正仿宋简体" w:eastAsia="方正仿宋简体" w:cs="方正仿宋简体"/>
          <w:color w:val="auto"/>
          <w:sz w:val="32"/>
          <w:szCs w:val="32"/>
          <w:highlight w:val="none"/>
          <w:lang w:val="en-US" w:eastAsia="zh-CN"/>
        </w:rPr>
        <w:t>10个省市重点项目完成投资</w:t>
      </w:r>
      <w:r>
        <w:rPr>
          <w:rFonts w:hint="eastAsia" w:ascii="方正仿宋简体" w:hAnsi="方正仿宋简体" w:eastAsia="方正仿宋简体" w:cs="方正仿宋简体"/>
          <w:sz w:val="32"/>
          <w:szCs w:val="32"/>
          <w:lang w:val="en-US" w:eastAsia="zh-CN"/>
        </w:rPr>
        <w:t>22.12</w:t>
      </w:r>
      <w:r>
        <w:rPr>
          <w:rFonts w:hint="eastAsia" w:ascii="方正仿宋简体" w:hAnsi="方正仿宋简体" w:eastAsia="方正仿宋简体" w:cs="方正仿宋简体"/>
          <w:color w:val="auto"/>
          <w:sz w:val="32"/>
          <w:szCs w:val="32"/>
          <w:highlight w:val="none"/>
          <w:lang w:val="en-US" w:eastAsia="zh-CN"/>
        </w:rPr>
        <w:t>亿元，年度投资完成率</w:t>
      </w:r>
      <w:r>
        <w:rPr>
          <w:rFonts w:hint="eastAsia" w:ascii="方正仿宋简体" w:hAnsi="方正仿宋简体" w:eastAsia="方正仿宋简体" w:cs="方正仿宋简体"/>
          <w:sz w:val="32"/>
          <w:szCs w:val="32"/>
          <w:lang w:val="en-US" w:eastAsia="zh-CN"/>
        </w:rPr>
        <w:t>120.2</w:t>
      </w:r>
      <w:r>
        <w:rPr>
          <w:rFonts w:hint="eastAsia" w:ascii="方正仿宋简体" w:hAnsi="方正仿宋简体" w:eastAsia="方正仿宋简体" w:cs="方正仿宋简体"/>
          <w:color w:val="auto"/>
          <w:sz w:val="32"/>
          <w:szCs w:val="32"/>
          <w:highlight w:val="none"/>
          <w:lang w:val="en-US" w:eastAsia="zh-CN"/>
        </w:rPr>
        <w:t>%。</w:t>
      </w:r>
      <w:r>
        <w:rPr>
          <w:rFonts w:hint="eastAsia" w:ascii="方正仿宋简体" w:hAnsi="方正仿宋简体" w:eastAsia="方正仿宋简体" w:cs="方正仿宋简体"/>
          <w:sz w:val="32"/>
          <w:szCs w:val="32"/>
          <w:lang w:val="en-US" w:eastAsia="zh-CN"/>
        </w:rPr>
        <w:t>纵横大载重灭火无人机等16个项目基本完工，至恒机械等54个项目加速建设，爱马能源储能试点等61个项目正在积极跑办，</w:t>
      </w:r>
      <w:r>
        <w:rPr>
          <w:rFonts w:hint="eastAsia" w:ascii="方正仿宋简体" w:hAnsi="方正仿宋简体" w:eastAsia="方正仿宋简体" w:cs="方正仿宋简体"/>
          <w:color w:val="auto"/>
          <w:sz w:val="32"/>
          <w:szCs w:val="32"/>
          <w:highlight w:val="none"/>
          <w:lang w:val="en-US" w:eastAsia="zh-CN"/>
        </w:rPr>
        <w:t>产业发展后劲持续增强。</w:t>
      </w:r>
      <w:r>
        <w:rPr>
          <w:rFonts w:hint="eastAsia" w:ascii="方正仿宋简体" w:hAnsi="方正仿宋简体" w:eastAsia="方正仿宋简体" w:cs="方正仿宋简体"/>
          <w:b/>
          <w:bCs/>
          <w:color w:val="auto"/>
          <w:kern w:val="2"/>
          <w:sz w:val="32"/>
          <w:szCs w:val="32"/>
          <w:highlight w:val="none"/>
          <w:lang w:val="en-US" w:eastAsia="zh-CN" w:bidi="ar-SA"/>
        </w:rPr>
        <w:t>四是新型能源加速布局。</w:t>
      </w:r>
      <w:r>
        <w:rPr>
          <w:rFonts w:hint="eastAsia" w:ascii="方正仿宋简体" w:hAnsi="宋体" w:eastAsia="方正仿宋简体" w:cs="Times New Roman"/>
          <w:sz w:val="32"/>
          <w:szCs w:val="32"/>
          <w:highlight w:val="none"/>
          <w:lang w:eastAsia="zh-CN"/>
        </w:rPr>
        <w:t>国电投、中核等</w:t>
      </w:r>
      <w:r>
        <w:rPr>
          <w:rFonts w:hint="eastAsia" w:ascii="方正仿宋简体" w:hAnsi="宋体" w:eastAsia="方正仿宋简体" w:cs="Times New Roman"/>
          <w:sz w:val="32"/>
          <w:szCs w:val="32"/>
          <w:highlight w:val="none"/>
          <w:lang w:val="en-US" w:eastAsia="zh-CN"/>
        </w:rPr>
        <w:t>3个光伏项目</w:t>
      </w:r>
      <w:r>
        <w:rPr>
          <w:rFonts w:hint="eastAsia" w:ascii="方正仿宋简体" w:hAnsi="宋体" w:eastAsia="方正仿宋简体" w:cs="Times New Roman"/>
          <w:sz w:val="32"/>
          <w:szCs w:val="32"/>
          <w:highlight w:val="none"/>
          <w:lang w:eastAsia="zh-CN"/>
        </w:rPr>
        <w:t>全容量并网，中广核风电等项目稳步推进，</w:t>
      </w:r>
      <w:r>
        <w:rPr>
          <w:rFonts w:hint="eastAsia" w:ascii="方正仿宋简体" w:hAnsi="方正仿宋简体" w:eastAsia="方正仿宋简体" w:cs="方正仿宋简体"/>
          <w:b w:val="0"/>
          <w:bCs w:val="0"/>
          <w:i w:val="0"/>
          <w:iCs w:val="0"/>
          <w:caps w:val="0"/>
          <w:color w:val="000000"/>
          <w:spacing w:val="0"/>
          <w:sz w:val="32"/>
          <w:szCs w:val="32"/>
          <w:highlight w:val="none"/>
          <w:shd w:val="clear" w:color="auto" w:fill="auto"/>
          <w:lang w:val="en-US" w:eastAsia="zh-CN"/>
        </w:rPr>
        <w:t>为推动全县“2+4”产业高质量发展提供有效助力。</w:t>
      </w:r>
      <w:r>
        <w:rPr>
          <w:rFonts w:hint="eastAsia" w:ascii="方正仿宋简体" w:hAnsi="方正仿宋简体" w:eastAsia="方正仿宋简体" w:cs="方正仿宋简体"/>
          <w:b/>
          <w:bCs/>
          <w:color w:val="auto"/>
          <w:kern w:val="2"/>
          <w:sz w:val="32"/>
          <w:szCs w:val="32"/>
          <w:highlight w:val="none"/>
          <w:lang w:val="en-US" w:eastAsia="zh-CN" w:bidi="ar-SA"/>
        </w:rPr>
        <w:t>五是向上争资取得突破。</w:t>
      </w:r>
      <w:r>
        <w:rPr>
          <w:rFonts w:hint="eastAsia" w:ascii="方正仿宋简体" w:hAnsi="宋体" w:eastAsia="方正仿宋简体" w:cs="Times New Roman"/>
          <w:sz w:val="32"/>
          <w:szCs w:val="32"/>
          <w:highlight w:val="none"/>
          <w:lang w:eastAsia="zh-CN"/>
        </w:rPr>
        <w:t>精准对接中央预算内投资、超长期特别国债等政策投向，全年谋划争取项目</w:t>
      </w:r>
      <w:r>
        <w:rPr>
          <w:rFonts w:hint="eastAsia" w:ascii="方正仿宋简体" w:hAnsi="宋体" w:eastAsia="方正仿宋简体" w:cs="Times New Roman"/>
          <w:sz w:val="32"/>
          <w:szCs w:val="32"/>
          <w:highlight w:val="none"/>
          <w:lang w:val="en-US" w:eastAsia="zh-CN"/>
        </w:rPr>
        <w:t>52个</w:t>
      </w:r>
      <w:r>
        <w:rPr>
          <w:rFonts w:hint="eastAsia" w:ascii="方正仿宋简体" w:hAnsi="宋体" w:eastAsia="方正仿宋简体" w:cs="Times New Roman"/>
          <w:sz w:val="32"/>
          <w:szCs w:val="32"/>
          <w:highlight w:val="none"/>
          <w:lang w:eastAsia="zh-CN"/>
        </w:rPr>
        <w:t>，到位资金</w:t>
      </w:r>
      <w:r>
        <w:rPr>
          <w:rFonts w:hint="eastAsia" w:ascii="方正仿宋简体" w:hAnsi="方正仿宋简体" w:eastAsia="方正仿宋简体" w:cs="方正仿宋简体"/>
          <w:b w:val="0"/>
          <w:bCs w:val="0"/>
          <w:color w:val="auto"/>
          <w:sz w:val="32"/>
          <w:szCs w:val="32"/>
          <w:highlight w:val="none"/>
          <w:lang w:val="en-US" w:eastAsia="zh-CN"/>
        </w:rPr>
        <w:t>5.935</w:t>
      </w:r>
      <w:r>
        <w:rPr>
          <w:rFonts w:hint="eastAsia" w:ascii="方正仿宋简体" w:hAnsi="宋体" w:eastAsia="方正仿宋简体" w:cs="Times New Roman"/>
          <w:sz w:val="32"/>
          <w:szCs w:val="32"/>
          <w:highlight w:val="none"/>
          <w:lang w:eastAsia="zh-CN"/>
        </w:rPr>
        <w:t>亿元，有效缓解了项目建设资金</w:t>
      </w:r>
      <w:r>
        <w:rPr>
          <w:rFonts w:hint="eastAsia" w:ascii="方正仿宋简体" w:hAnsi="方正仿宋简体" w:eastAsia="方正仿宋简体" w:cs="方正仿宋简体"/>
          <w:b w:val="0"/>
          <w:bCs w:val="0"/>
          <w:color w:val="auto"/>
          <w:kern w:val="2"/>
          <w:sz w:val="32"/>
          <w:szCs w:val="32"/>
          <w:highlight w:val="none"/>
          <w:lang w:val="en-US" w:eastAsia="zh-CN" w:bidi="ar-SA"/>
        </w:rPr>
        <w:t>压力。</w:t>
      </w:r>
      <w:r>
        <w:rPr>
          <w:rFonts w:hint="eastAsia" w:ascii="方正仿宋简体" w:hAnsi="方正仿宋简体" w:eastAsia="方正仿宋简体" w:cs="方正仿宋简体"/>
          <w:b/>
          <w:bCs/>
          <w:color w:val="auto"/>
          <w:kern w:val="2"/>
          <w:sz w:val="32"/>
          <w:szCs w:val="32"/>
          <w:highlight w:val="none"/>
          <w:lang w:val="en-US" w:eastAsia="zh-CN" w:bidi="ar-SA"/>
        </w:rPr>
        <w:t>六是深化国防动员建设。</w:t>
      </w:r>
      <w:r>
        <w:rPr>
          <w:rFonts w:hint="eastAsia" w:ascii="方正仿宋简体" w:hAnsi="方正仿宋简体" w:eastAsia="方正仿宋简体" w:cs="方正仿宋简体"/>
          <w:sz w:val="32"/>
          <w:szCs w:val="32"/>
          <w:highlight w:val="none"/>
          <w:lang w:val="en-US" w:eastAsia="zh-CN"/>
        </w:rPr>
        <w:t>审议通过《2025年全县国动防员工作重点》，完成太和·荣誉等10处人防工程验收，先后开展3次安全生产隐患排查整治，协调处理2项地方经济建设涉及军事设施保护意见征求，上安镇被纳入“国防动员+”省级试点。</w:t>
      </w:r>
      <w:r>
        <w:rPr>
          <w:rFonts w:hint="eastAsia" w:ascii="方正仿宋简体" w:hAnsi="方正仿宋简体" w:eastAsia="方正仿宋简体" w:cs="方正仿宋简体"/>
          <w:b/>
          <w:bCs/>
          <w:color w:val="auto"/>
          <w:kern w:val="2"/>
          <w:sz w:val="32"/>
          <w:szCs w:val="32"/>
          <w:highlight w:val="none"/>
          <w:lang w:val="en-US" w:eastAsia="zh-CN" w:bidi="ar-SA"/>
        </w:rPr>
        <w:t>七是民生保障持续加固。</w:t>
      </w:r>
      <w:r>
        <w:rPr>
          <w:rFonts w:hint="eastAsia" w:ascii="方正仿宋简体" w:hAnsi="宋体" w:eastAsia="方正仿宋简体" w:cs="Times New Roman"/>
          <w:b/>
          <w:bCs/>
          <w:sz w:val="32"/>
          <w:szCs w:val="32"/>
          <w:highlight w:val="none"/>
          <w:lang w:val="en-US" w:eastAsia="zh-CN"/>
        </w:rPr>
        <w:t>型煤保供方面，</w:t>
      </w:r>
      <w:r>
        <w:rPr>
          <w:rFonts w:hint="eastAsia" w:ascii="方正仿宋简体" w:hAnsi="方正仿宋简体" w:eastAsia="方正仿宋简体" w:cs="方正仿宋简体"/>
          <w:color w:val="auto"/>
          <w:sz w:val="32"/>
          <w:szCs w:val="32"/>
          <w:highlight w:val="none"/>
          <w:lang w:val="en-US" w:eastAsia="zh-CN"/>
        </w:rPr>
        <w:t>累计配送型煤</w:t>
      </w:r>
      <w:r>
        <w:rPr>
          <w:rFonts w:hint="eastAsia" w:ascii="方正仿宋简体" w:hAnsi="方正仿宋简体" w:eastAsia="方正仿宋简体" w:cs="方正仿宋简体"/>
          <w:i w:val="0"/>
          <w:caps w:val="0"/>
          <w:color w:val="000000"/>
          <w:spacing w:val="0"/>
          <w:sz w:val="32"/>
          <w:szCs w:val="32"/>
          <w:highlight w:val="none"/>
          <w:u w:val="none"/>
          <w:lang w:eastAsia="zh-CN"/>
        </w:rPr>
        <w:t>15200户、17</w:t>
      </w:r>
      <w:r>
        <w:rPr>
          <w:rFonts w:hint="eastAsia" w:ascii="方正仿宋简体" w:hAnsi="方正仿宋简体" w:eastAsia="方正仿宋简体" w:cs="方正仿宋简体"/>
          <w:i w:val="0"/>
          <w:caps w:val="0"/>
          <w:color w:val="000000"/>
          <w:spacing w:val="0"/>
          <w:sz w:val="32"/>
          <w:szCs w:val="32"/>
          <w:highlight w:val="none"/>
          <w:u w:val="none"/>
          <w:lang w:val="en-US" w:eastAsia="zh-CN"/>
        </w:rPr>
        <w:t>350</w:t>
      </w:r>
      <w:r>
        <w:rPr>
          <w:rFonts w:hint="eastAsia" w:ascii="方正仿宋简体" w:hAnsi="方正仿宋简体" w:eastAsia="方正仿宋简体" w:cs="方正仿宋简体"/>
          <w:i w:val="0"/>
          <w:caps w:val="0"/>
          <w:color w:val="000000"/>
          <w:spacing w:val="0"/>
          <w:sz w:val="32"/>
          <w:szCs w:val="32"/>
          <w:highlight w:val="none"/>
          <w:u w:val="none"/>
          <w:lang w:eastAsia="zh-CN"/>
        </w:rPr>
        <w:t>吨，保障群众温暖过冬；</w:t>
      </w:r>
      <w:r>
        <w:rPr>
          <w:rFonts w:hint="eastAsia" w:ascii="方正仿宋简体" w:hAnsi="方正仿宋简体" w:eastAsia="方正仿宋简体" w:cs="方正仿宋简体"/>
          <w:b/>
          <w:bCs/>
          <w:i w:val="0"/>
          <w:caps w:val="0"/>
          <w:color w:val="000000"/>
          <w:spacing w:val="0"/>
          <w:sz w:val="32"/>
          <w:szCs w:val="32"/>
          <w:highlight w:val="none"/>
          <w:u w:val="none"/>
          <w:lang w:eastAsia="zh-CN"/>
        </w:rPr>
        <w:t>燃气保供方面，</w:t>
      </w:r>
      <w:r>
        <w:rPr>
          <w:rFonts w:hint="eastAsia" w:ascii="方正仿宋简体" w:hAnsi="方正仿宋简体" w:eastAsia="方正仿宋简体" w:cs="方正仿宋简体"/>
          <w:color w:val="auto"/>
          <w:sz w:val="32"/>
          <w:szCs w:val="32"/>
          <w:highlight w:val="none"/>
          <w:lang w:val="en-US" w:eastAsia="zh-CN"/>
        </w:rPr>
        <w:t>全县3.4万个家庭、103家工商户实现全天候保供，未出现天然气断供、限供等问题；</w:t>
      </w:r>
      <w:r>
        <w:rPr>
          <w:rFonts w:hint="eastAsia" w:ascii="方正仿宋简体" w:hAnsi="方正仿宋简体" w:eastAsia="方正仿宋简体" w:cs="方正仿宋简体"/>
          <w:b/>
          <w:bCs/>
          <w:color w:val="auto"/>
          <w:sz w:val="32"/>
          <w:szCs w:val="32"/>
          <w:highlight w:val="none"/>
          <w:lang w:val="en-US" w:eastAsia="zh-CN"/>
        </w:rPr>
        <w:t>粮食保供方面，</w:t>
      </w:r>
      <w:r>
        <w:rPr>
          <w:rFonts w:hint="eastAsia" w:ascii="方正仿宋简体" w:hAnsi="方正仿宋简体" w:eastAsia="方正仿宋简体" w:cs="方正仿宋简体"/>
          <w:color w:val="auto"/>
          <w:sz w:val="32"/>
          <w:szCs w:val="32"/>
          <w:highlight w:val="none"/>
          <w:lang w:val="en-US" w:eastAsia="zh-CN"/>
        </w:rPr>
        <w:t>落实粮食安全党政同责，完成县级储备粮的质量检测8000吨，开展粮食购销和城乡居民粮油调查统计工作，守住粮食安全底线；</w:t>
      </w:r>
      <w:r>
        <w:rPr>
          <w:rFonts w:hint="eastAsia" w:ascii="方正仿宋简体" w:hAnsi="方正仿宋简体" w:eastAsia="方正仿宋简体" w:cs="方正仿宋简体"/>
          <w:b/>
          <w:bCs/>
          <w:color w:val="auto"/>
          <w:sz w:val="32"/>
          <w:szCs w:val="32"/>
          <w:highlight w:val="none"/>
          <w:lang w:val="en-US" w:eastAsia="zh-CN"/>
        </w:rPr>
        <w:t>民生工程方面，</w:t>
      </w:r>
      <w:r>
        <w:rPr>
          <w:rFonts w:hint="eastAsia" w:ascii="方正仿宋简体" w:hAnsi="方正仿宋简体" w:eastAsia="方正仿宋简体" w:cs="方正仿宋简体"/>
          <w:color w:val="auto"/>
          <w:sz w:val="32"/>
          <w:szCs w:val="32"/>
          <w:highlight w:val="none"/>
          <w:lang w:val="en-US" w:eastAsia="zh-CN"/>
        </w:rPr>
        <w:t>17项民生工程全部完成；</w:t>
      </w:r>
      <w:r>
        <w:rPr>
          <w:rFonts w:hint="eastAsia" w:ascii="方正仿宋简体" w:hAnsi="方正仿宋简体" w:eastAsia="方正仿宋简体" w:cs="方正仿宋简体"/>
          <w:b/>
          <w:bCs/>
          <w:color w:val="auto"/>
          <w:sz w:val="32"/>
          <w:szCs w:val="32"/>
          <w:highlight w:val="none"/>
          <w:lang w:val="en-US" w:eastAsia="zh-CN"/>
        </w:rPr>
        <w:t>物价管理和价格认证方面，</w:t>
      </w:r>
      <w:r>
        <w:rPr>
          <w:rFonts w:hint="eastAsia" w:ascii="方正仿宋简体" w:hAnsi="方正仿宋简体" w:eastAsia="方正仿宋简体" w:cs="方正仿宋简体"/>
          <w:color w:val="auto"/>
          <w:sz w:val="32"/>
          <w:szCs w:val="32"/>
          <w:highlight w:val="none"/>
          <w:lang w:val="en-US" w:eastAsia="zh-CN"/>
        </w:rPr>
        <w:t>完成了</w:t>
      </w:r>
      <w:r>
        <w:rPr>
          <w:rFonts w:hint="default" w:ascii="方正仿宋简体" w:hAnsi="方正仿宋简体" w:eastAsia="方正仿宋简体" w:cs="方正仿宋简体"/>
          <w:color w:val="auto"/>
          <w:sz w:val="32"/>
          <w:szCs w:val="32"/>
          <w:highlight w:val="none"/>
          <w:lang w:val="en-US" w:eastAsia="zh-CN"/>
        </w:rPr>
        <w:t>华能上安电厂热力出厂价格上调</w:t>
      </w:r>
      <w:r>
        <w:rPr>
          <w:rFonts w:hint="eastAsia" w:ascii="方正仿宋简体" w:hAnsi="方正仿宋简体" w:eastAsia="方正仿宋简体" w:cs="方正仿宋简体"/>
          <w:color w:val="auto"/>
          <w:sz w:val="32"/>
          <w:szCs w:val="32"/>
          <w:highlight w:val="none"/>
          <w:lang w:val="en-US" w:eastAsia="zh-CN"/>
        </w:rPr>
        <w:t>、百泉供水公司城镇供水成本专项审计，完善了殡葬服务收费政策及</w:t>
      </w:r>
      <w:r>
        <w:rPr>
          <w:rFonts w:hint="default" w:ascii="方正仿宋简体" w:hAnsi="方正仿宋简体" w:eastAsia="方正仿宋简体" w:cs="方正仿宋简体"/>
          <w:color w:val="auto"/>
          <w:sz w:val="32"/>
          <w:szCs w:val="32"/>
          <w:highlight w:val="none"/>
          <w:lang w:val="en-US" w:eastAsia="zh-CN"/>
        </w:rPr>
        <w:t>涉企收费目录清单管理制度</w:t>
      </w:r>
      <w:r>
        <w:rPr>
          <w:rFonts w:hint="eastAsia" w:ascii="方正仿宋简体" w:hAnsi="方正仿宋简体" w:eastAsia="方正仿宋简体" w:cs="方正仿宋简体"/>
          <w:color w:val="auto"/>
          <w:sz w:val="32"/>
          <w:szCs w:val="32"/>
          <w:highlight w:val="none"/>
          <w:lang w:val="en-US" w:eastAsia="zh-CN"/>
        </w:rPr>
        <w:t>，重点开展中小学伙食费督导检查。完成价格认证事项105件，有效维护市场价格秩序。</w:t>
      </w:r>
      <w:r>
        <w:rPr>
          <w:rFonts w:hint="eastAsia" w:ascii="方正仿宋简体" w:hAnsi="方正仿宋简体" w:eastAsia="方正仿宋简体" w:cs="方正仿宋简体"/>
          <w:b/>
          <w:bCs/>
          <w:color w:val="auto"/>
          <w:sz w:val="32"/>
          <w:szCs w:val="32"/>
          <w:highlight w:val="none"/>
          <w:lang w:val="en-US" w:eastAsia="zh-CN"/>
        </w:rPr>
        <w:t>八</w:t>
      </w:r>
      <w:r>
        <w:rPr>
          <w:rFonts w:hint="eastAsia" w:ascii="方正仿宋简体" w:hAnsi="方正仿宋简体" w:eastAsia="方正仿宋简体" w:cs="方正仿宋简体"/>
          <w:b/>
          <w:bCs/>
          <w:color w:val="auto"/>
          <w:kern w:val="2"/>
          <w:sz w:val="32"/>
          <w:szCs w:val="32"/>
          <w:highlight w:val="none"/>
          <w:lang w:val="en-US" w:eastAsia="zh-CN" w:bidi="ar-SA"/>
        </w:rPr>
        <w:t>是营商环境持续优化。</w:t>
      </w:r>
      <w:r>
        <w:rPr>
          <w:rFonts w:hint="eastAsia" w:ascii="方正仿宋简体" w:hAnsi="方正仿宋简体" w:eastAsia="方正仿宋简体" w:cs="方正仿宋简体"/>
          <w:color w:val="auto"/>
          <w:sz w:val="32"/>
          <w:szCs w:val="32"/>
          <w:highlight w:val="none"/>
          <w:lang w:val="en-US" w:eastAsia="zh-CN"/>
        </w:rPr>
        <w:t>牵头印发《2025年井陉县营商环境优化提升行动方案》，深入贯彻落实促进民营经济发展壮大的决策部署，建立了政企常态化沟通交流机制，</w:t>
      </w:r>
      <w:r>
        <w:rPr>
          <w:rFonts w:hint="eastAsia" w:ascii="方正仿宋简体" w:hAnsi="方正仿宋简体" w:eastAsia="方正仿宋简体" w:cs="方正仿宋简体"/>
          <w:color w:val="auto"/>
          <w:sz w:val="32"/>
          <w:szCs w:val="32"/>
          <w:lang w:val="en-US" w:eastAsia="zh-CN"/>
        </w:rPr>
        <w:t>以清单化形式“一口收办”企业诉求，累计处理问题超120件。</w:t>
      </w:r>
      <w:r>
        <w:rPr>
          <w:rFonts w:hint="eastAsia" w:ascii="方正仿宋简体" w:hAnsi="方正仿宋简体" w:eastAsia="方正仿宋简体" w:cs="方正仿宋简体"/>
          <w:b/>
          <w:bCs/>
          <w:color w:val="auto"/>
          <w:kern w:val="2"/>
          <w:sz w:val="32"/>
          <w:szCs w:val="32"/>
          <w:highlight w:val="none"/>
          <w:lang w:val="en-US" w:eastAsia="zh-CN" w:bidi="ar-SA"/>
        </w:rPr>
        <w:t>九是安全生产常抓不懈。</w:t>
      </w:r>
      <w:r>
        <w:rPr>
          <w:rFonts w:hint="eastAsia" w:ascii="方正仿宋简体" w:hAnsi="方正仿宋简体" w:eastAsia="方正仿宋简体" w:cs="方正仿宋简体"/>
          <w:color w:val="auto"/>
          <w:sz w:val="32"/>
          <w:szCs w:val="40"/>
          <w:highlight w:val="none"/>
          <w:lang w:val="en-US" w:eastAsia="zh-CN"/>
        </w:rPr>
        <w:t>全面履行国家安全责任，</w:t>
      </w:r>
      <w:r>
        <w:rPr>
          <w:rFonts w:hint="eastAsia" w:ascii="方正仿宋简体" w:hAnsi="方正仿宋简体" w:eastAsia="方正仿宋简体" w:cs="方正仿宋简体"/>
          <w:color w:val="auto"/>
          <w:sz w:val="32"/>
          <w:szCs w:val="32"/>
          <w:highlight w:val="none"/>
          <w:lang w:val="en-US" w:eastAsia="zh-CN"/>
        </w:rPr>
        <w:t>聚焦油气长输管道、电力设施等重点领域，开展专项安全检查45次，排查整改隐患问题15项，切实守牢安全生产底线。</w:t>
      </w:r>
    </w:p>
    <w:p w14:paraId="3C3ADA2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CA0F854">
      <w:pPr>
        <w:keepNext w:val="0"/>
        <w:keepLines w:val="0"/>
        <w:pageBreakBefore w:val="0"/>
        <w:widowControl w:val="0"/>
        <w:kinsoku/>
        <w:wordWrap/>
        <w:overflowPunct/>
        <w:topLinePunct w:val="0"/>
        <w:bidi w:val="0"/>
        <w:adjustRightInd w:val="0"/>
        <w:snapToGrid w:val="0"/>
        <w:spacing w:line="7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根据部门职责定位和各项工作履职情况进行综合评价，给出总得分100分，满分100分，得出综合绩效评价为优秀。</w:t>
      </w:r>
    </w:p>
    <w:p w14:paraId="670BA62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C94C19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B2FB1A6">
      <w:pPr>
        <w:keepNext w:val="0"/>
        <w:keepLines w:val="0"/>
        <w:pageBreakBefore w:val="0"/>
        <w:widowControl w:val="0"/>
        <w:kinsoku/>
        <w:wordWrap/>
        <w:overflowPunct/>
        <w:topLinePunct w:val="0"/>
        <w:bidi w:val="0"/>
        <w:adjustRightInd w:val="0"/>
        <w:snapToGrid w:val="0"/>
        <w:spacing w:line="70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自评工作还是不够严谨，主要停留在填写自评表上。</w:t>
      </w:r>
    </w:p>
    <w:p w14:paraId="48B9C706">
      <w:pPr>
        <w:pStyle w:val="2"/>
      </w:pPr>
    </w:p>
    <w:p w14:paraId="117DF9AF">
      <w:pPr>
        <w:numPr>
          <w:ilvl w:val="0"/>
          <w:numId w:val="1"/>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C58F0A6">
      <w:pPr>
        <w:keepNext w:val="0"/>
        <w:keepLines w:val="0"/>
        <w:pageBreakBefore w:val="0"/>
        <w:widowControl w:val="0"/>
        <w:kinsoku/>
        <w:wordWrap/>
        <w:overflowPunct/>
        <w:topLinePunct w:val="0"/>
        <w:autoSpaceDE w:val="0"/>
        <w:autoSpaceDN w:val="0"/>
        <w:bidi w:val="0"/>
        <w:adjustRightInd w:val="0"/>
        <w:snapToGrid/>
        <w:spacing w:line="700" w:lineRule="exact"/>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val="en-US" w:eastAsia="zh-CN"/>
        </w:rPr>
        <w:t>将加强自评工作的组织实施，引导各业务科室科学、规范的开展自评工作。</w:t>
      </w:r>
    </w:p>
    <w:p w14:paraId="0052789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tbl>
      <w:tblPr>
        <w:tblStyle w:val="10"/>
        <w:tblpPr w:leftFromText="180" w:rightFromText="180" w:vertAnchor="text" w:horzAnchor="page" w:tblpX="1066" w:tblpY="304"/>
        <w:tblOverlap w:val="never"/>
        <w:tblW w:w="102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0"/>
        <w:gridCol w:w="3225"/>
        <w:gridCol w:w="4400"/>
        <w:gridCol w:w="1105"/>
      </w:tblGrid>
      <w:tr w14:paraId="1244F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0" w:type="dxa"/>
          </w:tcPr>
          <w:p w14:paraId="13645BCC">
            <w:pPr>
              <w:keepNext w:val="0"/>
              <w:keepLines w:val="0"/>
              <w:pageBreakBefore w:val="0"/>
              <w:widowControl w:val="0"/>
              <w:kinsoku/>
              <w:wordWrap/>
              <w:overflowPunct/>
              <w:topLinePunct w:val="0"/>
              <w:autoSpaceDE w:val="0"/>
              <w:autoSpaceDN w:val="0"/>
              <w:bidi w:val="0"/>
              <w:adjustRightInd w:val="0"/>
              <w:snapToGrid/>
              <w:spacing w:line="7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3225" w:type="dxa"/>
          </w:tcPr>
          <w:p w14:paraId="69B6544F">
            <w:pPr>
              <w:keepNext w:val="0"/>
              <w:keepLines w:val="0"/>
              <w:pageBreakBefore w:val="0"/>
              <w:widowControl w:val="0"/>
              <w:kinsoku/>
              <w:wordWrap/>
              <w:overflowPunct/>
              <w:topLinePunct w:val="0"/>
              <w:autoSpaceDE w:val="0"/>
              <w:autoSpaceDN w:val="0"/>
              <w:bidi w:val="0"/>
              <w:adjustRightInd w:val="0"/>
              <w:snapToGrid/>
              <w:spacing w:line="7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4400" w:type="dxa"/>
          </w:tcPr>
          <w:p w14:paraId="13C69C83">
            <w:pPr>
              <w:keepNext w:val="0"/>
              <w:keepLines w:val="0"/>
              <w:pageBreakBefore w:val="0"/>
              <w:widowControl w:val="0"/>
              <w:kinsoku/>
              <w:wordWrap/>
              <w:overflowPunct/>
              <w:topLinePunct w:val="0"/>
              <w:autoSpaceDE w:val="0"/>
              <w:autoSpaceDN w:val="0"/>
              <w:bidi w:val="0"/>
              <w:adjustRightInd w:val="0"/>
              <w:snapToGrid/>
              <w:spacing w:line="7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1105" w:type="dxa"/>
          </w:tcPr>
          <w:p w14:paraId="243B7C44">
            <w:pPr>
              <w:keepNext w:val="0"/>
              <w:keepLines w:val="0"/>
              <w:pageBreakBefore w:val="0"/>
              <w:widowControl w:val="0"/>
              <w:kinsoku/>
              <w:wordWrap/>
              <w:overflowPunct/>
              <w:topLinePunct w:val="0"/>
              <w:autoSpaceDE w:val="0"/>
              <w:autoSpaceDN w:val="0"/>
              <w:bidi w:val="0"/>
              <w:adjustRightInd w:val="0"/>
              <w:snapToGrid/>
              <w:spacing w:line="7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14:paraId="12AF3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470" w:type="dxa"/>
          </w:tcPr>
          <w:p w14:paraId="48253934">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李彦华</w:t>
            </w:r>
          </w:p>
        </w:tc>
        <w:tc>
          <w:tcPr>
            <w:tcW w:w="3225" w:type="dxa"/>
          </w:tcPr>
          <w:p w14:paraId="5C6701AF">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井陉县发展和改革局</w:t>
            </w:r>
          </w:p>
        </w:tc>
        <w:tc>
          <w:tcPr>
            <w:tcW w:w="4400" w:type="dxa"/>
          </w:tcPr>
          <w:p w14:paraId="197C588F">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党组书记、局长、国动办主任</w:t>
            </w:r>
          </w:p>
        </w:tc>
        <w:tc>
          <w:tcPr>
            <w:tcW w:w="1105" w:type="dxa"/>
          </w:tcPr>
          <w:p w14:paraId="2055AB02">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729AA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1470" w:type="dxa"/>
            <w:vAlign w:val="top"/>
          </w:tcPr>
          <w:p w14:paraId="237C848B">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张国强</w:t>
            </w:r>
          </w:p>
        </w:tc>
        <w:tc>
          <w:tcPr>
            <w:tcW w:w="3225" w:type="dxa"/>
            <w:vAlign w:val="top"/>
          </w:tcPr>
          <w:p w14:paraId="64C6654E">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vAlign w:val="top"/>
          </w:tcPr>
          <w:p w14:paraId="40B22F08">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24"/>
                <w:szCs w:val="24"/>
                <w:vertAlign w:val="baseline"/>
                <w:lang w:eastAsia="zh-CN"/>
              </w:rPr>
              <w:t>党组成员、国动办副主任、人防办主任</w:t>
            </w:r>
          </w:p>
        </w:tc>
        <w:tc>
          <w:tcPr>
            <w:tcW w:w="1105" w:type="dxa"/>
          </w:tcPr>
          <w:p w14:paraId="743C86EA">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6E799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70" w:type="dxa"/>
            <w:vAlign w:val="top"/>
          </w:tcPr>
          <w:p w14:paraId="27739BAF">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贾会霞</w:t>
            </w:r>
          </w:p>
        </w:tc>
        <w:tc>
          <w:tcPr>
            <w:tcW w:w="3225" w:type="dxa"/>
            <w:vAlign w:val="top"/>
          </w:tcPr>
          <w:p w14:paraId="6A3202C6">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井陉县发展和改革局</w:t>
            </w:r>
          </w:p>
        </w:tc>
        <w:tc>
          <w:tcPr>
            <w:tcW w:w="4400" w:type="dxa"/>
            <w:vAlign w:val="top"/>
          </w:tcPr>
          <w:p w14:paraId="7D90EDDC">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党组成员、副局长</w:t>
            </w:r>
          </w:p>
        </w:tc>
        <w:tc>
          <w:tcPr>
            <w:tcW w:w="1105" w:type="dxa"/>
          </w:tcPr>
          <w:p w14:paraId="72708E5C">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317C7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70" w:type="dxa"/>
            <w:vAlign w:val="top"/>
          </w:tcPr>
          <w:p w14:paraId="04683214">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刘永峰</w:t>
            </w:r>
          </w:p>
        </w:tc>
        <w:tc>
          <w:tcPr>
            <w:tcW w:w="3225" w:type="dxa"/>
            <w:vAlign w:val="top"/>
          </w:tcPr>
          <w:p w14:paraId="5157FD80">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井陉县发展和改革局</w:t>
            </w:r>
          </w:p>
        </w:tc>
        <w:tc>
          <w:tcPr>
            <w:tcW w:w="4400" w:type="dxa"/>
            <w:vAlign w:val="top"/>
          </w:tcPr>
          <w:p w14:paraId="46EF6103">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副局长</w:t>
            </w:r>
          </w:p>
        </w:tc>
        <w:tc>
          <w:tcPr>
            <w:tcW w:w="1105" w:type="dxa"/>
          </w:tcPr>
          <w:p w14:paraId="70D4BFDA">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57196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1470" w:type="dxa"/>
            <w:vAlign w:val="top"/>
          </w:tcPr>
          <w:p w14:paraId="4A937557">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尹国平</w:t>
            </w:r>
          </w:p>
        </w:tc>
        <w:tc>
          <w:tcPr>
            <w:tcW w:w="3225" w:type="dxa"/>
            <w:vAlign w:val="top"/>
          </w:tcPr>
          <w:p w14:paraId="40DB07FD">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井陉县发展和改革局</w:t>
            </w:r>
          </w:p>
        </w:tc>
        <w:tc>
          <w:tcPr>
            <w:tcW w:w="4400" w:type="dxa"/>
            <w:vAlign w:val="top"/>
          </w:tcPr>
          <w:p w14:paraId="6E4C60E0">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党组成员、副局长</w:t>
            </w:r>
          </w:p>
        </w:tc>
        <w:tc>
          <w:tcPr>
            <w:tcW w:w="1105" w:type="dxa"/>
          </w:tcPr>
          <w:p w14:paraId="45BB161D">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21183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470" w:type="dxa"/>
          </w:tcPr>
          <w:p w14:paraId="6BBBF6B2">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宋国哲</w:t>
            </w:r>
          </w:p>
        </w:tc>
        <w:tc>
          <w:tcPr>
            <w:tcW w:w="3225" w:type="dxa"/>
          </w:tcPr>
          <w:p w14:paraId="607EDFF7">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4753916B">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党组成员、价格认证中心主任</w:t>
            </w:r>
          </w:p>
        </w:tc>
        <w:tc>
          <w:tcPr>
            <w:tcW w:w="1105" w:type="dxa"/>
          </w:tcPr>
          <w:p w14:paraId="3DCDA564">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4D21C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1470" w:type="dxa"/>
          </w:tcPr>
          <w:p w14:paraId="39634ED3">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田晓晗</w:t>
            </w:r>
          </w:p>
        </w:tc>
        <w:tc>
          <w:tcPr>
            <w:tcW w:w="3225" w:type="dxa"/>
          </w:tcPr>
          <w:p w14:paraId="54FCB231">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4D6343D5">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办公室主任</w:t>
            </w:r>
          </w:p>
        </w:tc>
        <w:tc>
          <w:tcPr>
            <w:tcW w:w="1105" w:type="dxa"/>
          </w:tcPr>
          <w:p w14:paraId="50E3F164">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3C650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1470" w:type="dxa"/>
          </w:tcPr>
          <w:p w14:paraId="4676CDDD">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贾喜元</w:t>
            </w:r>
          </w:p>
        </w:tc>
        <w:tc>
          <w:tcPr>
            <w:tcW w:w="3225" w:type="dxa"/>
          </w:tcPr>
          <w:p w14:paraId="59EC6213">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2929D516">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重点项目协调股股长</w:t>
            </w:r>
          </w:p>
        </w:tc>
        <w:tc>
          <w:tcPr>
            <w:tcW w:w="1105" w:type="dxa"/>
          </w:tcPr>
          <w:p w14:paraId="1A72683E">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675E1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trPr>
        <w:tc>
          <w:tcPr>
            <w:tcW w:w="1470" w:type="dxa"/>
          </w:tcPr>
          <w:p w14:paraId="34894910">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冯永丰</w:t>
            </w:r>
          </w:p>
        </w:tc>
        <w:tc>
          <w:tcPr>
            <w:tcW w:w="3225" w:type="dxa"/>
          </w:tcPr>
          <w:p w14:paraId="15DDF429">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4A5A404F">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eastAsia="zh-CN"/>
              </w:rPr>
              <w:t>粮食物资储备</w:t>
            </w:r>
            <w:r>
              <w:rPr>
                <w:rFonts w:hint="eastAsia" w:ascii="仿宋" w:hAnsi="仿宋" w:eastAsia="仿宋" w:cs="仿宋"/>
                <w:sz w:val="32"/>
                <w:szCs w:val="32"/>
                <w:vertAlign w:val="baseline"/>
                <w:lang w:val="en-US" w:eastAsia="zh-CN"/>
              </w:rPr>
              <w:t>股负责人</w:t>
            </w:r>
          </w:p>
        </w:tc>
        <w:tc>
          <w:tcPr>
            <w:tcW w:w="1105" w:type="dxa"/>
          </w:tcPr>
          <w:p w14:paraId="74B2138B">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5FE58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1470" w:type="dxa"/>
          </w:tcPr>
          <w:p w14:paraId="08B091ED">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于海峰</w:t>
            </w:r>
          </w:p>
        </w:tc>
        <w:tc>
          <w:tcPr>
            <w:tcW w:w="3225" w:type="dxa"/>
          </w:tcPr>
          <w:p w14:paraId="48D160D1">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357EAE95">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经济运行股负责人</w:t>
            </w:r>
          </w:p>
        </w:tc>
        <w:tc>
          <w:tcPr>
            <w:tcW w:w="1105" w:type="dxa"/>
          </w:tcPr>
          <w:p w14:paraId="4B738AB8">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6BCF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1470" w:type="dxa"/>
          </w:tcPr>
          <w:p w14:paraId="4913D05D">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eastAsia="zh-CN"/>
              </w:rPr>
              <w:t>蒋玉玺</w:t>
            </w:r>
          </w:p>
        </w:tc>
        <w:tc>
          <w:tcPr>
            <w:tcW w:w="3225" w:type="dxa"/>
          </w:tcPr>
          <w:p w14:paraId="196C7A5A">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238DE103">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价格认证中心副主任</w:t>
            </w:r>
          </w:p>
        </w:tc>
        <w:tc>
          <w:tcPr>
            <w:tcW w:w="1105" w:type="dxa"/>
          </w:tcPr>
          <w:p w14:paraId="6F1CBB3B">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r w14:paraId="30723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trPr>
        <w:tc>
          <w:tcPr>
            <w:tcW w:w="1470" w:type="dxa"/>
          </w:tcPr>
          <w:p w14:paraId="18FC2307">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val="en-US" w:eastAsia="zh-CN"/>
              </w:rPr>
              <w:t>徐玮</w:t>
            </w:r>
          </w:p>
        </w:tc>
        <w:tc>
          <w:tcPr>
            <w:tcW w:w="3225" w:type="dxa"/>
          </w:tcPr>
          <w:p w14:paraId="6F934BFE">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井陉县发展和改革局</w:t>
            </w:r>
          </w:p>
        </w:tc>
        <w:tc>
          <w:tcPr>
            <w:tcW w:w="4400" w:type="dxa"/>
          </w:tcPr>
          <w:p w14:paraId="31A5A640">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财务</w:t>
            </w:r>
          </w:p>
        </w:tc>
        <w:tc>
          <w:tcPr>
            <w:tcW w:w="1105" w:type="dxa"/>
          </w:tcPr>
          <w:p w14:paraId="5E5A8974">
            <w:pPr>
              <w:keepNext w:val="0"/>
              <w:keepLines w:val="0"/>
              <w:pageBreakBefore w:val="0"/>
              <w:widowControl w:val="0"/>
              <w:kinsoku/>
              <w:wordWrap/>
              <w:overflowPunct/>
              <w:topLinePunct w:val="0"/>
              <w:autoSpaceDE w:val="0"/>
              <w:autoSpaceDN w:val="0"/>
              <w:bidi w:val="0"/>
              <w:adjustRightInd w:val="0"/>
              <w:snapToGrid/>
              <w:spacing w:line="700" w:lineRule="exact"/>
              <w:textAlignment w:val="auto"/>
              <w:rPr>
                <w:rFonts w:hint="eastAsia" w:ascii="仿宋" w:hAnsi="仿宋" w:eastAsia="仿宋" w:cs="仿宋"/>
                <w:sz w:val="32"/>
                <w:szCs w:val="32"/>
                <w:vertAlign w:val="baseline"/>
              </w:rPr>
            </w:pPr>
          </w:p>
        </w:tc>
      </w:tr>
    </w:tbl>
    <w:p w14:paraId="786D241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DD7DB0-58D7-4837-8DB5-0CC7FE77CF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panose1 w:val="02010600040101010101"/>
    <w:charset w:val="86"/>
    <w:family w:val="auto"/>
    <w:pitch w:val="default"/>
    <w:sig w:usb0="A00002BF" w:usb1="78CF7CFB" w:usb2="00000016" w:usb3="00000000" w:csb0="6006009F" w:csb1="DFD70000"/>
    <w:embedRegular r:id="rId2" w:fontKey="{4583CF26-CD5B-4641-9FC5-A01C292A4855}"/>
  </w:font>
  <w:font w:name="仿宋">
    <w:panose1 w:val="02010609060101010101"/>
    <w:charset w:val="86"/>
    <w:family w:val="modern"/>
    <w:pitch w:val="default"/>
    <w:sig w:usb0="800002BF" w:usb1="38CF7CFA" w:usb2="00000016" w:usb3="00000000" w:csb0="00040001" w:csb1="00000000"/>
    <w:embedRegular r:id="rId3" w:fontKey="{CE87EC50-DE50-4112-AB1C-5C7F9C639F2F}"/>
  </w:font>
  <w:font w:name="楷体">
    <w:panose1 w:val="02010609060101010101"/>
    <w:charset w:val="86"/>
    <w:family w:val="modern"/>
    <w:pitch w:val="default"/>
    <w:sig w:usb0="800002BF" w:usb1="38CF7CFA" w:usb2="00000016" w:usb3="00000000" w:csb0="00040001" w:csb1="00000000"/>
    <w:embedRegular r:id="rId4" w:fontKey="{CA625148-A8DD-49AE-9268-52681E2DE2D1}"/>
  </w:font>
  <w:font w:name="楷体_GB2312">
    <w:altName w:val="楷体"/>
    <w:panose1 w:val="02010609030101010101"/>
    <w:charset w:val="86"/>
    <w:family w:val="auto"/>
    <w:pitch w:val="default"/>
    <w:sig w:usb0="00000000" w:usb1="00000000" w:usb2="00000000" w:usb3="00000000" w:csb0="00040000" w:csb1="00000000"/>
    <w:embedRegular r:id="rId5" w:fontKey="{D54B6207-3B13-42B4-8FF1-F3C562AAD455}"/>
  </w:font>
  <w:font w:name="仿宋_GB2312">
    <w:panose1 w:val="02010609030101010101"/>
    <w:charset w:val="86"/>
    <w:family w:val="modern"/>
    <w:pitch w:val="default"/>
    <w:sig w:usb0="00000001" w:usb1="080E0000" w:usb2="00000000" w:usb3="00000000" w:csb0="00040000" w:csb1="00000000"/>
    <w:embedRegular r:id="rId6" w:fontKey="{C7389F95-8672-4E1A-BADD-44CC19FD870C}"/>
  </w:font>
  <w:font w:name="方正仿宋_GBK">
    <w:panose1 w:val="02000000000000000000"/>
    <w:charset w:val="86"/>
    <w:family w:val="auto"/>
    <w:pitch w:val="default"/>
    <w:sig w:usb0="A00002BF" w:usb1="38CF7CFA" w:usb2="00082016" w:usb3="00000000" w:csb0="00040001" w:csb1="00000000"/>
  </w:font>
  <w:font w:name="方正仿宋简体">
    <w:panose1 w:val="02000000000000000000"/>
    <w:charset w:val="86"/>
    <w:family w:val="script"/>
    <w:pitch w:val="default"/>
    <w:sig w:usb0="A00002BF" w:usb1="184F6CFA" w:usb2="00000012" w:usb3="00000000" w:csb0="00040001" w:csb1="00000000"/>
    <w:embedRegular r:id="rId7" w:fontKey="{DCA081BE-DE38-411C-A36E-1B3A75B9B5F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0B492E">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A067E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A067E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5B2477"/>
    <w:multiLevelType w:val="singleLevel"/>
    <w:tmpl w:val="E25B247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901967"/>
    <w:rsid w:val="07956271"/>
    <w:rsid w:val="09721397"/>
    <w:rsid w:val="0BB63BED"/>
    <w:rsid w:val="0EB97A43"/>
    <w:rsid w:val="0EBD2122"/>
    <w:rsid w:val="0F214EAE"/>
    <w:rsid w:val="11B71E6A"/>
    <w:rsid w:val="144B521C"/>
    <w:rsid w:val="1AAF0063"/>
    <w:rsid w:val="1BE140DE"/>
    <w:rsid w:val="248C197D"/>
    <w:rsid w:val="252959AF"/>
    <w:rsid w:val="277A6671"/>
    <w:rsid w:val="292D35B7"/>
    <w:rsid w:val="2DDA48FF"/>
    <w:rsid w:val="31151E97"/>
    <w:rsid w:val="33EB6CFF"/>
    <w:rsid w:val="35A12947"/>
    <w:rsid w:val="3682664A"/>
    <w:rsid w:val="37387040"/>
    <w:rsid w:val="3B0548E0"/>
    <w:rsid w:val="3B625C0A"/>
    <w:rsid w:val="3CEE1963"/>
    <w:rsid w:val="434019E2"/>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spacing w:after="0" w:line="360" w:lineRule="auto"/>
      <w:ind w:left="0" w:leftChars="0" w:firstLine="420" w:firstLineChars="200"/>
      <w:textAlignment w:val="baseline"/>
    </w:pPr>
    <w:rPr>
      <w:rFonts w:ascii="宋体" w:hAnsi="宋体" w:cs="宋体"/>
      <w:sz w:val="24"/>
    </w:rPr>
  </w:style>
  <w:style w:type="paragraph" w:styleId="3">
    <w:name w:val="Body Text Indent"/>
    <w:basedOn w:val="1"/>
    <w:next w:val="4"/>
    <w:qFormat/>
    <w:uiPriority w:val="99"/>
    <w:pPr>
      <w:spacing w:after="120"/>
      <w:ind w:left="420" w:leftChars="200"/>
    </w:pPr>
  </w:style>
  <w:style w:type="paragraph" w:styleId="4">
    <w:name w:val="Subtitle"/>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Body Text"/>
    <w:basedOn w:val="1"/>
    <w:uiPriority w:val="0"/>
    <w:pPr>
      <w:widowControl/>
      <w:spacing w:before="100" w:beforeAutospacing="1" w:after="100" w:afterAutospacing="1"/>
      <w:jc w:val="left"/>
    </w:pPr>
    <w:rPr>
      <w:rFonts w:ascii="宋体" w:hAnsi="宋体" w:cs="宋体"/>
      <w:kern w:val="0"/>
      <w:sz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Body Text First Indent"/>
    <w:basedOn w:val="5"/>
    <w:next w:val="1"/>
    <w:qFormat/>
    <w:uiPriority w:val="0"/>
    <w:pPr>
      <w:ind w:firstLine="420" w:firstLineChars="100"/>
    </w:pPr>
    <w:rPr>
      <w:rFonts w:hint="default" w:eastAsia="宋体"/>
      <w:kern w:val="2"/>
      <w:sz w:val="21"/>
      <w:lang w:val="en-US" w:eastAsia="zh-CN"/>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602</Words>
  <Characters>619</Characters>
  <Lines>4</Lines>
  <Paragraphs>1</Paragraphs>
  <TotalTime>4</TotalTime>
  <ScaleCrop>false</ScaleCrop>
  <LinksUpToDate>false</LinksUpToDate>
  <CharactersWithSpaces>641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hh</cp:lastModifiedBy>
  <cp:lastPrinted>2026-04-09T02:44:41Z</cp:lastPrinted>
  <dcterms:modified xsi:type="dcterms:W3CDTF">2026-04-09T02:46:15Z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807859DDDB204D7484EDDFBB4E9D1D2E</vt:lpwstr>
  </property>
  <property fmtid="{D5CDD505-2E9C-101B-9397-08002B2CF9AE}" pid="4" name="KSOTemplateDocerSaveRecord">
    <vt:lpwstr>eyJoZGlkIjoiNzhkZDdkNGRiYTI5MzdlNTU1ZDU5OWQyYTg2ODQ2NWIiLCJ1c2VySWQiOiIyNzEzMDc0OTIifQ==</vt:lpwstr>
  </property>
</Properties>
</file>