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030836"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附件3</w:t>
      </w:r>
    </w:p>
    <w:p w14:paraId="51902748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EC4B96C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中共井陉县委政法委员会</w:t>
      </w:r>
    </w:p>
    <w:p w14:paraId="6937BB63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55A6A931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F0178F4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为贯彻落实市委市政府《关于全面落实预算绩效管理的实施意见》（石发﹝2019﹞8号）文件精神，遵循“科学性、规范性、客观性和公正性”的原则，对政法委部门202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64D2D708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768662DB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（一）部门概况</w:t>
      </w:r>
    </w:p>
    <w:p w14:paraId="354B83BC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1、部门</w:t>
      </w:r>
      <w:r>
        <w:rPr>
          <w:rFonts w:ascii="仿宋" w:hAnsi="仿宋" w:eastAsia="仿宋"/>
          <w:b/>
          <w:sz w:val="32"/>
          <w:szCs w:val="32"/>
        </w:rPr>
        <w:t>职责：</w:t>
      </w:r>
    </w:p>
    <w:p w14:paraId="7DD2AF0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深入贯彻习近平新时代中国特色社会主义思想，坚持党对政法工作的绝对领导，坚决维护习近平总书记党中央的核心、全党的核心地位，坚决维护党中央权威和集中统一领导，深入贯彻党的路线方针政策和中央、省委、市委、县委的决策部署，统一全县政法单位思想和行动，确保全县政法单位坚定正确的政治方向。</w:t>
      </w:r>
    </w:p>
    <w:p w14:paraId="1874669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（二）对全县政法工作研究提出全局性部署，推进平安井陉、法治井陉建设，加强过硬队伍建设，深化智能化建设，坚决维护国家政治安全、确保社会大局稳定、促进社会公平正义、保障人民安居乐业。</w:t>
      </w:r>
    </w:p>
    <w:p w14:paraId="3AE6DA9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（三）了解掌握和分析研判政法工作情况动态，分析社会稳定形势，创新完善多部门参与的综治维稳工作机制，协调推动预防、化解影响稳定的社会矛盾和风险，协调应对和处置重大突发事件。</w:t>
      </w:r>
    </w:p>
    <w:p w14:paraId="5D62A9E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（四）加强对政法工作的督查，统筹协调社会治安综合治理、维护社会稳定、反邪教有关法律法规政策的实施工作。</w:t>
      </w:r>
    </w:p>
    <w:p w14:paraId="78A2975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（五）组织开展政法领域的调查研究，研究拟订政法工作的重大措施，及时向县委提出建议。</w:t>
      </w:r>
    </w:p>
    <w:p w14:paraId="0B972726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（六）掌握分析政法舆情动态，指导协调政法单位媒体网络宣传工作，指导政法单位做好涉及政法工作的重大宣传工作。</w:t>
      </w:r>
    </w:p>
    <w:p w14:paraId="300E47C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（七）监督和支持政法单位依法行使职权，指导和协调政法单位密切配合，研究和协调重大、疑难案件，指导政法单位涉法涉诉信访工作，推进严格执法、公正司法。</w:t>
      </w:r>
    </w:p>
    <w:p w14:paraId="07A7363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（八）组织研究政法改革中带有方向性、倾向性和普遍性的重大问题，深化政法改革，联系县委全面依法治县委员会办公室。</w:t>
      </w:r>
    </w:p>
    <w:p w14:paraId="3C18B35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（九）指导推动政法系统党的建设和政法队伍建设，协调和指导全县见义勇为工作，代管县法学会。</w:t>
      </w:r>
    </w:p>
    <w:p w14:paraId="3BBFBA6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（十）统筹推动全县政法系统信息化工作，指导政法智能化建设。</w:t>
      </w:r>
    </w:p>
    <w:p w14:paraId="36BE734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（十一）完成市委政法委员会、县委交办的其他任务。</w:t>
      </w:r>
    </w:p>
    <w:p w14:paraId="741B29DC">
      <w:pPr>
        <w:rPr>
          <w:rFonts w:ascii="仿宋" w:hAnsi="仿宋" w:eastAsia="仿宋" w:cs="Times New Roman"/>
          <w:b/>
          <w:sz w:val="32"/>
          <w:szCs w:val="32"/>
        </w:rPr>
      </w:pPr>
      <w:r>
        <w:rPr>
          <w:rFonts w:hint="eastAsia" w:ascii="仿宋" w:hAnsi="仿宋" w:eastAsia="仿宋" w:cs="Times New Roman"/>
          <w:b/>
          <w:sz w:val="32"/>
          <w:szCs w:val="32"/>
        </w:rPr>
        <w:t>2、机构设置：</w:t>
      </w:r>
    </w:p>
    <w:p w14:paraId="3B544C96">
      <w:pPr>
        <w:jc w:val="center"/>
        <w:outlineLvl w:val="0"/>
        <w:rPr>
          <w:rFonts w:ascii="Times New Roman" w:hAnsi="Times New Roman" w:eastAsia="方正小标宋_GBK" w:cs="Times New Roman"/>
          <w:sz w:val="32"/>
          <w:szCs w:val="24"/>
        </w:rPr>
      </w:pPr>
      <w:r>
        <w:rPr>
          <w:rFonts w:ascii="Times New Roman" w:hAnsi="Times New Roman" w:eastAsia="方正小标宋_GBK" w:cs="Times New Roman"/>
          <w:sz w:val="32"/>
          <w:szCs w:val="24"/>
        </w:rPr>
        <w:t>部门</w:t>
      </w:r>
      <w:r>
        <w:rPr>
          <w:rFonts w:hint="eastAsia" w:ascii="Times New Roman" w:hAnsi="Times New Roman" w:eastAsia="方正小标宋_GBK" w:cs="Times New Roman"/>
          <w:sz w:val="32"/>
          <w:szCs w:val="24"/>
        </w:rPr>
        <w:t>机构设置情况</w:t>
      </w:r>
    </w:p>
    <w:tbl>
      <w:tblPr>
        <w:tblStyle w:val="5"/>
        <w:tblW w:w="985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3"/>
        <w:gridCol w:w="1148"/>
        <w:gridCol w:w="1292"/>
        <w:gridCol w:w="2939"/>
      </w:tblGrid>
      <w:tr w14:paraId="06C904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tblHeader/>
          <w:jc w:val="center"/>
        </w:trPr>
        <w:tc>
          <w:tcPr>
            <w:tcW w:w="4473" w:type="dxa"/>
            <w:vMerge w:val="restart"/>
            <w:vAlign w:val="center"/>
          </w:tcPr>
          <w:p w14:paraId="380AEA4C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单位名称</w:t>
            </w:r>
          </w:p>
        </w:tc>
        <w:tc>
          <w:tcPr>
            <w:tcW w:w="1148" w:type="dxa"/>
            <w:vMerge w:val="restart"/>
            <w:vAlign w:val="center"/>
          </w:tcPr>
          <w:p w14:paraId="657B5F38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单位性质</w:t>
            </w:r>
          </w:p>
        </w:tc>
        <w:tc>
          <w:tcPr>
            <w:tcW w:w="1292" w:type="dxa"/>
            <w:vMerge w:val="restart"/>
            <w:vAlign w:val="center"/>
          </w:tcPr>
          <w:p w14:paraId="4ADCCFE4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单位规格</w:t>
            </w:r>
          </w:p>
        </w:tc>
        <w:tc>
          <w:tcPr>
            <w:tcW w:w="2939" w:type="dxa"/>
            <w:vMerge w:val="restart"/>
            <w:vAlign w:val="center"/>
          </w:tcPr>
          <w:p w14:paraId="39C80D9A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b/>
                <w:szCs w:val="24"/>
              </w:rPr>
            </w:pPr>
            <w:r>
              <w:rPr>
                <w:rFonts w:ascii="Times New Roman" w:hAnsi="Times New Roman" w:eastAsia="方正书宋_GBK" w:cs="Times New Roman"/>
                <w:b/>
                <w:szCs w:val="24"/>
              </w:rPr>
              <w:t>经费保障形式</w:t>
            </w:r>
          </w:p>
        </w:tc>
      </w:tr>
      <w:tr w14:paraId="00BC8E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4473" w:type="dxa"/>
            <w:vMerge w:val="continue"/>
            <w:vAlign w:val="center"/>
          </w:tcPr>
          <w:p w14:paraId="0BB2DE9C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148" w:type="dxa"/>
            <w:vMerge w:val="continue"/>
            <w:vAlign w:val="center"/>
          </w:tcPr>
          <w:p w14:paraId="4409561D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292" w:type="dxa"/>
            <w:vMerge w:val="continue"/>
            <w:vAlign w:val="center"/>
          </w:tcPr>
          <w:p w14:paraId="71F07687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2939" w:type="dxa"/>
            <w:vMerge w:val="continue"/>
            <w:vAlign w:val="center"/>
          </w:tcPr>
          <w:p w14:paraId="2E26106A">
            <w:pPr>
              <w:spacing w:line="300" w:lineRule="exact"/>
              <w:jc w:val="left"/>
              <w:outlineLvl w:val="0"/>
              <w:rPr>
                <w:rFonts w:ascii="Times New Roman" w:hAnsi="Times New Roman" w:cs="Times New Roman"/>
                <w:szCs w:val="24"/>
              </w:rPr>
            </w:pPr>
          </w:p>
        </w:tc>
      </w:tr>
      <w:tr w14:paraId="72CFFC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4473" w:type="dxa"/>
            <w:vAlign w:val="center"/>
          </w:tcPr>
          <w:p w14:paraId="790E2F84">
            <w:pPr>
              <w:spacing w:line="300" w:lineRule="exact"/>
              <w:jc w:val="left"/>
              <w:rPr>
                <w:rFonts w:hint="eastAsia" w:ascii="Times New Roman" w:hAnsi="Times New Roman" w:eastAsia="方正书宋_GBK" w:cs="Times New Roman"/>
                <w:szCs w:val="24"/>
                <w:lang w:eastAsia="zh-CN"/>
              </w:rPr>
            </w:pPr>
            <w:r>
              <w:rPr>
                <w:rFonts w:hint="eastAsia" w:ascii="方正书宋_GBK" w:eastAsia="方正书宋_GBK"/>
              </w:rPr>
              <w:t>中共井陉县委政法委</w:t>
            </w:r>
            <w:r>
              <w:rPr>
                <w:rFonts w:hint="eastAsia" w:ascii="方正书宋_GBK" w:eastAsia="方正书宋_GBK"/>
                <w:lang w:eastAsia="zh-CN"/>
              </w:rPr>
              <w:t>员会</w:t>
            </w:r>
          </w:p>
        </w:tc>
        <w:tc>
          <w:tcPr>
            <w:tcW w:w="1148" w:type="dxa"/>
            <w:vAlign w:val="center"/>
          </w:tcPr>
          <w:p w14:paraId="3375DFF3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92" w:type="dxa"/>
            <w:vAlign w:val="center"/>
          </w:tcPr>
          <w:p w14:paraId="2CB5E9B1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939" w:type="dxa"/>
            <w:vAlign w:val="center"/>
          </w:tcPr>
          <w:p w14:paraId="5A57CF40">
            <w:pPr>
              <w:spacing w:line="300" w:lineRule="exact"/>
              <w:jc w:val="center"/>
              <w:rPr>
                <w:rFonts w:ascii="Times New Roman" w:hAnsi="Times New Roman" w:eastAsia="方正书宋_GBK" w:cs="Times New Roman"/>
                <w:szCs w:val="24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</w:tr>
    </w:tbl>
    <w:p w14:paraId="6D7AF234"/>
    <w:p w14:paraId="1CEB013A">
      <w:pPr>
        <w:pStyle w:val="2"/>
        <w:ind w:firstLine="562" w:firstLineChars="200"/>
        <w:rPr>
          <w:rFonts w:ascii="仿宋" w:hAnsi="仿宋" w:eastAsia="仿宋" w:cs="仿宋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</w:rPr>
        <w:t>3、资产情况：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井陉县政法委202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年末固定资产</w:t>
      </w:r>
      <w:r>
        <w:rPr>
          <w:rFonts w:hint="eastAsia" w:ascii="仿宋" w:hAnsi="仿宋" w:eastAsia="仿宋" w:cs="仿宋"/>
          <w:color w:val="000000"/>
          <w:sz w:val="28"/>
          <w:szCs w:val="28"/>
          <w:lang w:eastAsia="zh-CN"/>
        </w:rPr>
        <w:t>原值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金额为</w:t>
      </w:r>
      <w:r>
        <w:rPr>
          <w:rFonts w:hint="eastAsia" w:ascii="仿宋" w:hAnsi="仿宋" w:eastAsia="仿宋" w:cs="仿宋"/>
          <w:color w:val="000000"/>
          <w:sz w:val="28"/>
          <w:szCs w:val="28"/>
          <w:lang w:val="en-US" w:eastAsia="zh-CN"/>
        </w:rPr>
        <w:t>1878.69</w:t>
      </w:r>
      <w:r>
        <w:rPr>
          <w:rFonts w:hint="eastAsia" w:ascii="仿宋" w:hAnsi="仿宋" w:eastAsia="仿宋" w:cs="仿宋"/>
          <w:color w:val="000000"/>
          <w:sz w:val="28"/>
          <w:szCs w:val="28"/>
        </w:rPr>
        <w:t>万元。</w:t>
      </w:r>
    </w:p>
    <w:p w14:paraId="1D0B3C15">
      <w:pPr>
        <w:adjustRightInd w:val="0"/>
        <w:snapToGrid w:val="0"/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（二）部门收支预决算情况</w:t>
      </w:r>
    </w:p>
    <w:p w14:paraId="182A6F32">
      <w:pPr>
        <w:ind w:firstLine="64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1、</w:t>
      </w:r>
      <w:r>
        <w:rPr>
          <w:rFonts w:ascii="Times New Roman" w:hAnsi="Times New Roman" w:eastAsia="仿宋" w:cs="Times New Roman"/>
          <w:sz w:val="32"/>
          <w:szCs w:val="32"/>
        </w:rPr>
        <w:t>收入说明</w:t>
      </w:r>
    </w:p>
    <w:p w14:paraId="3ECDA58D">
      <w:pPr>
        <w:ind w:firstLine="64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2025</w:t>
      </w:r>
      <w:r>
        <w:rPr>
          <w:rFonts w:hint="eastAsia" w:ascii="Times New Roman" w:hAnsi="Times New Roman" w:eastAsia="仿宋" w:cs="Times New Roman"/>
          <w:sz w:val="32"/>
          <w:szCs w:val="32"/>
        </w:rPr>
        <w:t>年预算收入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853.21</w:t>
      </w:r>
      <w:r>
        <w:rPr>
          <w:rFonts w:hint="eastAsia" w:ascii="Times New Roman" w:hAnsi="Times New Roman" w:eastAsia="仿宋" w:cs="Times New Roman"/>
          <w:sz w:val="32"/>
          <w:szCs w:val="32"/>
        </w:rPr>
        <w:t>万元。</w:t>
      </w:r>
    </w:p>
    <w:p w14:paraId="3FC706A8">
      <w:pPr>
        <w:ind w:firstLine="64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2、</w:t>
      </w:r>
      <w:r>
        <w:rPr>
          <w:rFonts w:ascii="Times New Roman" w:hAnsi="Times New Roman" w:eastAsia="仿宋" w:cs="Times New Roman"/>
          <w:sz w:val="32"/>
          <w:szCs w:val="32"/>
        </w:rPr>
        <w:t>支出说明</w:t>
      </w:r>
    </w:p>
    <w:p w14:paraId="09B07960">
      <w:pPr>
        <w:ind w:firstLine="64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2025</w:t>
      </w:r>
      <w:r>
        <w:rPr>
          <w:rFonts w:hint="eastAsia" w:ascii="Times New Roman" w:hAnsi="Times New Roman" w:eastAsia="仿宋" w:cs="Times New Roman"/>
          <w:sz w:val="32"/>
          <w:szCs w:val="32"/>
        </w:rPr>
        <w:t>年部门支出预算为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853.21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万元，其中基本支出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290.32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万元，包括人员经费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266.79</w:t>
      </w:r>
      <w:r>
        <w:rPr>
          <w:rFonts w:hint="eastAsia" w:ascii="Times New Roman" w:hAnsi="Times New Roman" w:eastAsia="仿宋" w:cs="Times New Roman"/>
          <w:sz w:val="32"/>
          <w:szCs w:val="32"/>
        </w:rPr>
        <w:t>万元和日常公用经费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23.53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万元；项目支出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562.89</w:t>
      </w:r>
      <w:r>
        <w:rPr>
          <w:rFonts w:hint="eastAsia" w:ascii="Times New Roman" w:hAnsi="Times New Roman" w:eastAsia="仿宋" w:cs="Times New Roman"/>
          <w:sz w:val="32"/>
          <w:szCs w:val="32"/>
        </w:rPr>
        <w:t>万元。</w:t>
      </w:r>
    </w:p>
    <w:p w14:paraId="0A187D65">
      <w:pPr>
        <w:adjustRightInd w:val="0"/>
        <w:snapToGrid w:val="0"/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（三）部门整体支出绩效目标、指标</w:t>
      </w:r>
    </w:p>
    <w:p w14:paraId="4F39FDD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（一）是社会治安综合治理工作。进一步加强社会治安防控体系建设，加大矛盾纠纷排查化解力度，严格落实社会治安综合治理领导责任制。社会稳定无大案（事）件发生，群众安全感满意度上升。</w:t>
      </w:r>
    </w:p>
    <w:p w14:paraId="34DAEC2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做好校园周边安全问题，保证学生问题。弘扬社会正能量，积极发扬见义勇为模范的带头引领作用，使全社会都参与到帮助他们的氛围中；加大平安建设的力度，积极筹建各种平安细胞的建设；落实严重精神障碍患者的救助救治工作，加大农村社会治安保险的宣传力度，使治安保险真正成为平安建设的有力帮手。</w:t>
      </w:r>
    </w:p>
    <w:p w14:paraId="65EA602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二）是社会稳定工作。全县各级各部门维稳工作水平得到明显提升，涉稳事件数量同比下降，为全县经济发展创造良好稳定的社会环境。全县各级各部门维稳工作水平得到明显提升；涉稳事件同比下降，为全县经济发展创造良好、稳定的社会环境。深入调研与信息搜集，敏感时间节点及重大事件前后风险评估，开展敌情社情线索查证等工作。</w:t>
      </w:r>
    </w:p>
    <w:p w14:paraId="7AFA947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（三）是队伍建设。提高全体干警的思想政治素质、业务工作能力、职业道德水准，努力打造一支“忠诚、为民、公正、廉洁、务实”的政法队伍。</w:t>
      </w:r>
    </w:p>
    <w:p w14:paraId="3C4DB73F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（四）是铁路护路联防工作。全国两会</w:t>
      </w:r>
      <w:bookmarkStart w:id="1" w:name="_GoBack"/>
      <w:bookmarkEnd w:id="1"/>
      <w:r>
        <w:rPr>
          <w:rFonts w:ascii="仿宋" w:hAnsi="仿宋" w:eastAsia="仿宋"/>
          <w:sz w:val="32"/>
          <w:szCs w:val="32"/>
        </w:rPr>
        <w:t>等重点时期铁路沿线社会治安绝对稳定，不发生任何影响铁路安全行车的案事件，以深化涉路矛盾纠纷调处化解和安全隐患排查整治为抓手，全面优化铁路运输环境，以强化爱护铁路宣传教育为前提，提升沿线广大群众爱路护路意识。</w:t>
      </w:r>
    </w:p>
    <w:p w14:paraId="3D516FE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A255AA4">
      <w:pPr>
        <w:spacing w:line="560" w:lineRule="exact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6B995B1C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根据《中华人民共和国预算法》、井陉县委、县政府《关于全面落实预算绩效管理实施意见》等文件精神，县政法委高度重视绩效自评工作，成立由一把手担任组长，办公室财务负责人、财会人员、内审人员等专业人员参加的绩效评价小组，制定自评工作方案，明确了评价内容、评价程序及时间安排。召开专题会议，组织评价小组成员认真学习相关文件精神，掌握政策要求，做好准备工作。评价小组采用定性分析与定量分析相结合的方法，从预算管理、预算执行、专项资金使用及产生效益等方面，对</w:t>
      </w:r>
      <w:r>
        <w:rPr>
          <w:rFonts w:hint="eastAsia" w:ascii="仿宋" w:hAnsi="仿宋" w:eastAsia="仿宋"/>
          <w:sz w:val="32"/>
          <w:szCs w:val="32"/>
          <w:lang w:eastAsia="zh-CN"/>
        </w:rPr>
        <w:t>2025</w:t>
      </w:r>
      <w:r>
        <w:rPr>
          <w:rFonts w:hint="eastAsia" w:ascii="仿宋" w:hAnsi="仿宋" w:eastAsia="仿宋"/>
          <w:sz w:val="32"/>
          <w:szCs w:val="32"/>
        </w:rPr>
        <w:t>年年初预算确定的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个项目进行了综合评价，完成了《井陉县县级部门预算项目绩效自评表》，并对严重精神障碍患者监护人责任险及以奖代补资金进行重点评价，形成了专项资金绩效评价报告。</w:t>
      </w:r>
    </w:p>
    <w:p w14:paraId="097F4C96">
      <w:pPr>
        <w:spacing w:line="560" w:lineRule="exact"/>
        <w:ind w:firstLine="643" w:firstLineChars="200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（二）自评的方法和过程</w:t>
      </w:r>
    </w:p>
    <w:p w14:paraId="2BD83A9D"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评价方法：一是对照“部门整体支出绩效评价指标体系评分表”的主要考评内容及工作完成情况，将可以公开的资料整理成佐证材料。对照当年工作计划和上级交办的各项工作内容，进行自评、复合，形成总体得分。二是组织纳入部门整体支出绩效评价范围的项目，对专项项目实施了绩效自评。</w:t>
      </w:r>
    </w:p>
    <w:p w14:paraId="0116D28E"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（二）实施过程：成立项目自评小组，项目执行科室为项目自评的组织科室，负责项目工作的组织、实施、自评。通过填写“县级部门预算项目绩效自评表”，进行专项项目自评。</w:t>
      </w:r>
    </w:p>
    <w:p w14:paraId="1072BB32">
      <w:pPr>
        <w:ind w:firstLine="320" w:firstLineChars="1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部门预算安排及资金分配拨付情况：根据《中华人民共和国会计法》、《中华人民共和国预算法》、《行政事业单位财务规则》和专项资金管理制度的规定，认真落实专项资金专款专用、使用评价、绩效考核，对专项资金项目量化指标和任务，确定项目实施目标，确保专项资金使用达到实效。</w:t>
      </w:r>
    </w:p>
    <w:p w14:paraId="760E4CF8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76BCB8B3">
      <w:pPr>
        <w:numPr>
          <w:ilvl w:val="0"/>
          <w:numId w:val="1"/>
        </w:numPr>
        <w:spacing w:line="560" w:lineRule="exact"/>
        <w:ind w:firstLine="643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总体绩效目标实现情况</w:t>
      </w:r>
    </w:p>
    <w:p w14:paraId="2E1E4424">
      <w:pPr>
        <w:pStyle w:val="8"/>
        <w:autoSpaceDE w:val="0"/>
        <w:autoSpaceDN w:val="0"/>
        <w:adjustRightInd w:val="0"/>
        <w:ind w:firstLine="419" w:firstLineChars="131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1、</w:t>
      </w:r>
      <w:r>
        <w:rPr>
          <w:rFonts w:ascii="Times New Roman" w:hAnsi="Times New Roman" w:eastAsia="仿宋" w:cs="Times New Roman"/>
          <w:sz w:val="32"/>
          <w:szCs w:val="32"/>
        </w:rPr>
        <w:t>社会治安综合治理工作。</w:t>
      </w:r>
      <w:r>
        <w:rPr>
          <w:rFonts w:hint="eastAsia" w:ascii="Times New Roman" w:hAnsi="Times New Roman" w:eastAsia="仿宋" w:cs="Times New Roman"/>
          <w:sz w:val="32"/>
          <w:szCs w:val="32"/>
        </w:rPr>
        <w:t>社会突出治安问题得以解决，社会矛盾纠纷得以排查和调处，社会治安形式得以好转。</w:t>
      </w:r>
    </w:p>
    <w:p w14:paraId="73AF9904">
      <w:pPr>
        <w:pStyle w:val="8"/>
        <w:autoSpaceDE w:val="0"/>
        <w:autoSpaceDN w:val="0"/>
        <w:adjustRightInd w:val="0"/>
        <w:ind w:left="-65" w:leftChars="-31" w:firstLine="480" w:firstLineChars="15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2、</w:t>
      </w:r>
      <w:r>
        <w:rPr>
          <w:rFonts w:ascii="Times New Roman" w:hAnsi="Times New Roman" w:eastAsia="仿宋" w:cs="Times New Roman"/>
          <w:sz w:val="32"/>
          <w:szCs w:val="32"/>
        </w:rPr>
        <w:t>社会稳定工作。全县各级各部门维稳工作水平得到明显提升，涉稳事件数量同比下降，敏感时间节点及重大事件前后风险评估，开展敌情社情线索查证等工作。</w:t>
      </w:r>
    </w:p>
    <w:p w14:paraId="2A178BE6">
      <w:pPr>
        <w:autoSpaceDE w:val="0"/>
        <w:autoSpaceDN w:val="0"/>
        <w:adjustRightInd w:val="0"/>
        <w:ind w:firstLine="480" w:firstLineChars="15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3、</w:t>
      </w:r>
      <w:r>
        <w:rPr>
          <w:rFonts w:ascii="Times New Roman" w:hAnsi="Times New Roman" w:eastAsia="仿宋" w:cs="Times New Roman"/>
          <w:sz w:val="32"/>
          <w:szCs w:val="32"/>
        </w:rPr>
        <w:t>队伍建设。提高全体干警的思想政治素质、业务工作能力、职业道德水准，打造</w:t>
      </w:r>
      <w:r>
        <w:rPr>
          <w:rFonts w:hint="eastAsia" w:ascii="Times New Roman" w:hAnsi="Times New Roman" w:eastAsia="仿宋" w:cs="Times New Roman"/>
          <w:sz w:val="32"/>
          <w:szCs w:val="32"/>
        </w:rPr>
        <w:t>出</w:t>
      </w:r>
      <w:r>
        <w:rPr>
          <w:rFonts w:ascii="Times New Roman" w:hAnsi="Times New Roman" w:eastAsia="仿宋" w:cs="Times New Roman"/>
          <w:sz w:val="32"/>
          <w:szCs w:val="32"/>
        </w:rPr>
        <w:t>一支“忠诚、为民、公正、廉洁、务实”的政法队伍。</w:t>
      </w:r>
    </w:p>
    <w:p w14:paraId="5A8963DD">
      <w:pPr>
        <w:autoSpaceDE w:val="0"/>
        <w:autoSpaceDN w:val="0"/>
        <w:adjustRightInd w:val="0"/>
        <w:ind w:firstLine="480" w:firstLineChars="150"/>
        <w:jc w:val="left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4、</w:t>
      </w:r>
      <w:r>
        <w:rPr>
          <w:rFonts w:ascii="Times New Roman" w:hAnsi="Times New Roman" w:eastAsia="仿宋" w:cs="Times New Roman"/>
          <w:sz w:val="32"/>
          <w:szCs w:val="32"/>
        </w:rPr>
        <w:t>铁路护路联防工作。</w:t>
      </w:r>
      <w:r>
        <w:rPr>
          <w:rFonts w:hint="eastAsia" w:ascii="Times New Roman" w:hAnsi="Times New Roman" w:eastAsia="仿宋" w:cs="Times New Roman"/>
          <w:sz w:val="32"/>
          <w:szCs w:val="32"/>
        </w:rPr>
        <w:t>完成了重点时期铁路护路安全保卫工作。</w:t>
      </w:r>
    </w:p>
    <w:p w14:paraId="6465E731">
      <w:pPr>
        <w:spacing w:line="560" w:lineRule="exact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（二）分项绩效目标实现情况及指标分析</w:t>
      </w:r>
    </w:p>
    <w:p w14:paraId="75D45583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1、综合治理工作</w:t>
      </w:r>
    </w:p>
    <w:p w14:paraId="14DC0C16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绩效目标：完成平安建设考核内容</w:t>
      </w:r>
    </w:p>
    <w:p w14:paraId="54F96FA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绩效指标：社会治安重点地区和突出治安问题排查整治率、特殊人群服务管理率、综治中心建设完成率</w:t>
      </w:r>
    </w:p>
    <w:p w14:paraId="4098AFA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2、维稳指导工作</w:t>
      </w:r>
    </w:p>
    <w:p w14:paraId="4A21A70C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绩效目标：完成</w:t>
      </w:r>
      <w:r>
        <w:rPr>
          <w:rFonts w:hint="eastAsia" w:ascii="仿宋" w:hAnsi="仿宋" w:eastAsia="仿宋"/>
          <w:sz w:val="32"/>
          <w:szCs w:val="32"/>
          <w:lang w:eastAsia="zh-CN"/>
        </w:rPr>
        <w:t>2025</w:t>
      </w:r>
      <w:r>
        <w:rPr>
          <w:rFonts w:ascii="仿宋" w:hAnsi="仿宋" w:eastAsia="仿宋"/>
          <w:sz w:val="32"/>
          <w:szCs w:val="32"/>
        </w:rPr>
        <w:t>年重大活动安保任务</w:t>
      </w:r>
    </w:p>
    <w:p w14:paraId="406940A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绩效指标：监督维稳工作任务完成率</w:t>
      </w:r>
    </w:p>
    <w:p w14:paraId="61CDE7F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3、反邪教协调工作</w:t>
      </w:r>
    </w:p>
    <w:p w14:paraId="216E4EA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绩效目标：开展反邪教宣传教育工作和教育转化工作</w:t>
      </w:r>
    </w:p>
    <w:p w14:paraId="017ACDFF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绩效指标：教育转化率</w:t>
      </w:r>
    </w:p>
    <w:p w14:paraId="4C6BC8A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4、扫黑除恶工作</w:t>
      </w:r>
    </w:p>
    <w:p w14:paraId="3185A81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绩效目标：通过3年不懈努力，黑恶势力违法犯罪得到根本遏制，黑恶势力“保护伞”得以铲除</w:t>
      </w:r>
    </w:p>
    <w:p w14:paraId="31C252C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绩效指标：人民群众的安全感和满意度明显提升</w:t>
      </w:r>
    </w:p>
    <w:p w14:paraId="2BC3692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6E33B7C5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根据部门职责定位和各项工作履职情况进行综合评价，给出总得分，满分100分，得出综合绩效评价等级。部门整体支出综合绩效评价得分</w:t>
      </w:r>
      <w:r>
        <w:rPr>
          <w:rFonts w:hint="eastAsia" w:ascii="仿宋" w:hAnsi="仿宋" w:eastAsia="仿宋" w:cs="Arial"/>
          <w:sz w:val="32"/>
          <w:szCs w:val="32"/>
        </w:rPr>
        <w:t>＞</w:t>
      </w:r>
      <w:r>
        <w:rPr>
          <w:rFonts w:hint="eastAsia" w:ascii="仿宋" w:hAnsi="仿宋" w:eastAsia="仿宋"/>
          <w:sz w:val="32"/>
          <w:szCs w:val="32"/>
        </w:rPr>
        <w:t>90分，为优秀。</w:t>
      </w:r>
    </w:p>
    <w:p w14:paraId="1205607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56DAD7EC">
      <w:pPr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4B36887E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1、财务制度不够完善，资产管理不够严谨，业务素质有待提高。</w:t>
      </w:r>
    </w:p>
    <w:p w14:paraId="307442E0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2、部分项目资金支付进度较缓慢，加快支出进度。</w:t>
      </w:r>
    </w:p>
    <w:p w14:paraId="0F2718C1">
      <w:pPr>
        <w:spacing w:line="560" w:lineRule="exact"/>
        <w:ind w:firstLine="643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0468B694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1、加强制度建设。建立健全机关预算绩效管理制度，为全年预算绩效目标的实现奠定制度基础。</w:t>
      </w:r>
    </w:p>
    <w:p w14:paraId="7A59F1A0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2、规范财务管理。进一步完善财务管理制度，通过科学编制预算、优化支出结构、加快政府采购、加快项目建设、及时拨付资金，确保经费支出进度达到规定标准。</w:t>
      </w:r>
    </w:p>
    <w:p w14:paraId="69452077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3、加强内部监督。加强内部监督制度建设，对绩效运行、重大支出事项、资产处置及其他重要经济业务事项决策和执行进行监督，定期开展财务内部审计，确保财政资金使用安全合规。</w:t>
      </w:r>
    </w:p>
    <w:p w14:paraId="30EC6B2A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4、加强绩效监控。积极开展绩效运行监控，发现问题及时采取措施，确保绩效目标如期保质实现。</w:t>
      </w:r>
    </w:p>
    <w:p w14:paraId="765577CF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5、做好绩效自评。按要求开展部门预算绩效自评和重点项目评价工作，对评价中发现的问题及时整改。</w:t>
      </w:r>
    </w:p>
    <w:p w14:paraId="5E95DC5C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6、加强宣传培训。加强人员培训，加大宣传力度，强化预算绩效管理意识，促进预算绩效管理水平提升。</w:t>
      </w:r>
    </w:p>
    <w:p w14:paraId="577835A7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31337F01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 xml:space="preserve">组长：    </w:t>
      </w:r>
      <w:r>
        <w:rPr>
          <w:rFonts w:hint="eastAsia" w:ascii="仿宋" w:hAnsi="仿宋" w:eastAsia="仿宋"/>
          <w:bCs/>
          <w:sz w:val="32"/>
          <w:szCs w:val="32"/>
          <w:lang w:eastAsia="zh-CN"/>
        </w:rPr>
        <w:t>王国育</w:t>
      </w:r>
      <w:r>
        <w:rPr>
          <w:rFonts w:hint="eastAsia" w:ascii="仿宋" w:hAnsi="仿宋" w:eastAsia="仿宋"/>
          <w:bCs/>
          <w:sz w:val="32"/>
          <w:szCs w:val="32"/>
        </w:rPr>
        <w:t xml:space="preserve"> 中共井陉县委政法委   常务副书记</w:t>
      </w:r>
    </w:p>
    <w:p w14:paraId="2DE814C2">
      <w:pPr>
        <w:spacing w:line="560" w:lineRule="exact"/>
        <w:ind w:firstLine="640" w:firstLineChars="200"/>
        <w:rPr>
          <w:rFonts w:hint="eastAsia"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 xml:space="preserve">副组长：  </w:t>
      </w:r>
      <w:r>
        <w:rPr>
          <w:rFonts w:hint="eastAsia" w:ascii="仿宋" w:hAnsi="仿宋" w:eastAsia="仿宋"/>
          <w:bCs/>
          <w:sz w:val="32"/>
          <w:szCs w:val="32"/>
          <w:lang w:eastAsia="zh-CN"/>
        </w:rPr>
        <w:t>李玉庭</w:t>
      </w:r>
      <w:r>
        <w:rPr>
          <w:rFonts w:hint="eastAsia" w:ascii="仿宋" w:hAnsi="仿宋" w:eastAsia="仿宋"/>
          <w:bCs/>
          <w:sz w:val="32"/>
          <w:szCs w:val="32"/>
        </w:rPr>
        <w:t xml:space="preserve">  中共井陉县委政法委   </w:t>
      </w:r>
      <w:bookmarkStart w:id="0" w:name="OLE_LINK2"/>
      <w:r>
        <w:rPr>
          <w:rFonts w:hint="eastAsia" w:ascii="仿宋" w:hAnsi="仿宋" w:eastAsia="仿宋"/>
          <w:bCs/>
          <w:sz w:val="32"/>
          <w:szCs w:val="32"/>
        </w:rPr>
        <w:t>副书记</w:t>
      </w:r>
      <w:bookmarkEnd w:id="0"/>
    </w:p>
    <w:p w14:paraId="4A0C84B8">
      <w:pPr>
        <w:spacing w:line="560" w:lineRule="exact"/>
        <w:ind w:firstLine="640" w:firstLineChars="200"/>
        <w:rPr>
          <w:rFonts w:hint="eastAsia"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成员：    杜建华  中共井陉县委政法委   副书记</w:t>
      </w:r>
    </w:p>
    <w:p w14:paraId="4C4890D2">
      <w:pPr>
        <w:spacing w:line="56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 xml:space="preserve">          冯立文  中共井陉县委政法委   专职委员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_GBK">
    <w:altName w:val="Arial Unicode MS"/>
    <w:panose1 w:val="02000000000000000000"/>
    <w:charset w:val="86"/>
    <w:family w:val="roman"/>
    <w:pitch w:val="default"/>
    <w:sig w:usb0="00000000" w:usb1="00000000" w:usb2="00082016" w:usb3="00000000" w:csb0="00040001" w:csb1="00000000"/>
  </w:font>
  <w:font w:name="方正书宋_GBK">
    <w:altName w:val="Arial Unicode MS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EA4052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C5491F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OqXm5zwAAAAUBAAAPAAAAAAAAAAEAIAAAACIAAABkcnMvZG93bnJldi54bWxQSwEC&#10;FAAUAAAACACHTuJAdLiVLsQBAACrAwAADgAAAAAAAAABACAAAAAe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5491F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zNzcxNTA3MTNjNjI3NWQ0MTc1NjEzZTQ0ODQ0YWYifQ=="/>
  </w:docVars>
  <w:rsids>
    <w:rsidRoot w:val="0EBD2122"/>
    <w:rsid w:val="00220294"/>
    <w:rsid w:val="003D7DD4"/>
    <w:rsid w:val="00590CB7"/>
    <w:rsid w:val="00777ACB"/>
    <w:rsid w:val="007E6C1F"/>
    <w:rsid w:val="00AF566A"/>
    <w:rsid w:val="00B6553A"/>
    <w:rsid w:val="00C6263B"/>
    <w:rsid w:val="00D05BDC"/>
    <w:rsid w:val="00D51DDE"/>
    <w:rsid w:val="00DD7D3A"/>
    <w:rsid w:val="00F0244E"/>
    <w:rsid w:val="00F64219"/>
    <w:rsid w:val="01B104CA"/>
    <w:rsid w:val="02106AB0"/>
    <w:rsid w:val="02B43A28"/>
    <w:rsid w:val="046F331E"/>
    <w:rsid w:val="07956271"/>
    <w:rsid w:val="08687D92"/>
    <w:rsid w:val="09721397"/>
    <w:rsid w:val="0BB63BED"/>
    <w:rsid w:val="0BE9202B"/>
    <w:rsid w:val="0EB97A43"/>
    <w:rsid w:val="0EBD2122"/>
    <w:rsid w:val="0F214EAE"/>
    <w:rsid w:val="11B71E6A"/>
    <w:rsid w:val="126253B4"/>
    <w:rsid w:val="12CE3322"/>
    <w:rsid w:val="1AAF0063"/>
    <w:rsid w:val="1BE140DE"/>
    <w:rsid w:val="1FB44BEF"/>
    <w:rsid w:val="22793C1D"/>
    <w:rsid w:val="248C197D"/>
    <w:rsid w:val="252959AF"/>
    <w:rsid w:val="277A6671"/>
    <w:rsid w:val="292D35B7"/>
    <w:rsid w:val="33EB6CFF"/>
    <w:rsid w:val="35A12947"/>
    <w:rsid w:val="37387040"/>
    <w:rsid w:val="38AB2089"/>
    <w:rsid w:val="3B625C0A"/>
    <w:rsid w:val="3C1D037D"/>
    <w:rsid w:val="3CEE1963"/>
    <w:rsid w:val="454844B3"/>
    <w:rsid w:val="4C9C27FE"/>
    <w:rsid w:val="512260B4"/>
    <w:rsid w:val="52BD6ACB"/>
    <w:rsid w:val="53756F29"/>
    <w:rsid w:val="55537534"/>
    <w:rsid w:val="561A74F1"/>
    <w:rsid w:val="59295ADF"/>
    <w:rsid w:val="597244E8"/>
    <w:rsid w:val="5EB71C30"/>
    <w:rsid w:val="5F8948A2"/>
    <w:rsid w:val="604834F4"/>
    <w:rsid w:val="66AF0CE5"/>
    <w:rsid w:val="682C3327"/>
    <w:rsid w:val="6AC537CF"/>
    <w:rsid w:val="6E1C1D89"/>
    <w:rsid w:val="6E5B14A6"/>
    <w:rsid w:val="706325A0"/>
    <w:rsid w:val="711B255E"/>
    <w:rsid w:val="7B654D4B"/>
    <w:rsid w:val="7BB51E06"/>
    <w:rsid w:val="7C387F7C"/>
    <w:rsid w:val="7F411A00"/>
    <w:rsid w:val="7FE8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0"/>
    <w:pPr>
      <w:spacing w:after="120"/>
    </w:pPr>
    <w:rPr>
      <w:rFonts w:asciiTheme="minorHAnsi" w:hAnsiTheme="minorHAnsi" w:eastAsiaTheme="minorEastAsia" w:cstheme="minorBidi"/>
      <w:szCs w:val="24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7">
    <w:name w:val="正文文本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3361</Words>
  <Characters>3424</Characters>
  <Lines>25</Lines>
  <Paragraphs>7</Paragraphs>
  <TotalTime>5759</TotalTime>
  <ScaleCrop>false</ScaleCrop>
  <LinksUpToDate>false</LinksUpToDate>
  <CharactersWithSpaces>3483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Fiona</cp:lastModifiedBy>
  <cp:lastPrinted>2022-01-19T07:24:00Z</cp:lastPrinted>
  <dcterms:modified xsi:type="dcterms:W3CDTF">2026-04-30T07:11:35Z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D8C29D18778241B982F302F088DE4B1A</vt:lpwstr>
  </property>
  <property fmtid="{D5CDD505-2E9C-101B-9397-08002B2CF9AE}" pid="4" name="KSOTemplateDocerSaveRecord">
    <vt:lpwstr>eyJoZGlkIjoiZmNlYjhkODkzODVhZDQxZTIyOGFkZGVhMzBkNTUzZmEiLCJ1c2VySWQiOiIyNDgyNjgxOTkifQ==</vt:lpwstr>
  </property>
</Properties>
</file>