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E05260">
      <w:pPr>
        <w:adjustRightInd w:val="0"/>
        <w:snapToGrid w:val="0"/>
        <w:spacing w:line="560" w:lineRule="exact"/>
        <w:rPr>
          <w:rFonts w:hint="eastAsia" w:ascii="黑体" w:hAnsi="黑体" w:eastAsia="黑体" w:cs="黑体"/>
          <w:sz w:val="32"/>
          <w:szCs w:val="32"/>
          <w:lang w:eastAsia="zh-CN"/>
        </w:rPr>
      </w:pPr>
      <w:bookmarkStart w:id="0" w:name="_GoBack"/>
      <w:bookmarkEnd w:id="0"/>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4D67CC66">
      <w:pPr>
        <w:spacing w:line="560" w:lineRule="exact"/>
        <w:jc w:val="center"/>
        <w:rPr>
          <w:rFonts w:ascii="宋体" w:hAnsi="宋体" w:cs="宋体"/>
          <w:b/>
          <w:bCs/>
          <w:sz w:val="44"/>
          <w:szCs w:val="44"/>
        </w:rPr>
      </w:pPr>
    </w:p>
    <w:p w14:paraId="67E2EF47">
      <w:pPr>
        <w:widowControl w:val="0"/>
        <w:wordWrap/>
        <w:spacing w:line="560" w:lineRule="exact"/>
        <w:ind w:left="0" w:leftChars="0" w:right="0"/>
        <w:jc w:val="center"/>
        <w:textAlignment w:val="auto"/>
        <w:outlineLvl w:val="9"/>
        <w:rPr>
          <w:rFonts w:hint="eastAsia" w:ascii="宋体" w:hAnsi="宋体" w:cs="宋体"/>
          <w:b/>
          <w:sz w:val="44"/>
          <w:szCs w:val="44"/>
          <w:lang w:eastAsia="zh-CN"/>
        </w:rPr>
      </w:pPr>
      <w:r>
        <w:rPr>
          <w:rFonts w:hint="eastAsia" w:ascii="宋体" w:hAnsi="宋体" w:cs="宋体"/>
          <w:b/>
          <w:sz w:val="44"/>
          <w:szCs w:val="44"/>
          <w:lang w:eastAsia="zh-CN"/>
        </w:rPr>
        <w:t>井陉县委网信办</w:t>
      </w:r>
    </w:p>
    <w:p w14:paraId="0F0797A8">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2025年度整体支出绩效</w:t>
      </w:r>
      <w:r>
        <w:rPr>
          <w:rFonts w:hint="eastAsia" w:ascii="宋体" w:hAnsi="宋体" w:cs="宋体"/>
          <w:b/>
          <w:bCs/>
          <w:sz w:val="44"/>
          <w:szCs w:val="44"/>
        </w:rPr>
        <w:t>自评报告</w:t>
      </w:r>
    </w:p>
    <w:p w14:paraId="75756A7C">
      <w:pPr>
        <w:spacing w:line="560" w:lineRule="exact"/>
        <w:jc w:val="center"/>
        <w:rPr>
          <w:rFonts w:ascii="华文楷体" w:eastAsia="华文楷体"/>
          <w:sz w:val="32"/>
          <w:szCs w:val="32"/>
        </w:rPr>
      </w:pPr>
    </w:p>
    <w:p w14:paraId="5F764627">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贯彻落实市委市政府《关于全面落实预算绩效管理的实施意见》（石发﹝2019﹞8号）文件精神，遵循“科学性、规范性、客观性和公正性”的原则，</w:t>
      </w:r>
      <w:r>
        <w:rPr>
          <w:rFonts w:hint="eastAsia" w:ascii="仿宋" w:hAnsi="仿宋" w:eastAsia="仿宋"/>
          <w:sz w:val="32"/>
          <w:szCs w:val="32"/>
          <w:lang w:eastAsia="zh-CN"/>
        </w:rPr>
        <w:t>井陉县委网信办</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r>
        <w:rPr>
          <w:rFonts w:hint="eastAsia" w:ascii="仿宋" w:hAnsi="仿宋" w:eastAsia="仿宋"/>
          <w:sz w:val="32"/>
          <w:szCs w:val="32"/>
          <w:lang w:eastAsia="zh-CN"/>
        </w:rPr>
        <w:t>。</w:t>
      </w:r>
    </w:p>
    <w:p w14:paraId="38538FA9">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D345E67">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75C2ACEF">
      <w:pPr>
        <w:keepNext w:val="0"/>
        <w:keepLines w:val="0"/>
        <w:pageBreakBefore w:val="0"/>
        <w:widowControl w:val="0"/>
        <w:kinsoku/>
        <w:wordWrap/>
        <w:overflowPunct/>
        <w:topLinePunct w:val="0"/>
        <w:bidi w:val="0"/>
        <w:spacing w:line="540" w:lineRule="exact"/>
        <w:ind w:firstLine="641"/>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部门职责：负责互联网信息内容管理。统筹协调组织互联网宣传管理和舆论引导工作，组织开展网上评论，推动网络评论队伍建设，维护互联网意识形态安全；贯彻落实互联网新闻信息传播相关政策，负责互联网信息内容监督管理执法，组织开展网络舆论生态治理，依法指导和管理落地网站及新媒体新应用，会同有关部门处置和封堵网上有害信息，依照相关法律和规定查处违法违规行为和网站。负责指导协调全县网络舆情信息工作。收集、分析、研判、报送和处置网络舆情信息，依法规范舆情服务市场。</w:t>
      </w:r>
    </w:p>
    <w:p w14:paraId="06797734">
      <w:pPr>
        <w:keepNext w:val="0"/>
        <w:keepLines w:val="0"/>
        <w:pageBreakBefore w:val="0"/>
        <w:widowControl w:val="0"/>
        <w:kinsoku/>
        <w:wordWrap/>
        <w:overflowPunct/>
        <w:topLinePunct w:val="0"/>
        <w:bidi w:val="0"/>
        <w:spacing w:line="540" w:lineRule="exact"/>
        <w:ind w:firstLine="640" w:firstLineChars="200"/>
        <w:textAlignment w:val="auto"/>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b w:val="0"/>
          <w:bCs w:val="0"/>
          <w:sz w:val="32"/>
          <w:szCs w:val="32"/>
          <w:lang w:val="en-US" w:eastAsia="zh-CN"/>
        </w:rPr>
        <w:t>2、</w:t>
      </w:r>
      <w:r>
        <w:rPr>
          <w:rFonts w:hint="eastAsia" w:ascii="Times New Roman" w:hAnsi="Times New Roman" w:eastAsia="仿宋" w:cs="Times New Roman"/>
          <w:b w:val="0"/>
          <w:bCs w:val="0"/>
          <w:sz w:val="32"/>
          <w:szCs w:val="32"/>
          <w:lang w:eastAsia="zh-CN"/>
        </w:rPr>
        <w:t>组织机构及人员：</w:t>
      </w:r>
      <w:r>
        <w:rPr>
          <w:rFonts w:hint="eastAsia" w:ascii="Times New Roman" w:hAnsi="Times New Roman" w:eastAsia="仿宋" w:cs="Times New Roman"/>
          <w:sz w:val="32"/>
          <w:szCs w:val="32"/>
          <w:lang w:eastAsia="zh-CN"/>
        </w:rPr>
        <w:t>中共井陉县委网络安全和信息化委员会办公室为中共井陉县委网络安全和信息化委员会的办事机构，对外加挂井陉县互联网信息办公室牌子，及所属事业单位井陉县网络舆情中心，行政编制</w:t>
      </w:r>
      <w:r>
        <w:rPr>
          <w:rFonts w:hint="eastAsia" w:ascii="Times New Roman" w:hAnsi="Times New Roman" w:eastAsia="仿宋" w:cs="Times New Roman"/>
          <w:sz w:val="32"/>
          <w:szCs w:val="32"/>
          <w:lang w:val="en-US" w:eastAsia="zh-CN"/>
        </w:rPr>
        <w:t>8名，事业编制6名。</w:t>
      </w:r>
    </w:p>
    <w:p w14:paraId="5A025C3C">
      <w:pPr>
        <w:pStyle w:val="2"/>
        <w:rPr>
          <w:rFonts w:hint="default"/>
          <w:lang w:val="en-US" w:eastAsia="zh-CN"/>
        </w:rPr>
      </w:pPr>
      <w:r>
        <w:rPr>
          <w:rFonts w:hint="eastAsia"/>
          <w:lang w:val="en-US" w:eastAsia="zh-CN"/>
        </w:rPr>
        <w:t>3、资</w:t>
      </w:r>
      <w:r>
        <w:rPr>
          <w:rFonts w:hint="default"/>
          <w:lang w:val="en-US" w:eastAsia="zh-CN"/>
        </w:rPr>
        <w:t>产情况：截至2025年12月31日，</w:t>
      </w:r>
      <w:r>
        <w:rPr>
          <w:rFonts w:hint="eastAsia"/>
          <w:lang w:val="en-US" w:eastAsia="zh-CN"/>
        </w:rPr>
        <w:t>中共井陉县委网络安全和信息化委员会办公室</w:t>
      </w:r>
      <w:r>
        <w:rPr>
          <w:rFonts w:hint="default"/>
          <w:lang w:val="en-US" w:eastAsia="zh-CN"/>
        </w:rPr>
        <w:t>资产总额（账面净值）</w:t>
      </w:r>
      <w:r>
        <w:rPr>
          <w:rFonts w:hint="eastAsia"/>
          <w:lang w:val="en-US" w:eastAsia="zh-CN"/>
        </w:rPr>
        <w:t>5.73</w:t>
      </w:r>
      <w:r>
        <w:rPr>
          <w:rFonts w:hint="default"/>
          <w:lang w:val="en-US" w:eastAsia="zh-CN"/>
        </w:rPr>
        <w:t>万元，固定资产</w:t>
      </w:r>
      <w:r>
        <w:rPr>
          <w:rFonts w:hint="eastAsia"/>
          <w:lang w:val="en-US" w:eastAsia="zh-CN"/>
        </w:rPr>
        <w:t>5.3</w:t>
      </w:r>
      <w:r>
        <w:rPr>
          <w:rFonts w:hint="default"/>
          <w:lang w:val="en-US" w:eastAsia="zh-CN"/>
        </w:rPr>
        <w:t>万元，无形资产</w:t>
      </w:r>
      <w:r>
        <w:rPr>
          <w:rFonts w:hint="eastAsia"/>
          <w:lang w:val="en-US" w:eastAsia="zh-CN"/>
        </w:rPr>
        <w:t>0.4</w:t>
      </w:r>
      <w:r>
        <w:rPr>
          <w:rFonts w:hint="default"/>
          <w:lang w:val="en-US" w:eastAsia="zh-CN"/>
        </w:rPr>
        <w:t>万元。</w:t>
      </w:r>
    </w:p>
    <w:p w14:paraId="7A5DBDC2">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0683A168">
      <w:pPr>
        <w:adjustRightInd w:val="0"/>
        <w:snapToGrid w:val="0"/>
        <w:spacing w:line="560" w:lineRule="exact"/>
        <w:ind w:firstLine="640" w:firstLineChars="200"/>
        <w:rPr>
          <w:rFonts w:hint="eastAsia" w:ascii="仿宋_GB2312" w:eastAsia="仿宋_GB2312" w:cs="仿宋_GB2312"/>
          <w:sz w:val="32"/>
          <w:szCs w:val="32"/>
          <w:lang w:bidi="ar"/>
        </w:rPr>
      </w:pPr>
      <w:r>
        <w:rPr>
          <w:rFonts w:hint="eastAsia" w:ascii="仿宋_GB2312" w:hAnsi="仿宋" w:eastAsia="仿宋_GB2312"/>
          <w:sz w:val="32"/>
          <w:szCs w:val="32"/>
        </w:rPr>
        <w:t>202</w:t>
      </w:r>
      <w:r>
        <w:rPr>
          <w:rFonts w:hint="eastAsia" w:ascii="仿宋_GB2312" w:hAnsi="仿宋" w:eastAsia="仿宋_GB2312"/>
          <w:sz w:val="32"/>
          <w:szCs w:val="32"/>
          <w:lang w:val="en-US" w:eastAsia="zh-CN"/>
        </w:rPr>
        <w:t>5</w:t>
      </w:r>
      <w:r>
        <w:rPr>
          <w:rFonts w:hint="eastAsia" w:ascii="仿宋_GB2312" w:hAnsi="仿宋" w:eastAsia="仿宋_GB2312"/>
          <w:sz w:val="32"/>
          <w:szCs w:val="32"/>
        </w:rPr>
        <w:t>年度</w:t>
      </w:r>
      <w:r>
        <w:rPr>
          <w:rFonts w:hint="eastAsia" w:ascii="仿宋_GB2312" w:hAnsi="仿宋" w:eastAsia="仿宋_GB2312" w:cs="Times New Roman"/>
          <w:sz w:val="32"/>
          <w:szCs w:val="32"/>
        </w:rPr>
        <w:t>年初预算收入</w:t>
      </w:r>
      <w:r>
        <w:rPr>
          <w:rFonts w:hint="eastAsia" w:ascii="仿宋_GB2312" w:hAnsi="仿宋" w:eastAsia="仿宋_GB2312" w:cs="Times New Roman"/>
          <w:sz w:val="32"/>
          <w:szCs w:val="32"/>
          <w:lang w:val="en-US" w:eastAsia="zh-CN"/>
        </w:rPr>
        <w:t>158.5万</w:t>
      </w:r>
      <w:r>
        <w:rPr>
          <w:rFonts w:hint="eastAsia" w:ascii="仿宋_GB2312" w:hAnsi="仿宋" w:eastAsia="仿宋_GB2312" w:cs="Times New Roman"/>
          <w:sz w:val="32"/>
          <w:szCs w:val="32"/>
        </w:rPr>
        <w:t>元，预算支出</w:t>
      </w:r>
      <w:r>
        <w:rPr>
          <w:rFonts w:hint="eastAsia" w:ascii="仿宋_GB2312" w:hAnsi="仿宋" w:eastAsia="仿宋_GB2312" w:cs="Times New Roman"/>
          <w:sz w:val="32"/>
          <w:szCs w:val="32"/>
          <w:lang w:val="en-US" w:eastAsia="zh-CN"/>
        </w:rPr>
        <w:t>158.5</w:t>
      </w:r>
      <w:r>
        <w:rPr>
          <w:rFonts w:hint="eastAsia" w:ascii="仿宋_GB2312" w:hAnsi="仿宋" w:eastAsia="仿宋_GB2312" w:cs="Times New Roman"/>
          <w:sz w:val="32"/>
          <w:szCs w:val="32"/>
        </w:rPr>
        <w:t>元</w:t>
      </w:r>
      <w:r>
        <w:rPr>
          <w:rFonts w:hint="eastAsia" w:ascii="仿宋_GB2312" w:hAnsi="仿宋" w:eastAsia="仿宋_GB2312" w:cs="Times New Roman"/>
          <w:sz w:val="32"/>
          <w:szCs w:val="32"/>
          <w:lang w:eastAsia="zh-CN"/>
        </w:rPr>
        <w:t>。</w:t>
      </w:r>
      <w:r>
        <w:rPr>
          <w:rFonts w:hint="eastAsia" w:ascii="仿宋_GB2312" w:hAnsi="仿宋" w:eastAsia="仿宋_GB2312"/>
          <w:sz w:val="32"/>
          <w:szCs w:val="32"/>
        </w:rPr>
        <w:t>202</w:t>
      </w:r>
      <w:r>
        <w:rPr>
          <w:rFonts w:hint="eastAsia" w:ascii="仿宋_GB2312" w:hAnsi="仿宋" w:eastAsia="仿宋_GB2312"/>
          <w:sz w:val="32"/>
          <w:szCs w:val="32"/>
          <w:lang w:val="en-US" w:eastAsia="zh-CN"/>
        </w:rPr>
        <w:t>5</w:t>
      </w:r>
      <w:r>
        <w:rPr>
          <w:rFonts w:hint="eastAsia" w:ascii="仿宋_GB2312" w:hAnsi="仿宋" w:eastAsia="仿宋_GB2312"/>
          <w:sz w:val="32"/>
          <w:szCs w:val="32"/>
        </w:rPr>
        <w:t>年度</w:t>
      </w:r>
      <w:r>
        <w:rPr>
          <w:rFonts w:hint="eastAsia" w:ascii="仿宋_GB2312" w:hAnsi="仿宋" w:eastAsia="仿宋_GB2312" w:cs="Times New Roman"/>
          <w:sz w:val="32"/>
          <w:szCs w:val="32"/>
        </w:rPr>
        <w:t>年初</w:t>
      </w:r>
      <w:r>
        <w:rPr>
          <w:rFonts w:hint="eastAsia" w:ascii="仿宋_GB2312" w:hAnsi="仿宋" w:eastAsia="仿宋_GB2312" w:cs="Times New Roman"/>
          <w:sz w:val="32"/>
          <w:szCs w:val="32"/>
          <w:lang w:eastAsia="zh-CN"/>
        </w:rPr>
        <w:t>预算</w:t>
      </w:r>
      <w:r>
        <w:rPr>
          <w:rFonts w:hint="eastAsia" w:ascii="仿宋_GB2312" w:hAnsi="仿宋" w:eastAsia="仿宋_GB2312"/>
          <w:sz w:val="32"/>
          <w:szCs w:val="32"/>
          <w:lang w:eastAsia="zh-CN"/>
        </w:rPr>
        <w:t>收入</w:t>
      </w:r>
      <w:r>
        <w:rPr>
          <w:rFonts w:hint="eastAsia" w:ascii="仿宋_GB2312" w:hAnsi="仿宋" w:eastAsia="仿宋_GB2312"/>
          <w:sz w:val="32"/>
          <w:szCs w:val="32"/>
          <w:lang w:val="en-US" w:eastAsia="zh-CN"/>
        </w:rPr>
        <w:t>154.74</w:t>
      </w:r>
      <w:r>
        <w:rPr>
          <w:rFonts w:hint="eastAsia" w:ascii="仿宋_GB2312" w:hAnsi="仿宋" w:eastAsia="仿宋_GB2312" w:cs="Times New Roman"/>
          <w:sz w:val="32"/>
          <w:szCs w:val="32"/>
          <w:lang w:val="en-US" w:eastAsia="zh-CN"/>
        </w:rPr>
        <w:t>万</w:t>
      </w:r>
      <w:r>
        <w:rPr>
          <w:rFonts w:hint="eastAsia" w:ascii="仿宋_GB2312" w:hAnsi="仿宋" w:eastAsia="仿宋_GB2312"/>
          <w:sz w:val="32"/>
          <w:szCs w:val="32"/>
        </w:rPr>
        <w:t>元，决算收入</w:t>
      </w:r>
      <w:r>
        <w:rPr>
          <w:rFonts w:hint="eastAsia" w:ascii="仿宋_GB2312" w:hAnsi="仿宋" w:eastAsia="仿宋_GB2312"/>
          <w:sz w:val="32"/>
          <w:szCs w:val="32"/>
          <w:lang w:val="en-US" w:eastAsia="zh-CN"/>
        </w:rPr>
        <w:t>154.74万元</w:t>
      </w:r>
      <w:r>
        <w:rPr>
          <w:rFonts w:hint="eastAsia" w:ascii="仿宋_GB2312" w:hAnsi="仿宋" w:eastAsia="仿宋_GB2312"/>
          <w:sz w:val="32"/>
          <w:szCs w:val="32"/>
        </w:rPr>
        <w:t>，</w:t>
      </w:r>
      <w:r>
        <w:rPr>
          <w:rFonts w:hint="eastAsia" w:ascii="仿宋_GB2312" w:eastAsia="仿宋_GB2312" w:cs="仿宋_GB2312"/>
          <w:sz w:val="32"/>
          <w:szCs w:val="32"/>
          <w:lang w:bidi="ar"/>
        </w:rPr>
        <w:t>上年度结转</w:t>
      </w:r>
      <w:r>
        <w:rPr>
          <w:rFonts w:hint="eastAsia" w:ascii="仿宋_GB2312" w:eastAsia="仿宋_GB2312" w:cs="仿宋_GB2312"/>
          <w:sz w:val="32"/>
          <w:szCs w:val="32"/>
          <w:lang w:val="en-US" w:eastAsia="zh-CN" w:bidi="ar"/>
        </w:rPr>
        <w:t>0</w:t>
      </w:r>
      <w:r>
        <w:rPr>
          <w:rFonts w:hint="eastAsia" w:ascii="仿宋_GB2312" w:eastAsia="仿宋_GB2312" w:cs="仿宋_GB2312"/>
          <w:sz w:val="32"/>
          <w:szCs w:val="32"/>
          <w:lang w:bidi="ar"/>
        </w:rPr>
        <w:t>万元。</w:t>
      </w:r>
    </w:p>
    <w:p w14:paraId="7209B7A0">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001F4643">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方正仿宋简体" w:hAnsi="方正仿宋简体" w:eastAsia="方正仿宋简体" w:cs="方正仿宋简体"/>
          <w:sz w:val="32"/>
          <w:szCs w:val="32"/>
          <w:lang w:val="en-US" w:eastAsia="zh-CN"/>
        </w:rPr>
      </w:pPr>
      <w:r>
        <w:rPr>
          <w:rFonts w:hint="eastAsia" w:ascii="仿宋" w:hAnsi="仿宋" w:eastAsia="仿宋"/>
          <w:sz w:val="32"/>
          <w:szCs w:val="32"/>
          <w:lang w:eastAsia="zh-CN"/>
        </w:rPr>
        <w:t>一是</w:t>
      </w:r>
      <w:r>
        <w:rPr>
          <w:rFonts w:hint="eastAsia" w:ascii="仿宋" w:hAnsi="仿宋" w:eastAsia="仿宋" w:cs="仿宋"/>
          <w:sz w:val="32"/>
          <w:szCs w:val="32"/>
          <w:lang w:val="en-US" w:eastAsia="zh-CN"/>
        </w:rPr>
        <w:t>抓实网络意识形态工作，筑牢舆论阵地。</w:t>
      </w:r>
      <w:r>
        <w:rPr>
          <w:rFonts w:hint="eastAsia" w:ascii="方正仿宋简体" w:hAnsi="方正仿宋简体" w:eastAsia="方正仿宋简体" w:cs="方正仿宋简体"/>
          <w:sz w:val="32"/>
          <w:szCs w:val="32"/>
          <w:lang w:val="en-US" w:eastAsia="zh-CN"/>
        </w:rPr>
        <w:t>做好</w:t>
      </w:r>
      <w:r>
        <w:rPr>
          <w:rFonts w:hint="eastAsia" w:ascii="方正仿宋简体" w:hAnsi="方正仿宋简体" w:eastAsia="方正仿宋简体" w:cs="方正仿宋简体"/>
          <w:sz w:val="32"/>
          <w:szCs w:val="32"/>
        </w:rPr>
        <w:t>习近平新时代中国特色社会主义思想“进网站”</w:t>
      </w:r>
      <w:r>
        <w:rPr>
          <w:rFonts w:hint="eastAsia" w:ascii="方正仿宋简体" w:hAnsi="方正仿宋简体" w:eastAsia="方正仿宋简体" w:cs="方正仿宋简体"/>
          <w:sz w:val="32"/>
          <w:szCs w:val="32"/>
          <w:lang w:val="en-US" w:eastAsia="zh-CN"/>
        </w:rPr>
        <w:t>工作</w:t>
      </w:r>
      <w:r>
        <w:rPr>
          <w:rFonts w:hint="eastAsia" w:ascii="方正仿宋简体" w:hAnsi="方正仿宋简体" w:eastAsia="方正仿宋简体" w:cs="方正仿宋简体"/>
          <w:sz w:val="32"/>
          <w:szCs w:val="32"/>
        </w:rPr>
        <w:t>，推送相关重要讲话、报道及理论文章500余篇</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召开县委网信委第七次会议</w:t>
      </w:r>
      <w:r>
        <w:rPr>
          <w:rFonts w:hint="eastAsia" w:ascii="方正仿宋简体" w:hAnsi="方正仿宋简体" w:eastAsia="方正仿宋简体" w:cs="方正仿宋简体"/>
          <w:sz w:val="32"/>
          <w:szCs w:val="32"/>
          <w:lang w:val="en-US" w:eastAsia="zh-CN"/>
        </w:rPr>
        <w:t>安排</w:t>
      </w:r>
      <w:r>
        <w:rPr>
          <w:rFonts w:hint="eastAsia" w:ascii="方正仿宋简体" w:hAnsi="方正仿宋简体" w:eastAsia="方正仿宋简体" w:cs="方正仿宋简体"/>
          <w:sz w:val="32"/>
          <w:szCs w:val="32"/>
        </w:rPr>
        <w:t>部署网信工作。壮大主流舆论</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围绕县委、县政府“2+4”产业发展规划</w:t>
      </w:r>
      <w:r>
        <w:rPr>
          <w:rFonts w:hint="eastAsia" w:ascii="方正仿宋简体" w:hAnsi="方正仿宋简体" w:eastAsia="方正仿宋简体" w:cs="方正仿宋简体"/>
          <w:sz w:val="32"/>
          <w:szCs w:val="32"/>
          <w:lang w:val="en-US" w:eastAsia="zh-CN"/>
        </w:rPr>
        <w:t>等重点工作</w:t>
      </w:r>
      <w:r>
        <w:rPr>
          <w:rFonts w:hint="eastAsia" w:ascii="方正仿宋简体" w:hAnsi="方正仿宋简体" w:eastAsia="方正仿宋简体" w:cs="方正仿宋简体"/>
          <w:sz w:val="32"/>
          <w:szCs w:val="32"/>
        </w:rPr>
        <w:t>，通过“网信井陉”公众号推送相关内容200余篇</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开展“网络中国节”等网络文化活动，推出作品20余部，组织网评员</w:t>
      </w:r>
      <w:r>
        <w:rPr>
          <w:rFonts w:hint="eastAsia" w:ascii="方正仿宋简体" w:hAnsi="方正仿宋简体" w:eastAsia="方正仿宋简体" w:cs="方正仿宋简体"/>
          <w:sz w:val="32"/>
          <w:szCs w:val="32"/>
          <w:lang w:val="en-US" w:eastAsia="zh-CN"/>
        </w:rPr>
        <w:t>完成任务</w:t>
      </w:r>
      <w:r>
        <w:rPr>
          <w:rFonts w:hint="eastAsia" w:ascii="方正仿宋简体" w:hAnsi="方正仿宋简体" w:eastAsia="方正仿宋简体" w:cs="方正仿宋简体"/>
          <w:sz w:val="32"/>
          <w:szCs w:val="32"/>
        </w:rPr>
        <w:t>3万余条。开展“清朗・燕赵净网2025”专项行动，常态化巡查111家县域网站，清理有害信息165条</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联合公安打击自媒体敲诈勒索等行为，采取刑事强制措施1</w:t>
      </w:r>
      <w:r>
        <w:rPr>
          <w:rFonts w:hint="eastAsia" w:ascii="方正仿宋简体" w:hAnsi="方正仿宋简体" w:eastAsia="方正仿宋简体" w:cs="方正仿宋简体"/>
          <w:color w:val="auto"/>
          <w:sz w:val="32"/>
          <w:szCs w:val="32"/>
        </w:rPr>
        <w:t>1人</w:t>
      </w:r>
      <w:r>
        <w:rPr>
          <w:rFonts w:hint="eastAsia" w:ascii="方正仿宋简体" w:hAnsi="方正仿宋简体" w:eastAsia="方正仿宋简体" w:cs="方正仿宋简体"/>
          <w:color w:val="auto"/>
          <w:sz w:val="32"/>
          <w:szCs w:val="32"/>
          <w:lang w:eastAsia="zh-CN"/>
        </w:rPr>
        <w:t>。</w:t>
      </w:r>
      <w:r>
        <w:rPr>
          <w:rFonts w:hint="eastAsia" w:ascii="方正仿宋简体" w:hAnsi="方正仿宋简体" w:eastAsia="方正仿宋简体" w:cs="方正仿宋简体"/>
          <w:sz w:val="32"/>
          <w:szCs w:val="32"/>
        </w:rPr>
        <w:t>组织“魅力井陉，E路同行”</w:t>
      </w:r>
      <w:r>
        <w:rPr>
          <w:rFonts w:hint="eastAsia" w:ascii="方正仿宋简体" w:hAnsi="方正仿宋简体" w:eastAsia="方正仿宋简体" w:cs="方正仿宋简体"/>
          <w:sz w:val="32"/>
          <w:szCs w:val="32"/>
          <w:lang w:val="en-US" w:eastAsia="zh-CN"/>
        </w:rPr>
        <w:t>自媒体</w:t>
      </w:r>
      <w:r>
        <w:rPr>
          <w:rFonts w:hint="eastAsia" w:ascii="方正仿宋简体" w:hAnsi="方正仿宋简体" w:eastAsia="方正仿宋简体" w:cs="方正仿宋简体"/>
          <w:sz w:val="32"/>
          <w:szCs w:val="32"/>
        </w:rPr>
        <w:t>采风座谈</w:t>
      </w:r>
      <w:r>
        <w:rPr>
          <w:rFonts w:hint="eastAsia" w:ascii="方正仿宋简体" w:hAnsi="方正仿宋简体" w:eastAsia="方正仿宋简体" w:cs="方正仿宋简体"/>
          <w:sz w:val="32"/>
          <w:szCs w:val="32"/>
          <w:lang w:val="en-US" w:eastAsia="zh-CN"/>
        </w:rPr>
        <w:t>活动</w:t>
      </w:r>
      <w:r>
        <w:rPr>
          <w:rFonts w:hint="eastAsia" w:ascii="方正仿宋简体" w:hAnsi="方正仿宋简体" w:eastAsia="方正仿宋简体" w:cs="方正仿宋简体"/>
          <w:sz w:val="32"/>
          <w:szCs w:val="32"/>
        </w:rPr>
        <w:t>7次，</w:t>
      </w:r>
      <w:r>
        <w:rPr>
          <w:rFonts w:hint="eastAsia" w:ascii="方正仿宋简体" w:hAnsi="方正仿宋简体" w:eastAsia="方正仿宋简体" w:cs="方正仿宋简体"/>
          <w:sz w:val="32"/>
          <w:szCs w:val="32"/>
          <w:lang w:val="en-US" w:eastAsia="zh-CN"/>
        </w:rPr>
        <w:t>开展</w:t>
      </w:r>
      <w:r>
        <w:rPr>
          <w:rFonts w:hint="eastAsia" w:ascii="方正仿宋简体" w:hAnsi="方正仿宋简体" w:eastAsia="方正仿宋简体" w:cs="方正仿宋简体"/>
          <w:sz w:val="32"/>
          <w:szCs w:val="32"/>
        </w:rPr>
        <w:t>宣传推介与政策宣讲。组织专题培训与应急演练，建立</w:t>
      </w:r>
      <w:r>
        <w:rPr>
          <w:rFonts w:hint="eastAsia" w:ascii="方正仿宋简体" w:hAnsi="方正仿宋简体" w:eastAsia="方正仿宋简体" w:cs="方正仿宋简体"/>
          <w:sz w:val="32"/>
          <w:szCs w:val="32"/>
          <w:lang w:val="en-US" w:eastAsia="zh-CN"/>
        </w:rPr>
        <w:t>井陉县网络舆情</w:t>
      </w:r>
      <w:r>
        <w:rPr>
          <w:rFonts w:hint="eastAsia" w:ascii="方正仿宋简体" w:hAnsi="方正仿宋简体" w:eastAsia="方正仿宋简体" w:cs="方正仿宋简体"/>
          <w:sz w:val="32"/>
          <w:szCs w:val="32"/>
        </w:rPr>
        <w:t>线上线下协调联动机制，全年监测负面舆情 34186 条，呈报舆情日报 334 期、周报 52 期、月报 12 期，下发《舆情预警交办单》445 期，全县网络舆情态势平稳。向省不良信息监测平台报送38880条不良信息，向市委网信办上报8047条政治类有害信息，完成多项上级专项约稿。</w:t>
      </w:r>
      <w:r>
        <w:rPr>
          <w:rFonts w:hint="eastAsia" w:ascii="方正仿宋简体" w:hAnsi="方正仿宋简体" w:eastAsia="方正仿宋简体" w:cs="方正仿宋简体"/>
          <w:sz w:val="32"/>
          <w:szCs w:val="32"/>
          <w:lang w:eastAsia="zh-CN"/>
        </w:rPr>
        <w:t>二是</w:t>
      </w:r>
      <w:r>
        <w:rPr>
          <w:rFonts w:hint="eastAsia" w:ascii="方正仿宋简体" w:hAnsi="方正仿宋简体" w:eastAsia="方正仿宋简体" w:cs="方正仿宋简体"/>
          <w:sz w:val="32"/>
          <w:szCs w:val="32"/>
        </w:rPr>
        <w:t>筑牢网络安全屏障，提升保障能力</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召开</w:t>
      </w:r>
      <w:r>
        <w:rPr>
          <w:rFonts w:hint="eastAsia" w:ascii="方正仿宋简体" w:hAnsi="方正仿宋简体" w:eastAsia="方正仿宋简体" w:cs="方正仿宋简体"/>
          <w:sz w:val="32"/>
          <w:szCs w:val="32"/>
          <w:lang w:val="en-US" w:eastAsia="zh-CN"/>
        </w:rPr>
        <w:t>两</w:t>
      </w:r>
      <w:r>
        <w:rPr>
          <w:rFonts w:hint="eastAsia" w:ascii="方正仿宋简体" w:hAnsi="方正仿宋简体" w:eastAsia="方正仿宋简体" w:cs="方正仿宋简体"/>
          <w:sz w:val="32"/>
          <w:szCs w:val="32"/>
        </w:rPr>
        <w:t>次全县网络安全工作协调会，向关键信息基础设施运营单位发送11份风险提示函、1209条监测防护情报，</w:t>
      </w:r>
      <w:r>
        <w:rPr>
          <w:rFonts w:hint="eastAsia" w:ascii="方正仿宋简体" w:hAnsi="方正仿宋简体" w:eastAsia="方正仿宋简体" w:cs="方正仿宋简体"/>
          <w:sz w:val="32"/>
          <w:szCs w:val="32"/>
          <w:lang w:val="en-US" w:eastAsia="zh-CN"/>
        </w:rPr>
        <w:t>我县</w:t>
      </w:r>
      <w:r>
        <w:rPr>
          <w:rFonts w:hint="eastAsia" w:ascii="方正仿宋简体" w:hAnsi="方正仿宋简体" w:eastAsia="方正仿宋简体" w:cs="方正仿宋简体"/>
          <w:sz w:val="32"/>
          <w:szCs w:val="32"/>
        </w:rPr>
        <w:t>未发生风险IP命中攻击。完成</w:t>
      </w:r>
      <w:r>
        <w:rPr>
          <w:rFonts w:hint="eastAsia" w:ascii="方正仿宋简体" w:hAnsi="方正仿宋简体" w:eastAsia="方正仿宋简体" w:cs="方正仿宋简体"/>
          <w:sz w:val="32"/>
          <w:szCs w:val="32"/>
          <w:lang w:val="en-US" w:eastAsia="zh-CN"/>
        </w:rPr>
        <w:t>9</w:t>
      </w:r>
      <w:r>
        <w:rPr>
          <w:rFonts w:hint="eastAsia" w:ascii="方正仿宋简体" w:hAnsi="方正仿宋简体" w:eastAsia="方正仿宋简体" w:cs="方正仿宋简体"/>
          <w:sz w:val="32"/>
          <w:szCs w:val="32"/>
        </w:rPr>
        <w:t>起市级风险隐患预警整改，聘请第三方技术公司对12个单位</w:t>
      </w:r>
      <w:r>
        <w:rPr>
          <w:rFonts w:hint="eastAsia" w:ascii="方正仿宋简体" w:hAnsi="方正仿宋简体" w:eastAsia="方正仿宋简体" w:cs="方正仿宋简体"/>
          <w:sz w:val="32"/>
          <w:szCs w:val="32"/>
          <w:lang w:val="en-US" w:eastAsia="zh-CN"/>
        </w:rPr>
        <w:t>网络安全工作</w:t>
      </w:r>
      <w:r>
        <w:rPr>
          <w:rFonts w:hint="eastAsia" w:ascii="方正仿宋简体" w:hAnsi="方正仿宋简体" w:eastAsia="方正仿宋简体" w:cs="方正仿宋简体"/>
          <w:sz w:val="32"/>
          <w:szCs w:val="32"/>
        </w:rPr>
        <w:t>开展现场抽查，下发12份整改通知书，整改59个漏洞隐患。组织10</w:t>
      </w:r>
      <w:r>
        <w:rPr>
          <w:rFonts w:hint="eastAsia" w:ascii="方正仿宋简体" w:hAnsi="方正仿宋简体" w:eastAsia="方正仿宋简体" w:cs="方正仿宋简体"/>
          <w:sz w:val="32"/>
          <w:szCs w:val="32"/>
          <w:lang w:val="en-US" w:eastAsia="zh-CN"/>
        </w:rPr>
        <w:t>场</w:t>
      </w:r>
      <w:r>
        <w:rPr>
          <w:rFonts w:hint="eastAsia" w:ascii="方正仿宋简体" w:hAnsi="方正仿宋简体" w:eastAsia="方正仿宋简体" w:cs="方正仿宋简体"/>
          <w:sz w:val="32"/>
          <w:szCs w:val="32"/>
        </w:rPr>
        <w:t>网络安全进社区、进校园等宣传活动，发放5000余份宣传资料</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开展3次网络安全培训及应急演练，200余人次参与，提升全</w:t>
      </w:r>
      <w:r>
        <w:rPr>
          <w:rFonts w:hint="eastAsia" w:ascii="方正仿宋简体" w:hAnsi="方正仿宋简体" w:eastAsia="方正仿宋简体" w:cs="方正仿宋简体"/>
          <w:sz w:val="32"/>
          <w:szCs w:val="32"/>
          <w:lang w:val="en-US" w:eastAsia="zh-CN"/>
        </w:rPr>
        <w:t>县</w:t>
      </w:r>
      <w:r>
        <w:rPr>
          <w:rFonts w:hint="eastAsia" w:ascii="方正仿宋简体" w:hAnsi="方正仿宋简体" w:eastAsia="方正仿宋简体" w:cs="方正仿宋简体"/>
          <w:sz w:val="32"/>
          <w:szCs w:val="32"/>
        </w:rPr>
        <w:t>网络安全</w:t>
      </w:r>
      <w:r>
        <w:rPr>
          <w:rFonts w:hint="eastAsia" w:ascii="方正仿宋简体" w:hAnsi="方正仿宋简体" w:eastAsia="方正仿宋简体" w:cs="方正仿宋简体"/>
          <w:sz w:val="32"/>
          <w:szCs w:val="32"/>
          <w:lang w:val="en-US" w:eastAsia="zh-CN"/>
        </w:rPr>
        <w:t>防护</w:t>
      </w:r>
      <w:r>
        <w:rPr>
          <w:rFonts w:hint="eastAsia" w:ascii="方正仿宋简体" w:hAnsi="方正仿宋简体" w:eastAsia="方正仿宋简体" w:cs="方正仿宋简体"/>
          <w:sz w:val="32"/>
          <w:szCs w:val="32"/>
        </w:rPr>
        <w:t>意识与技能。</w:t>
      </w:r>
      <w:r>
        <w:rPr>
          <w:rFonts w:hint="eastAsia" w:ascii="方正仿宋简体" w:hAnsi="方正仿宋简体" w:eastAsia="方正仿宋简体" w:cs="方正仿宋简体"/>
          <w:sz w:val="32"/>
          <w:szCs w:val="32"/>
          <w:lang w:eastAsia="zh-CN"/>
        </w:rPr>
        <w:t>三是</w:t>
      </w:r>
      <w:r>
        <w:rPr>
          <w:rFonts w:hint="eastAsia" w:ascii="方正仿宋简体" w:hAnsi="方正仿宋简体" w:eastAsia="方正仿宋简体" w:cs="方正仿宋简体"/>
          <w:sz w:val="32"/>
          <w:szCs w:val="32"/>
        </w:rPr>
        <w:t>聚焦信息化赋能，</w:t>
      </w:r>
      <w:r>
        <w:rPr>
          <w:rFonts w:hint="eastAsia" w:ascii="方正仿宋简体" w:hAnsi="方正仿宋简体" w:eastAsia="方正仿宋简体" w:cs="方正仿宋简体"/>
          <w:sz w:val="32"/>
          <w:szCs w:val="32"/>
          <w:lang w:val="en-US" w:eastAsia="zh-CN"/>
        </w:rPr>
        <w:t>提升数字素养。清理优化24个政务新媒体账号，</w:t>
      </w:r>
      <w:r>
        <w:rPr>
          <w:rFonts w:hint="eastAsia" w:ascii="方正仿宋简体" w:hAnsi="方正仿宋简体" w:eastAsia="方正仿宋简体" w:cs="方正仿宋简体"/>
          <w:sz w:val="32"/>
          <w:szCs w:val="32"/>
        </w:rPr>
        <w:t>截止目前，党群单位</w:t>
      </w:r>
      <w:r>
        <w:rPr>
          <w:rFonts w:hint="eastAsia" w:ascii="方正仿宋简体" w:hAnsi="方正仿宋简体" w:eastAsia="方正仿宋简体" w:cs="方正仿宋简体"/>
          <w:sz w:val="32"/>
          <w:szCs w:val="32"/>
          <w:lang w:val="en-US" w:eastAsia="zh-CN"/>
        </w:rPr>
        <w:t>保留</w:t>
      </w:r>
      <w:r>
        <w:rPr>
          <w:rFonts w:hint="eastAsia" w:ascii="方正仿宋简体" w:hAnsi="方正仿宋简体" w:eastAsia="方正仿宋简体" w:cs="方正仿宋简体"/>
          <w:sz w:val="32"/>
          <w:szCs w:val="32"/>
        </w:rPr>
        <w:t>13个政务公众账号、2个政务APP“冀云井陉”“信访助手”、73个政务工作群组，未发现</w:t>
      </w:r>
      <w:r>
        <w:rPr>
          <w:rFonts w:hint="eastAsia" w:ascii="方正仿宋简体" w:hAnsi="方正仿宋简体" w:eastAsia="方正仿宋简体" w:cs="方正仿宋简体"/>
          <w:sz w:val="32"/>
          <w:szCs w:val="32"/>
          <w:lang w:eastAsia="zh-CN"/>
        </w:rPr>
        <w:t>我</w:t>
      </w:r>
      <w:r>
        <w:rPr>
          <w:rFonts w:hint="eastAsia" w:ascii="方正仿宋简体" w:hAnsi="方正仿宋简体" w:eastAsia="方正仿宋简体" w:cs="方正仿宋简体"/>
          <w:sz w:val="32"/>
          <w:szCs w:val="32"/>
          <w:lang w:val="en-US" w:eastAsia="zh-CN"/>
        </w:rPr>
        <w:t>县</w:t>
      </w:r>
      <w:r>
        <w:rPr>
          <w:rFonts w:hint="eastAsia" w:ascii="方正仿宋简体" w:hAnsi="方正仿宋简体" w:eastAsia="方正仿宋简体" w:cs="方正仿宋简体"/>
          <w:sz w:val="32"/>
          <w:szCs w:val="32"/>
        </w:rPr>
        <w:t>存在“整治指尖上的形式主义”问题。联合17个乡（镇）及11个县直单位，开展40余场次全民数字素养与技能提升活动，参与人次超2万，为群众参与数字经济提供支撑。</w:t>
      </w:r>
      <w:r>
        <w:rPr>
          <w:rFonts w:hint="eastAsia" w:ascii="方正仿宋简体" w:hAnsi="方正仿宋简体" w:eastAsia="方正仿宋简体" w:cs="方正仿宋简体"/>
          <w:sz w:val="32"/>
          <w:szCs w:val="32"/>
          <w:lang w:eastAsia="zh-CN"/>
        </w:rPr>
        <w:t>四是</w:t>
      </w:r>
      <w:r>
        <w:rPr>
          <w:rFonts w:hint="eastAsia" w:ascii="方正仿宋简体" w:hAnsi="方正仿宋简体" w:eastAsia="方正仿宋简体" w:cs="方正仿宋简体"/>
          <w:sz w:val="32"/>
          <w:szCs w:val="32"/>
        </w:rPr>
        <w:t>强化自身建设，锻造过硬队伍</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落实“第一议题”制度，持续学习党的创新理论、习近平总书记关于网络强国的重要思想及党的二十届四中全会精神，深化</w:t>
      </w:r>
      <w:r>
        <w:rPr>
          <w:rFonts w:hint="eastAsia" w:ascii="方正仿宋简体" w:hAnsi="方正仿宋简体" w:eastAsia="方正仿宋简体" w:cs="方正仿宋简体"/>
          <w:sz w:val="32"/>
          <w:szCs w:val="32"/>
          <w:lang w:eastAsia="zh-CN"/>
        </w:rPr>
        <w:t>深入贯彻中央八项规定精神学习教育</w:t>
      </w:r>
      <w:r>
        <w:rPr>
          <w:rFonts w:hint="eastAsia" w:ascii="方正仿宋简体" w:hAnsi="方正仿宋简体" w:eastAsia="方正仿宋简体" w:cs="方正仿宋简体"/>
          <w:sz w:val="32"/>
          <w:szCs w:val="32"/>
        </w:rPr>
        <w:t>，提升干部政治“三力”。新增3名事业编制，将网评员队伍从150名扩充至230名，开展3次网宣网评培训会，增强队伍专业素养。</w:t>
      </w:r>
    </w:p>
    <w:p w14:paraId="00528D2B">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73F7573">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21DF15A5">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 xml:space="preserve"> 根据《井陉县县级部门项目绩效自评管理办法》（井财〔</w:t>
      </w:r>
      <w:r>
        <w:rPr>
          <w:rFonts w:ascii="仿宋" w:hAnsi="仿宋" w:eastAsia="仿宋"/>
          <w:sz w:val="32"/>
          <w:szCs w:val="32"/>
        </w:rPr>
        <w:t>2020</w:t>
      </w:r>
      <w:r>
        <w:rPr>
          <w:rFonts w:hint="eastAsia" w:ascii="仿宋" w:hAnsi="仿宋" w:eastAsia="仿宋"/>
          <w:sz w:val="32"/>
          <w:szCs w:val="32"/>
        </w:rPr>
        <w:t>〕</w:t>
      </w:r>
      <w:r>
        <w:rPr>
          <w:rFonts w:ascii="仿宋" w:hAnsi="仿宋" w:eastAsia="仿宋"/>
          <w:sz w:val="32"/>
          <w:szCs w:val="32"/>
        </w:rPr>
        <w:t>9</w:t>
      </w:r>
      <w:r>
        <w:rPr>
          <w:rFonts w:hint="eastAsia" w:ascii="仿宋" w:hAnsi="仿宋" w:eastAsia="仿宋"/>
          <w:sz w:val="32"/>
          <w:szCs w:val="32"/>
        </w:rPr>
        <w:t>号）、《井陉县县级预算绩效重点评价管理办法》（井财〔</w:t>
      </w:r>
      <w:r>
        <w:rPr>
          <w:rFonts w:ascii="仿宋" w:hAnsi="仿宋" w:eastAsia="仿宋"/>
          <w:sz w:val="32"/>
          <w:szCs w:val="32"/>
        </w:rPr>
        <w:t>2020</w:t>
      </w:r>
      <w:r>
        <w:rPr>
          <w:rFonts w:hint="eastAsia" w:ascii="仿宋" w:hAnsi="仿宋" w:eastAsia="仿宋"/>
          <w:sz w:val="32"/>
          <w:szCs w:val="32"/>
        </w:rPr>
        <w:t>〕</w:t>
      </w:r>
      <w:r>
        <w:rPr>
          <w:rFonts w:ascii="仿宋" w:hAnsi="仿宋" w:eastAsia="仿宋"/>
          <w:sz w:val="32"/>
          <w:szCs w:val="32"/>
        </w:rPr>
        <w:t>10</w:t>
      </w:r>
      <w:r>
        <w:rPr>
          <w:rFonts w:hint="eastAsia" w:ascii="仿宋" w:hAnsi="仿宋" w:eastAsia="仿宋"/>
          <w:sz w:val="32"/>
          <w:szCs w:val="32"/>
        </w:rPr>
        <w:t>号）</w:t>
      </w:r>
      <w:r>
        <w:rPr>
          <w:rFonts w:hint="eastAsia" w:ascii="仿宋" w:hAnsi="仿宋" w:eastAsia="仿宋"/>
          <w:sz w:val="32"/>
          <w:szCs w:val="32"/>
          <w:lang w:eastAsia="zh-CN"/>
        </w:rPr>
        <w:t>等文件</w:t>
      </w:r>
      <w:r>
        <w:rPr>
          <w:rFonts w:hint="eastAsia" w:ascii="仿宋" w:hAnsi="仿宋" w:eastAsia="仿宋"/>
          <w:sz w:val="32"/>
          <w:szCs w:val="32"/>
        </w:rPr>
        <w:t>要求，</w:t>
      </w:r>
      <w:r>
        <w:rPr>
          <w:rFonts w:hint="eastAsia" w:ascii="仿宋" w:hAnsi="仿宋" w:eastAsia="仿宋"/>
          <w:sz w:val="32"/>
          <w:szCs w:val="32"/>
          <w:lang w:eastAsia="zh-CN"/>
        </w:rPr>
        <w:t>网信办</w:t>
      </w:r>
      <w:r>
        <w:rPr>
          <w:rFonts w:hint="eastAsia" w:ascii="仿宋" w:hAnsi="仿宋" w:eastAsia="仿宋"/>
          <w:sz w:val="32"/>
          <w:szCs w:val="32"/>
        </w:rPr>
        <w:t>及时召开了专题会议，成立项目自评小组，制定了工作计划，项目采取自评方式，组织开展20</w:t>
      </w:r>
      <w:r>
        <w:rPr>
          <w:rFonts w:hint="eastAsia" w:ascii="仿宋" w:hAnsi="仿宋" w:eastAsia="仿宋"/>
          <w:sz w:val="32"/>
          <w:szCs w:val="32"/>
          <w:lang w:val="en-US" w:eastAsia="zh-CN"/>
        </w:rPr>
        <w:t>25</w:t>
      </w:r>
      <w:r>
        <w:rPr>
          <w:rFonts w:hint="eastAsia" w:ascii="仿宋" w:hAnsi="仿宋" w:eastAsia="仿宋"/>
          <w:sz w:val="32"/>
          <w:szCs w:val="32"/>
        </w:rPr>
        <w:t>年度财政项目支出绩效自评工作。</w:t>
      </w:r>
    </w:p>
    <w:p w14:paraId="77B96A55">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ascii="仿宋" w:hAnsi="仿宋" w:eastAsia="仿宋"/>
          <w:sz w:val="32"/>
          <w:szCs w:val="32"/>
        </w:rPr>
      </w:pPr>
      <w:r>
        <w:rPr>
          <w:rFonts w:hint="eastAsia" w:ascii="仿宋" w:hAnsi="仿宋" w:eastAsia="仿宋"/>
          <w:sz w:val="32"/>
          <w:szCs w:val="32"/>
        </w:rPr>
        <w:t>20</w:t>
      </w:r>
      <w:r>
        <w:rPr>
          <w:rFonts w:hint="eastAsia" w:ascii="仿宋" w:hAnsi="仿宋" w:eastAsia="仿宋"/>
          <w:sz w:val="32"/>
          <w:szCs w:val="32"/>
          <w:lang w:val="en-US" w:eastAsia="zh-CN"/>
        </w:rPr>
        <w:t>25</w:t>
      </w:r>
      <w:r>
        <w:rPr>
          <w:rFonts w:hint="eastAsia" w:ascii="仿宋" w:hAnsi="仿宋" w:eastAsia="仿宋"/>
          <w:sz w:val="32"/>
          <w:szCs w:val="32"/>
        </w:rPr>
        <w:t>年度，我单位</w:t>
      </w:r>
      <w:r>
        <w:rPr>
          <w:rFonts w:hint="eastAsia" w:ascii="仿宋" w:hAnsi="仿宋" w:eastAsia="仿宋"/>
          <w:sz w:val="32"/>
          <w:szCs w:val="32"/>
          <w:lang w:eastAsia="zh-CN"/>
        </w:rPr>
        <w:t>项目</w:t>
      </w:r>
      <w:r>
        <w:rPr>
          <w:rFonts w:hint="eastAsia" w:ascii="仿宋" w:hAnsi="仿宋" w:eastAsia="仿宋"/>
          <w:sz w:val="32"/>
          <w:szCs w:val="32"/>
          <w:lang w:val="en-US" w:eastAsia="zh-CN"/>
        </w:rPr>
        <w:t>2项，共计31.8万元，其中2025年网络舆情监测等工作经费25万元、2025年网络综合治理工作经费6.8万元，</w:t>
      </w:r>
      <w:r>
        <w:rPr>
          <w:rFonts w:hint="eastAsia" w:ascii="仿宋" w:hAnsi="仿宋" w:eastAsia="仿宋"/>
          <w:sz w:val="32"/>
          <w:szCs w:val="32"/>
        </w:rPr>
        <w:t>项目资金到位率100%，且全部纳入国库管理，通过财政国库集中支付管理。</w:t>
      </w:r>
    </w:p>
    <w:p w14:paraId="7C819D3B">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C1932BD">
      <w:pPr>
        <w:keepNext w:val="0"/>
        <w:keepLines w:val="0"/>
        <w:pageBreakBefore w:val="0"/>
        <w:widowControl w:val="0"/>
        <w:kinsoku/>
        <w:wordWrap/>
        <w:overflowPunct/>
        <w:topLinePunct w:val="0"/>
        <w:autoSpaceDE/>
        <w:autoSpaceDN/>
        <w:bidi w:val="0"/>
        <w:spacing w:line="50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通过到项目实施现场勘察、核实所掌握的有关信息资料，按照工作方案确定的评价指标体系、评价标准和评价方法，依据所收集的资料，对评价对象的绩效情况进行量、定性分析和综合评价。</w:t>
      </w:r>
    </w:p>
    <w:p w14:paraId="2A4D26D9">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指标权重：根据评价项目设置具体绩效指标权重，部分设定为100分，原则上一级指标权重统一设置为：产出指标40分（包含数量、质量、时效 、成本），效益指标40分（包含经济效益、社会效益、生态效益、可持续影响），预算执行率指标10分，满意度指标10分。</w:t>
      </w:r>
    </w:p>
    <w:p w14:paraId="590B1693">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pPr>
      <w:r>
        <w:rPr>
          <w:rFonts w:hint="eastAsia" w:ascii="仿宋" w:hAnsi="仿宋" w:eastAsia="仿宋"/>
          <w:sz w:val="32"/>
          <w:szCs w:val="32"/>
          <w:lang w:val="en-US" w:eastAsia="zh-CN"/>
        </w:rPr>
        <w:t>评价方法：</w:t>
      </w:r>
      <w:r>
        <w:rPr>
          <w:rFonts w:hint="eastAsia" w:ascii="仿宋" w:hAnsi="仿宋" w:eastAsia="仿宋"/>
          <w:sz w:val="32"/>
          <w:szCs w:val="32"/>
        </w:rPr>
        <w:t>评价小组采取座谈等方式听取情况，检查项目支出有关账目，收集整理支出相关资料，结合评价内容，按照上级下达的项目支出绩效评价指标体系，自评小组针对申报内容、实施情况、财务管理、社会效益等做出自我评价，认真听取财政部门建议意见，做到有计划、有安排的开展本次自评工作，形成了评价结论。</w:t>
      </w:r>
    </w:p>
    <w:p w14:paraId="3C0B4E9F">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3384E06">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030CA5DC">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1.对各类网络平台信息进行监测、开展网络安全各项活动、开展网络文化活动、保障机关内部各项工作开展。</w:t>
      </w:r>
    </w:p>
    <w:p w14:paraId="54D573B1">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2.全县网络舆情态势总体平稳，网络生态环境安全稳定，营造了清朗网络空间。</w:t>
      </w:r>
    </w:p>
    <w:p w14:paraId="2AAFBA5C">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3.对抖音、快手等各类视频类网络平台进行全天24小时监测；确保及时、准确发现网络舆情，避免负面舆情对我县造成不良影响。</w:t>
      </w:r>
    </w:p>
    <w:p w14:paraId="625D0802">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4.维护社会稳定、防止有害信息扩散，确保网络意识形态安全，构筑了清朗网络空间，全县网络舆情态势总体平稳。</w:t>
      </w:r>
    </w:p>
    <w:p w14:paraId="2C8C8E18">
      <w:pPr>
        <w:numPr>
          <w:ilvl w:val="0"/>
          <w:numId w:val="3"/>
        </w:numPr>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分项绩效目标实现情况及指标分析</w:t>
      </w:r>
    </w:p>
    <w:p w14:paraId="157511CB">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通过绩效自评结果对比倒查的年初绩效目标设定情况，</w:t>
      </w:r>
      <w:r>
        <w:rPr>
          <w:rFonts w:hint="eastAsia" w:ascii="仿宋_GB2312" w:hAnsi="仿宋" w:eastAsia="仿宋_GB2312" w:cs="仿宋"/>
          <w:sz w:val="30"/>
          <w:szCs w:val="30"/>
          <w:lang w:val="en-US" w:eastAsia="zh-CN"/>
        </w:rPr>
        <w:t>2</w:t>
      </w:r>
      <w:r>
        <w:rPr>
          <w:rFonts w:hint="eastAsia" w:ascii="仿宋_GB2312" w:hAnsi="仿宋" w:eastAsia="仿宋_GB2312" w:cs="仿宋"/>
          <w:sz w:val="30"/>
          <w:szCs w:val="30"/>
        </w:rPr>
        <w:t>个项目比较清晰准确，绩效指标全面完整，科学合理，绩效标准恰当适宜、易于评价。</w:t>
      </w:r>
    </w:p>
    <w:p w14:paraId="6153A19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9809DD1">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根据</w:t>
      </w:r>
      <w:r>
        <w:rPr>
          <w:rFonts w:hint="eastAsia" w:ascii="方正仿宋简体" w:hAnsi="方正仿宋简体" w:eastAsia="方正仿宋简体" w:cs="方正仿宋简体"/>
          <w:sz w:val="32"/>
          <w:szCs w:val="32"/>
          <w:lang w:eastAsia="zh-CN"/>
        </w:rPr>
        <w:t>部门职责定位和各项工作履职情况进行综合评价</w:t>
      </w:r>
      <w:r>
        <w:rPr>
          <w:rFonts w:hint="eastAsia" w:ascii="方正仿宋简体" w:hAnsi="方正仿宋简体" w:eastAsia="方正仿宋简体" w:cs="方正仿宋简体"/>
          <w:sz w:val="32"/>
          <w:szCs w:val="32"/>
        </w:rPr>
        <w:t>，得分</w:t>
      </w:r>
      <w:r>
        <w:rPr>
          <w:rFonts w:hint="eastAsia" w:ascii="方正仿宋简体" w:hAnsi="方正仿宋简体" w:eastAsia="方正仿宋简体" w:cs="方正仿宋简体"/>
          <w:sz w:val="32"/>
          <w:szCs w:val="32"/>
          <w:lang w:val="en-US" w:eastAsia="zh-CN"/>
        </w:rPr>
        <w:t>98</w:t>
      </w:r>
      <w:r>
        <w:rPr>
          <w:rFonts w:hint="eastAsia" w:ascii="方正仿宋简体" w:hAnsi="方正仿宋简体" w:eastAsia="方正仿宋简体" w:cs="方正仿宋简体"/>
          <w:sz w:val="32"/>
          <w:szCs w:val="32"/>
        </w:rPr>
        <w:t>分，综合绩效评价等级为优秀。</w:t>
      </w:r>
    </w:p>
    <w:p w14:paraId="3D15CCD9">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D0C85BE">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516D806">
      <w:pPr>
        <w:pStyle w:val="2"/>
        <w:rPr>
          <w:rFonts w:hint="eastAsia" w:ascii="仿宋" w:hAnsi="仿宋" w:eastAsia="仿宋"/>
          <w:sz w:val="32"/>
          <w:szCs w:val="32"/>
          <w:lang w:val="en-US" w:eastAsia="zh-CN"/>
        </w:rPr>
      </w:pPr>
      <w:r>
        <w:rPr>
          <w:rFonts w:hint="eastAsia" w:ascii="仿宋" w:hAnsi="仿宋" w:eastAsia="仿宋"/>
          <w:sz w:val="32"/>
          <w:szCs w:val="32"/>
          <w:lang w:val="en-US" w:eastAsia="zh-CN"/>
        </w:rPr>
        <w:t>一是预算执行进度和效率有待加强。二是绩效目标管理和调整有待完善。三是研究成果质量和数量有待提升。</w:t>
      </w:r>
    </w:p>
    <w:p w14:paraId="64693CF6">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lang w:eastAsia="zh-CN"/>
        </w:rPr>
        <w:t>（二）</w:t>
      </w:r>
      <w:r>
        <w:rPr>
          <w:rFonts w:hint="eastAsia" w:ascii="楷体" w:hAnsi="楷体" w:eastAsia="楷体"/>
          <w:bCs/>
          <w:sz w:val="32"/>
          <w:szCs w:val="32"/>
        </w:rPr>
        <w:t>针对问题提出具体的改进措施或建议</w:t>
      </w:r>
    </w:p>
    <w:p w14:paraId="7D333C2E">
      <w:pPr>
        <w:pStyle w:val="2"/>
        <w:rPr>
          <w:rFonts w:hint="eastAsia" w:ascii="仿宋" w:hAnsi="仿宋" w:eastAsia="仿宋"/>
          <w:sz w:val="32"/>
          <w:szCs w:val="32"/>
          <w:lang w:eastAsia="zh-CN"/>
        </w:rPr>
      </w:pPr>
      <w:r>
        <w:rPr>
          <w:rFonts w:hint="eastAsia" w:ascii="仿宋" w:hAnsi="仿宋" w:eastAsia="仿宋"/>
          <w:sz w:val="32"/>
          <w:szCs w:val="32"/>
          <w:lang w:val="en-US" w:eastAsia="zh-CN"/>
        </w:rPr>
        <w:t>一是加快预算执行进度，提升资金使用效率。二是密切关注目标任务开展情况，确保实际工作切合绩效目标。三是加强研究数量和质量提升，不断提高研究服务水平。</w:t>
      </w:r>
    </w:p>
    <w:p w14:paraId="43CA0793">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2"/>
        <w:gridCol w:w="1812"/>
        <w:gridCol w:w="1812"/>
        <w:gridCol w:w="1812"/>
        <w:gridCol w:w="1813"/>
      </w:tblGrid>
      <w:tr w14:paraId="3728E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2" w:type="dxa"/>
          </w:tcPr>
          <w:p w14:paraId="76D1DD4C">
            <w:pPr>
              <w:keepNext w:val="0"/>
              <w:keepLines w:val="0"/>
              <w:pageBreakBefore w:val="0"/>
              <w:widowControl w:val="0"/>
              <w:kinsoku/>
              <w:wordWrap/>
              <w:overflowPunct/>
              <w:topLinePunct w:val="0"/>
              <w:bidi w:val="0"/>
              <w:spacing w:line="540" w:lineRule="exact"/>
              <w:ind w:right="0"/>
              <w:jc w:val="center"/>
              <w:textAlignment w:val="auto"/>
              <w:outlineLvl w:val="9"/>
              <w:rPr>
                <w:rFonts w:hint="default" w:ascii="仿宋" w:hAnsi="仿宋" w:eastAsia="仿宋"/>
                <w:vertAlign w:val="baseline"/>
                <w:lang w:val="en-US" w:eastAsia="zh-CN"/>
              </w:rPr>
            </w:pPr>
            <w:r>
              <w:rPr>
                <w:rFonts w:hint="eastAsia" w:ascii="仿宋" w:hAnsi="仿宋" w:eastAsia="仿宋"/>
                <w:vertAlign w:val="baseline"/>
                <w:lang w:val="en-US" w:eastAsia="zh-CN"/>
              </w:rPr>
              <w:t>姓名</w:t>
            </w:r>
          </w:p>
        </w:tc>
        <w:tc>
          <w:tcPr>
            <w:tcW w:w="1812" w:type="dxa"/>
          </w:tcPr>
          <w:p w14:paraId="02E356E2">
            <w:pPr>
              <w:keepNext w:val="0"/>
              <w:keepLines w:val="0"/>
              <w:pageBreakBefore w:val="0"/>
              <w:widowControl w:val="0"/>
              <w:kinsoku/>
              <w:wordWrap/>
              <w:overflowPunct/>
              <w:topLinePunct w:val="0"/>
              <w:bidi w:val="0"/>
              <w:spacing w:line="540" w:lineRule="exact"/>
              <w:ind w:right="0"/>
              <w:jc w:val="center"/>
              <w:textAlignment w:val="auto"/>
              <w:outlineLvl w:val="9"/>
              <w:rPr>
                <w:rFonts w:hint="default" w:ascii="仿宋" w:hAnsi="仿宋" w:eastAsia="仿宋"/>
                <w:vertAlign w:val="baseline"/>
                <w:lang w:val="en-US" w:eastAsia="zh-CN"/>
              </w:rPr>
            </w:pPr>
            <w:r>
              <w:rPr>
                <w:rFonts w:hint="eastAsia" w:ascii="仿宋" w:hAnsi="仿宋" w:eastAsia="仿宋"/>
                <w:vertAlign w:val="baseline"/>
                <w:lang w:val="en-US" w:eastAsia="zh-CN"/>
              </w:rPr>
              <w:t>工作单位</w:t>
            </w:r>
          </w:p>
        </w:tc>
        <w:tc>
          <w:tcPr>
            <w:tcW w:w="1812" w:type="dxa"/>
          </w:tcPr>
          <w:p w14:paraId="518F75DE">
            <w:pPr>
              <w:keepNext w:val="0"/>
              <w:keepLines w:val="0"/>
              <w:pageBreakBefore w:val="0"/>
              <w:widowControl w:val="0"/>
              <w:kinsoku/>
              <w:wordWrap/>
              <w:overflowPunct/>
              <w:topLinePunct w:val="0"/>
              <w:bidi w:val="0"/>
              <w:spacing w:line="540" w:lineRule="exact"/>
              <w:ind w:right="0"/>
              <w:jc w:val="center"/>
              <w:textAlignment w:val="auto"/>
              <w:outlineLvl w:val="9"/>
              <w:rPr>
                <w:rFonts w:hint="default" w:ascii="仿宋" w:hAnsi="仿宋" w:eastAsia="仿宋"/>
                <w:vertAlign w:val="baseline"/>
                <w:lang w:val="en-US" w:eastAsia="zh-CN"/>
              </w:rPr>
            </w:pPr>
            <w:r>
              <w:rPr>
                <w:rFonts w:hint="eastAsia" w:ascii="仿宋" w:hAnsi="仿宋" w:eastAsia="仿宋"/>
                <w:vertAlign w:val="baseline"/>
                <w:lang w:val="en-US" w:eastAsia="zh-CN"/>
              </w:rPr>
              <w:t>职务</w:t>
            </w:r>
          </w:p>
        </w:tc>
        <w:tc>
          <w:tcPr>
            <w:tcW w:w="1812" w:type="dxa"/>
          </w:tcPr>
          <w:p w14:paraId="12603986">
            <w:pPr>
              <w:keepNext w:val="0"/>
              <w:keepLines w:val="0"/>
              <w:pageBreakBefore w:val="0"/>
              <w:widowControl w:val="0"/>
              <w:kinsoku/>
              <w:wordWrap/>
              <w:overflowPunct/>
              <w:topLinePunct w:val="0"/>
              <w:bidi w:val="0"/>
              <w:spacing w:line="540" w:lineRule="exact"/>
              <w:ind w:right="0"/>
              <w:jc w:val="center"/>
              <w:textAlignment w:val="auto"/>
              <w:outlineLvl w:val="9"/>
              <w:rPr>
                <w:rFonts w:hint="default" w:ascii="仿宋" w:hAnsi="仿宋" w:eastAsia="仿宋"/>
                <w:vertAlign w:val="baseline"/>
                <w:lang w:val="en-US" w:eastAsia="zh-CN"/>
              </w:rPr>
            </w:pPr>
            <w:r>
              <w:rPr>
                <w:rFonts w:hint="eastAsia" w:ascii="仿宋" w:hAnsi="仿宋" w:eastAsia="仿宋"/>
                <w:vertAlign w:val="baseline"/>
                <w:lang w:val="en-US" w:eastAsia="zh-CN"/>
              </w:rPr>
              <w:t>职称</w:t>
            </w:r>
          </w:p>
        </w:tc>
        <w:tc>
          <w:tcPr>
            <w:tcW w:w="1813" w:type="dxa"/>
          </w:tcPr>
          <w:p w14:paraId="37C2EA1B">
            <w:pPr>
              <w:keepNext w:val="0"/>
              <w:keepLines w:val="0"/>
              <w:pageBreakBefore w:val="0"/>
              <w:widowControl w:val="0"/>
              <w:kinsoku/>
              <w:wordWrap/>
              <w:overflowPunct/>
              <w:topLinePunct w:val="0"/>
              <w:bidi w:val="0"/>
              <w:spacing w:line="540" w:lineRule="exact"/>
              <w:ind w:right="0"/>
              <w:jc w:val="center"/>
              <w:textAlignment w:val="auto"/>
              <w:outlineLvl w:val="9"/>
              <w:rPr>
                <w:rFonts w:hint="default" w:ascii="仿宋" w:hAnsi="仿宋" w:eastAsia="仿宋"/>
                <w:vertAlign w:val="baseline"/>
                <w:lang w:val="en-US" w:eastAsia="zh-CN"/>
              </w:rPr>
            </w:pPr>
            <w:r>
              <w:rPr>
                <w:rFonts w:hint="eastAsia" w:ascii="仿宋" w:hAnsi="仿宋" w:eastAsia="仿宋"/>
                <w:vertAlign w:val="baseline"/>
                <w:lang w:val="en-US" w:eastAsia="zh-CN"/>
              </w:rPr>
              <w:t>备注</w:t>
            </w:r>
          </w:p>
        </w:tc>
      </w:tr>
      <w:tr w14:paraId="13AEB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2" w:type="dxa"/>
          </w:tcPr>
          <w:p w14:paraId="5085ECE0">
            <w:pPr>
              <w:keepNext w:val="0"/>
              <w:keepLines w:val="0"/>
              <w:pageBreakBefore w:val="0"/>
              <w:widowControl w:val="0"/>
              <w:kinsoku/>
              <w:wordWrap/>
              <w:overflowPunct/>
              <w:topLinePunct w:val="0"/>
              <w:bidi w:val="0"/>
              <w:spacing w:line="540" w:lineRule="exact"/>
              <w:ind w:right="0"/>
              <w:jc w:val="center"/>
              <w:textAlignment w:val="auto"/>
              <w:outlineLvl w:val="9"/>
              <w:rPr>
                <w:rFonts w:hint="default" w:ascii="仿宋" w:hAnsi="仿宋" w:eastAsia="仿宋"/>
                <w:vertAlign w:val="baseline"/>
                <w:lang w:val="en-US" w:eastAsia="zh-CN"/>
              </w:rPr>
            </w:pPr>
            <w:r>
              <w:rPr>
                <w:rFonts w:hint="eastAsia" w:ascii="仿宋" w:hAnsi="仿宋" w:eastAsia="仿宋"/>
                <w:vertAlign w:val="baseline"/>
                <w:lang w:val="en-US" w:eastAsia="zh-CN"/>
              </w:rPr>
              <w:t>陈志军</w:t>
            </w:r>
          </w:p>
        </w:tc>
        <w:tc>
          <w:tcPr>
            <w:tcW w:w="1812" w:type="dxa"/>
          </w:tcPr>
          <w:p w14:paraId="5C6E43AB">
            <w:pPr>
              <w:keepNext w:val="0"/>
              <w:keepLines w:val="0"/>
              <w:pageBreakBefore w:val="0"/>
              <w:widowControl w:val="0"/>
              <w:kinsoku/>
              <w:wordWrap/>
              <w:overflowPunct/>
              <w:topLinePunct w:val="0"/>
              <w:bidi w:val="0"/>
              <w:spacing w:line="540" w:lineRule="exact"/>
              <w:ind w:right="0"/>
              <w:jc w:val="center"/>
              <w:textAlignment w:val="auto"/>
              <w:outlineLvl w:val="9"/>
              <w:rPr>
                <w:rFonts w:hint="default" w:ascii="仿宋" w:hAnsi="仿宋" w:eastAsia="仿宋"/>
                <w:vertAlign w:val="baseline"/>
                <w:lang w:val="en-US" w:eastAsia="zh-CN"/>
              </w:rPr>
            </w:pPr>
            <w:r>
              <w:rPr>
                <w:rFonts w:hint="eastAsia" w:ascii="仿宋" w:hAnsi="仿宋" w:eastAsia="仿宋"/>
                <w:vertAlign w:val="baseline"/>
                <w:lang w:val="en-US" w:eastAsia="zh-CN"/>
              </w:rPr>
              <w:t>井陉县委网信办</w:t>
            </w:r>
          </w:p>
        </w:tc>
        <w:tc>
          <w:tcPr>
            <w:tcW w:w="1812" w:type="dxa"/>
          </w:tcPr>
          <w:p w14:paraId="498C525B">
            <w:pPr>
              <w:keepNext w:val="0"/>
              <w:keepLines w:val="0"/>
              <w:pageBreakBefore w:val="0"/>
              <w:widowControl w:val="0"/>
              <w:kinsoku/>
              <w:wordWrap/>
              <w:overflowPunct/>
              <w:topLinePunct w:val="0"/>
              <w:bidi w:val="0"/>
              <w:spacing w:line="540" w:lineRule="exact"/>
              <w:ind w:right="0"/>
              <w:jc w:val="center"/>
              <w:textAlignment w:val="auto"/>
              <w:outlineLvl w:val="9"/>
              <w:rPr>
                <w:rFonts w:hint="default" w:ascii="仿宋" w:hAnsi="仿宋" w:eastAsia="仿宋"/>
                <w:vertAlign w:val="baseline"/>
                <w:lang w:val="en-US" w:eastAsia="zh-CN"/>
              </w:rPr>
            </w:pPr>
            <w:r>
              <w:rPr>
                <w:rFonts w:hint="eastAsia" w:ascii="仿宋" w:hAnsi="仿宋" w:eastAsia="仿宋"/>
                <w:vertAlign w:val="baseline"/>
                <w:lang w:val="en-US" w:eastAsia="zh-CN"/>
              </w:rPr>
              <w:t>主任</w:t>
            </w:r>
          </w:p>
        </w:tc>
        <w:tc>
          <w:tcPr>
            <w:tcW w:w="1812" w:type="dxa"/>
          </w:tcPr>
          <w:p w14:paraId="5114050C">
            <w:pPr>
              <w:keepNext w:val="0"/>
              <w:keepLines w:val="0"/>
              <w:pageBreakBefore w:val="0"/>
              <w:widowControl w:val="0"/>
              <w:kinsoku/>
              <w:wordWrap/>
              <w:overflowPunct/>
              <w:topLinePunct w:val="0"/>
              <w:bidi w:val="0"/>
              <w:spacing w:line="540" w:lineRule="exact"/>
              <w:ind w:right="0"/>
              <w:jc w:val="center"/>
              <w:textAlignment w:val="auto"/>
              <w:outlineLvl w:val="9"/>
              <w:rPr>
                <w:rFonts w:hint="default" w:ascii="仿宋" w:hAnsi="仿宋" w:eastAsia="仿宋"/>
                <w:vertAlign w:val="baseline"/>
                <w:lang w:val="en-US" w:eastAsia="zh-CN"/>
              </w:rPr>
            </w:pPr>
            <w:r>
              <w:rPr>
                <w:rFonts w:hint="eastAsia" w:ascii="仿宋" w:hAnsi="仿宋" w:eastAsia="仿宋"/>
                <w:vertAlign w:val="baseline"/>
                <w:lang w:val="en-US" w:eastAsia="zh-CN"/>
              </w:rPr>
              <w:t>无</w:t>
            </w:r>
          </w:p>
        </w:tc>
        <w:tc>
          <w:tcPr>
            <w:tcW w:w="1813" w:type="dxa"/>
          </w:tcPr>
          <w:p w14:paraId="68DA80AF">
            <w:pPr>
              <w:keepNext w:val="0"/>
              <w:keepLines w:val="0"/>
              <w:pageBreakBefore w:val="0"/>
              <w:widowControl w:val="0"/>
              <w:kinsoku/>
              <w:wordWrap/>
              <w:overflowPunct/>
              <w:topLinePunct w:val="0"/>
              <w:bidi w:val="0"/>
              <w:spacing w:line="540" w:lineRule="exact"/>
              <w:ind w:right="0"/>
              <w:jc w:val="center"/>
              <w:textAlignment w:val="auto"/>
              <w:outlineLvl w:val="9"/>
              <w:rPr>
                <w:rFonts w:hint="default" w:ascii="仿宋" w:hAnsi="仿宋" w:eastAsia="仿宋"/>
                <w:vertAlign w:val="baseline"/>
                <w:lang w:val="en-US" w:eastAsia="zh-CN"/>
              </w:rPr>
            </w:pPr>
          </w:p>
        </w:tc>
      </w:tr>
      <w:tr w14:paraId="0174C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2" w:type="dxa"/>
            <w:vAlign w:val="top"/>
          </w:tcPr>
          <w:p w14:paraId="7AD4C8AE">
            <w:pPr>
              <w:keepNext w:val="0"/>
              <w:keepLines w:val="0"/>
              <w:pageBreakBefore w:val="0"/>
              <w:widowControl w:val="0"/>
              <w:kinsoku/>
              <w:wordWrap/>
              <w:overflowPunct/>
              <w:topLinePunct w:val="0"/>
              <w:bidi w:val="0"/>
              <w:spacing w:line="540" w:lineRule="exact"/>
              <w:ind w:right="0" w:rightChars="0"/>
              <w:jc w:val="center"/>
              <w:textAlignment w:val="auto"/>
              <w:outlineLvl w:val="9"/>
              <w:rPr>
                <w:rFonts w:hint="default" w:ascii="仿宋" w:hAnsi="仿宋" w:eastAsia="仿宋"/>
                <w:vertAlign w:val="baseline"/>
                <w:lang w:val="en-US" w:eastAsia="zh-CN"/>
              </w:rPr>
            </w:pPr>
            <w:r>
              <w:rPr>
                <w:rFonts w:hint="eastAsia" w:ascii="仿宋" w:hAnsi="仿宋" w:eastAsia="仿宋"/>
                <w:vertAlign w:val="baseline"/>
                <w:lang w:val="en-US" w:eastAsia="zh-CN"/>
              </w:rPr>
              <w:t>张国彦</w:t>
            </w:r>
          </w:p>
        </w:tc>
        <w:tc>
          <w:tcPr>
            <w:tcW w:w="1812" w:type="dxa"/>
            <w:vAlign w:val="top"/>
          </w:tcPr>
          <w:p w14:paraId="0AEC6EA6">
            <w:pPr>
              <w:keepNext w:val="0"/>
              <w:keepLines w:val="0"/>
              <w:pageBreakBefore w:val="0"/>
              <w:widowControl w:val="0"/>
              <w:kinsoku/>
              <w:wordWrap/>
              <w:overflowPunct/>
              <w:topLinePunct w:val="0"/>
              <w:bidi w:val="0"/>
              <w:spacing w:line="540" w:lineRule="exact"/>
              <w:ind w:right="0" w:rightChars="0"/>
              <w:jc w:val="center"/>
              <w:textAlignment w:val="auto"/>
              <w:outlineLvl w:val="9"/>
              <w:rPr>
                <w:rFonts w:hint="default" w:ascii="仿宋" w:hAnsi="仿宋" w:eastAsia="仿宋"/>
                <w:vertAlign w:val="baseline"/>
                <w:lang w:val="en-US" w:eastAsia="zh-CN"/>
              </w:rPr>
            </w:pPr>
            <w:r>
              <w:rPr>
                <w:rFonts w:hint="eastAsia" w:ascii="仿宋" w:hAnsi="仿宋" w:eastAsia="仿宋"/>
                <w:vertAlign w:val="baseline"/>
                <w:lang w:val="en-US" w:eastAsia="zh-CN"/>
              </w:rPr>
              <w:t>井陉县委网信办</w:t>
            </w:r>
          </w:p>
        </w:tc>
        <w:tc>
          <w:tcPr>
            <w:tcW w:w="1812" w:type="dxa"/>
            <w:vAlign w:val="top"/>
          </w:tcPr>
          <w:p w14:paraId="1AD5CCD6">
            <w:pPr>
              <w:keepNext w:val="0"/>
              <w:keepLines w:val="0"/>
              <w:pageBreakBefore w:val="0"/>
              <w:widowControl w:val="0"/>
              <w:kinsoku/>
              <w:wordWrap/>
              <w:overflowPunct/>
              <w:topLinePunct w:val="0"/>
              <w:bidi w:val="0"/>
              <w:spacing w:line="540" w:lineRule="exact"/>
              <w:ind w:right="0" w:rightChars="0"/>
              <w:jc w:val="center"/>
              <w:textAlignment w:val="auto"/>
              <w:outlineLvl w:val="9"/>
              <w:rPr>
                <w:rFonts w:hint="default" w:ascii="仿宋" w:hAnsi="仿宋" w:eastAsia="仿宋"/>
                <w:vertAlign w:val="baseline"/>
                <w:lang w:val="en-US" w:eastAsia="zh-CN"/>
              </w:rPr>
            </w:pPr>
            <w:r>
              <w:rPr>
                <w:rFonts w:hint="eastAsia" w:ascii="仿宋" w:hAnsi="仿宋" w:eastAsia="仿宋"/>
                <w:vertAlign w:val="baseline"/>
                <w:lang w:val="en-US" w:eastAsia="zh-CN"/>
              </w:rPr>
              <w:t>三级主任科员</w:t>
            </w:r>
          </w:p>
        </w:tc>
        <w:tc>
          <w:tcPr>
            <w:tcW w:w="1812" w:type="dxa"/>
            <w:vAlign w:val="top"/>
          </w:tcPr>
          <w:p w14:paraId="091CCEFD">
            <w:pPr>
              <w:keepNext w:val="0"/>
              <w:keepLines w:val="0"/>
              <w:pageBreakBefore w:val="0"/>
              <w:widowControl w:val="0"/>
              <w:kinsoku/>
              <w:wordWrap/>
              <w:overflowPunct/>
              <w:topLinePunct w:val="0"/>
              <w:bidi w:val="0"/>
              <w:spacing w:line="540" w:lineRule="exact"/>
              <w:ind w:right="0" w:rightChars="0"/>
              <w:jc w:val="center"/>
              <w:textAlignment w:val="auto"/>
              <w:outlineLvl w:val="9"/>
              <w:rPr>
                <w:rFonts w:hint="default" w:ascii="仿宋" w:hAnsi="仿宋" w:eastAsia="仿宋"/>
                <w:vertAlign w:val="baseline"/>
                <w:lang w:val="en-US" w:eastAsia="zh-CN"/>
              </w:rPr>
            </w:pPr>
            <w:r>
              <w:rPr>
                <w:rFonts w:hint="eastAsia" w:ascii="仿宋" w:hAnsi="仿宋" w:eastAsia="仿宋"/>
                <w:vertAlign w:val="baseline"/>
                <w:lang w:val="en-US" w:eastAsia="zh-CN"/>
              </w:rPr>
              <w:t>无</w:t>
            </w:r>
          </w:p>
        </w:tc>
        <w:tc>
          <w:tcPr>
            <w:tcW w:w="1813" w:type="dxa"/>
          </w:tcPr>
          <w:p w14:paraId="18E28C22">
            <w:pPr>
              <w:keepNext w:val="0"/>
              <w:keepLines w:val="0"/>
              <w:pageBreakBefore w:val="0"/>
              <w:widowControl w:val="0"/>
              <w:kinsoku/>
              <w:wordWrap/>
              <w:overflowPunct/>
              <w:topLinePunct w:val="0"/>
              <w:bidi w:val="0"/>
              <w:spacing w:line="540" w:lineRule="exact"/>
              <w:ind w:right="0"/>
              <w:jc w:val="center"/>
              <w:textAlignment w:val="auto"/>
              <w:outlineLvl w:val="9"/>
              <w:rPr>
                <w:rFonts w:hint="default" w:ascii="仿宋" w:hAnsi="仿宋" w:eastAsia="仿宋"/>
                <w:vertAlign w:val="baseline"/>
                <w:lang w:val="en-US" w:eastAsia="zh-CN"/>
              </w:rPr>
            </w:pPr>
          </w:p>
        </w:tc>
      </w:tr>
      <w:tr w14:paraId="32F5A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2" w:type="dxa"/>
          </w:tcPr>
          <w:p w14:paraId="6477DE91">
            <w:pPr>
              <w:keepNext w:val="0"/>
              <w:keepLines w:val="0"/>
              <w:pageBreakBefore w:val="0"/>
              <w:widowControl w:val="0"/>
              <w:kinsoku/>
              <w:wordWrap/>
              <w:overflowPunct/>
              <w:topLinePunct w:val="0"/>
              <w:bidi w:val="0"/>
              <w:spacing w:line="540" w:lineRule="exact"/>
              <w:ind w:right="0"/>
              <w:jc w:val="center"/>
              <w:textAlignment w:val="auto"/>
              <w:outlineLvl w:val="9"/>
              <w:rPr>
                <w:rFonts w:hint="default" w:ascii="仿宋" w:hAnsi="仿宋" w:eastAsia="仿宋"/>
                <w:vertAlign w:val="baseline"/>
                <w:lang w:val="en-US" w:eastAsia="zh-CN"/>
              </w:rPr>
            </w:pPr>
            <w:r>
              <w:rPr>
                <w:rFonts w:hint="eastAsia" w:ascii="仿宋" w:hAnsi="仿宋" w:eastAsia="仿宋"/>
                <w:vertAlign w:val="baseline"/>
                <w:lang w:val="en-US" w:eastAsia="zh-CN"/>
              </w:rPr>
              <w:t>冀晓伟</w:t>
            </w:r>
          </w:p>
        </w:tc>
        <w:tc>
          <w:tcPr>
            <w:tcW w:w="1812" w:type="dxa"/>
          </w:tcPr>
          <w:p w14:paraId="26EC5F3B">
            <w:pPr>
              <w:keepNext w:val="0"/>
              <w:keepLines w:val="0"/>
              <w:pageBreakBefore w:val="0"/>
              <w:widowControl w:val="0"/>
              <w:kinsoku/>
              <w:wordWrap/>
              <w:overflowPunct/>
              <w:topLinePunct w:val="0"/>
              <w:bidi w:val="0"/>
              <w:spacing w:line="540" w:lineRule="exact"/>
              <w:ind w:right="0"/>
              <w:jc w:val="center"/>
              <w:textAlignment w:val="auto"/>
              <w:outlineLvl w:val="9"/>
              <w:rPr>
                <w:rFonts w:hint="default" w:ascii="仿宋" w:hAnsi="仿宋" w:eastAsia="仿宋"/>
                <w:vertAlign w:val="baseline"/>
                <w:lang w:val="en-US" w:eastAsia="zh-CN"/>
              </w:rPr>
            </w:pPr>
            <w:r>
              <w:rPr>
                <w:rFonts w:hint="eastAsia" w:ascii="仿宋" w:hAnsi="仿宋" w:eastAsia="仿宋"/>
                <w:vertAlign w:val="baseline"/>
                <w:lang w:val="en-US" w:eastAsia="zh-CN"/>
              </w:rPr>
              <w:t>井陉县委网信办</w:t>
            </w:r>
          </w:p>
        </w:tc>
        <w:tc>
          <w:tcPr>
            <w:tcW w:w="1812" w:type="dxa"/>
          </w:tcPr>
          <w:p w14:paraId="2F8B4EBD">
            <w:pPr>
              <w:keepNext w:val="0"/>
              <w:keepLines w:val="0"/>
              <w:pageBreakBefore w:val="0"/>
              <w:widowControl w:val="0"/>
              <w:kinsoku/>
              <w:wordWrap/>
              <w:overflowPunct/>
              <w:topLinePunct w:val="0"/>
              <w:bidi w:val="0"/>
              <w:spacing w:line="540" w:lineRule="exact"/>
              <w:ind w:right="0"/>
              <w:jc w:val="center"/>
              <w:textAlignment w:val="auto"/>
              <w:outlineLvl w:val="9"/>
              <w:rPr>
                <w:rFonts w:hint="default" w:ascii="仿宋" w:hAnsi="仿宋" w:eastAsia="仿宋"/>
                <w:vertAlign w:val="baseline"/>
                <w:lang w:val="en-US" w:eastAsia="zh-CN"/>
              </w:rPr>
            </w:pPr>
            <w:r>
              <w:rPr>
                <w:rFonts w:hint="eastAsia" w:ascii="仿宋" w:hAnsi="仿宋" w:eastAsia="仿宋"/>
                <w:vertAlign w:val="baseline"/>
                <w:lang w:val="en-US" w:eastAsia="zh-CN"/>
              </w:rPr>
              <w:t>四级主任科员</w:t>
            </w:r>
          </w:p>
        </w:tc>
        <w:tc>
          <w:tcPr>
            <w:tcW w:w="1812" w:type="dxa"/>
          </w:tcPr>
          <w:p w14:paraId="1DD8069D">
            <w:pPr>
              <w:keepNext w:val="0"/>
              <w:keepLines w:val="0"/>
              <w:pageBreakBefore w:val="0"/>
              <w:widowControl w:val="0"/>
              <w:kinsoku/>
              <w:wordWrap/>
              <w:overflowPunct/>
              <w:topLinePunct w:val="0"/>
              <w:bidi w:val="0"/>
              <w:spacing w:line="540" w:lineRule="exact"/>
              <w:ind w:right="0"/>
              <w:jc w:val="center"/>
              <w:textAlignment w:val="auto"/>
              <w:outlineLvl w:val="9"/>
              <w:rPr>
                <w:rFonts w:hint="default" w:ascii="仿宋" w:hAnsi="仿宋" w:eastAsia="仿宋"/>
                <w:vertAlign w:val="baseline"/>
                <w:lang w:val="en-US" w:eastAsia="zh-CN"/>
              </w:rPr>
            </w:pPr>
            <w:r>
              <w:rPr>
                <w:rFonts w:hint="eastAsia" w:ascii="仿宋" w:hAnsi="仿宋" w:eastAsia="仿宋"/>
                <w:vertAlign w:val="baseline"/>
                <w:lang w:val="en-US" w:eastAsia="zh-CN"/>
              </w:rPr>
              <w:t>无</w:t>
            </w:r>
          </w:p>
        </w:tc>
        <w:tc>
          <w:tcPr>
            <w:tcW w:w="1813" w:type="dxa"/>
          </w:tcPr>
          <w:p w14:paraId="3677BE32">
            <w:pPr>
              <w:keepNext w:val="0"/>
              <w:keepLines w:val="0"/>
              <w:pageBreakBefore w:val="0"/>
              <w:widowControl w:val="0"/>
              <w:kinsoku/>
              <w:wordWrap/>
              <w:overflowPunct/>
              <w:topLinePunct w:val="0"/>
              <w:bidi w:val="0"/>
              <w:spacing w:line="540" w:lineRule="exact"/>
              <w:ind w:right="0"/>
              <w:jc w:val="center"/>
              <w:textAlignment w:val="auto"/>
              <w:outlineLvl w:val="9"/>
              <w:rPr>
                <w:rFonts w:hint="default" w:ascii="仿宋" w:hAnsi="仿宋" w:eastAsia="仿宋"/>
                <w:vertAlign w:val="baseline"/>
                <w:lang w:val="en-US" w:eastAsia="zh-CN"/>
              </w:rPr>
            </w:pPr>
          </w:p>
        </w:tc>
      </w:tr>
    </w:tbl>
    <w:p w14:paraId="77A442CB">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 w:name="KSOFE44F9426">
    <w:panose1 w:val="02010609060101010101"/>
    <w:charset w:val="86"/>
    <w:family w:val="auto"/>
    <w:pitch w:val="default"/>
    <w:sig w:usb0="00000001" w:usb1="00000000" w:usb2="00000000" w:usb3="00000000" w:csb0="00040001"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B715E5">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4E4607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04E4607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99CC2B"/>
    <w:multiLevelType w:val="singleLevel"/>
    <w:tmpl w:val="9399CC2B"/>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44B521C"/>
    <w:rsid w:val="1AAF0063"/>
    <w:rsid w:val="1BE140DE"/>
    <w:rsid w:val="248C197D"/>
    <w:rsid w:val="252959AF"/>
    <w:rsid w:val="277A6671"/>
    <w:rsid w:val="292D35B7"/>
    <w:rsid w:val="31151E97"/>
    <w:rsid w:val="33EB6CFF"/>
    <w:rsid w:val="35A12947"/>
    <w:rsid w:val="37387040"/>
    <w:rsid w:val="3B0548E0"/>
    <w:rsid w:val="3B625C0A"/>
    <w:rsid w:val="3B8B3D3E"/>
    <w:rsid w:val="3CEE1963"/>
    <w:rsid w:val="436B78D3"/>
    <w:rsid w:val="48B60C1B"/>
    <w:rsid w:val="4C9C27FE"/>
    <w:rsid w:val="512260B4"/>
    <w:rsid w:val="52BD6ACB"/>
    <w:rsid w:val="55382BA4"/>
    <w:rsid w:val="55537534"/>
    <w:rsid w:val="561A74F1"/>
    <w:rsid w:val="597244E8"/>
    <w:rsid w:val="5B39198D"/>
    <w:rsid w:val="5EB71C30"/>
    <w:rsid w:val="66AF0CE5"/>
    <w:rsid w:val="6AA27932"/>
    <w:rsid w:val="6AC537CF"/>
    <w:rsid w:val="6DEB7441"/>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iPriority="99"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index 9"/>
    <w:basedOn w:val="1"/>
    <w:next w:val="1"/>
    <w:unhideWhenUsed/>
    <w:qFormat/>
    <w:uiPriority w:val="99"/>
    <w:pPr>
      <w:ind w:firstLine="640" w:firstLineChars="200"/>
    </w:pPr>
    <w:rPr>
      <w:rFonts w:ascii="仿宋_GB2312" w:eastAsia="仿宋_GB2312"/>
      <w:sz w:val="32"/>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No Spacing_57efa9f3-2fb9-4217-9c9e-eb1ea0d021bf"/>
    <w:qFormat/>
    <w:uiPriority w:val="1"/>
    <w:pPr>
      <w:widowControl w:val="0"/>
      <w:jc w:val="both"/>
    </w:pPr>
    <w:rPr>
      <w:rFonts w:ascii="宋体" w:hAnsi="宋体" w:eastAsia="仿宋_GB2312" w:cs="Times New Roman"/>
      <w:kern w:val="2"/>
      <w:sz w:val="32"/>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2713</Words>
  <Characters>2856</Characters>
  <Lines>4</Lines>
  <Paragraphs>1</Paragraphs>
  <TotalTime>12</TotalTime>
  <ScaleCrop>false</ScaleCrop>
  <LinksUpToDate>false</LinksUpToDate>
  <CharactersWithSpaces>2880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Fiona</cp:lastModifiedBy>
  <cp:lastPrinted>2024-03-06T07:40:00Z</cp:lastPrinted>
  <dcterms:modified xsi:type="dcterms:W3CDTF">2026-04-30T07:14:46Z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807859DDDB204D7484EDDFBB4E9D1D2E</vt:lpwstr>
  </property>
  <property fmtid="{D5CDD505-2E9C-101B-9397-08002B2CF9AE}" pid="4" name="KSOTemplateDocerSaveRecord">
    <vt:lpwstr>eyJoZGlkIjoiZmNlYjhkODkzODVhZDQxZTIyOGFkZGVhMzBkNTUzZmEiLCJ1c2VySWQiOiIyNDgyNjgxOTkifQ==</vt:lpwstr>
  </property>
</Properties>
</file>