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D590CE1">
      <w:pPr>
        <w:adjustRightInd w:val="0"/>
        <w:snapToGrid w:val="0"/>
        <w:spacing w:line="560" w:lineRule="exact"/>
        <w:rPr>
          <w:rFonts w:hint="eastAsia" w:ascii="黑体" w:hAnsi="黑体" w:eastAsia="黑体" w:cs="黑体"/>
          <w:sz w:val="32"/>
          <w:szCs w:val="32"/>
          <w:lang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3</w:t>
      </w:r>
    </w:p>
    <w:p w14:paraId="3440F629">
      <w:pPr>
        <w:spacing w:line="560" w:lineRule="exact"/>
        <w:jc w:val="center"/>
        <w:rPr>
          <w:rFonts w:ascii="宋体" w:hAnsi="宋体" w:cs="宋体"/>
          <w:b/>
          <w:bCs/>
          <w:sz w:val="44"/>
          <w:szCs w:val="44"/>
        </w:rPr>
      </w:pPr>
    </w:p>
    <w:p w14:paraId="48E40856">
      <w:pPr>
        <w:spacing w:line="560" w:lineRule="exact"/>
        <w:jc w:val="center"/>
        <w:rPr>
          <w:rFonts w:hint="default" w:ascii="宋体" w:hAnsi="宋体" w:eastAsia="宋体" w:cs="宋体"/>
          <w:b/>
          <w:bCs/>
          <w:sz w:val="44"/>
          <w:szCs w:val="44"/>
          <w:lang w:val="en-US" w:eastAsia="zh-CN"/>
        </w:rPr>
      </w:pPr>
      <w:r>
        <w:rPr>
          <w:rFonts w:hint="eastAsia" w:ascii="宋体" w:hAnsi="宋体" w:cs="宋体"/>
          <w:b/>
          <w:bCs/>
          <w:sz w:val="44"/>
          <w:szCs w:val="44"/>
          <w:lang w:val="en-US" w:eastAsia="zh-CN"/>
        </w:rPr>
        <w:t>井陉县辛庄乡人民政府</w:t>
      </w:r>
    </w:p>
    <w:p w14:paraId="42FFB739">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5</w:t>
      </w:r>
      <w:r>
        <w:rPr>
          <w:rFonts w:hint="eastAsia" w:ascii="宋体" w:hAnsi="宋体" w:cs="宋体"/>
          <w:b/>
          <w:bCs/>
          <w:sz w:val="44"/>
          <w:szCs w:val="44"/>
        </w:rPr>
        <w:t>年度整体支出绩效自评报告</w:t>
      </w:r>
    </w:p>
    <w:p w14:paraId="28AC9806">
      <w:pPr>
        <w:spacing w:line="560" w:lineRule="exact"/>
        <w:jc w:val="center"/>
        <w:rPr>
          <w:rFonts w:ascii="华文楷体" w:eastAsia="华文楷体"/>
          <w:sz w:val="32"/>
          <w:szCs w:val="32"/>
        </w:rPr>
      </w:pPr>
    </w:p>
    <w:p w14:paraId="3F6BB8E5">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贯彻落实市委市政府《关于全面落实预算绩效管理的实施意见》（石发﹝2019﹞8号）文件精神，遵循“科学性、规范性、客观性和公正性”的原则，对</w:t>
      </w:r>
      <w:r>
        <w:rPr>
          <w:rFonts w:hint="eastAsia" w:ascii="仿宋" w:hAnsi="仿宋" w:eastAsia="仿宋"/>
          <w:sz w:val="32"/>
          <w:szCs w:val="32"/>
          <w:lang w:val="en-US" w:eastAsia="zh-CN"/>
        </w:rPr>
        <w:t>井陉县辛庄乡人民政府</w:t>
      </w:r>
      <w:r>
        <w:rPr>
          <w:rFonts w:hint="eastAsia" w:ascii="仿宋" w:hAnsi="仿宋" w:eastAsia="仿宋"/>
          <w:sz w:val="32"/>
          <w:szCs w:val="32"/>
        </w:rPr>
        <w:t>202</w:t>
      </w:r>
      <w:r>
        <w:rPr>
          <w:rFonts w:hint="eastAsia" w:ascii="仿宋" w:hAnsi="仿宋" w:eastAsia="仿宋"/>
          <w:sz w:val="32"/>
          <w:szCs w:val="32"/>
          <w:lang w:val="en-US" w:eastAsia="zh-CN"/>
        </w:rPr>
        <w:t>5</w:t>
      </w:r>
      <w:r>
        <w:rPr>
          <w:rFonts w:hint="eastAsia" w:ascii="仿宋" w:hAnsi="仿宋" w:eastAsia="仿宋"/>
          <w:sz w:val="32"/>
          <w:szCs w:val="32"/>
        </w:rPr>
        <w:t>年整体支出情况实施了财政支出绩效自评价，形成本评价报告。</w:t>
      </w:r>
    </w:p>
    <w:p w14:paraId="5C66E399">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4C9F5A5F">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14:paraId="5A2444F8">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1.井陉县辛庄乡人民政府主要职责为：</w:t>
      </w:r>
    </w:p>
    <w:p w14:paraId="023C2E6F">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一）宣传贯彻执行党的路线方针政策和党中央、上级党组织及本乡党员代表大会(党员大会)的决议。贯彻执行法律、法规、规章和上级人民代表大会及其常务委员会决议及上级政府的决定、命令，执行本级人民代表大会的决议。</w:t>
      </w:r>
    </w:p>
    <w:p w14:paraId="386A1944">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（二）讨论和决定本乡经济建设、政治建设、文化建设、社会建设、生态文明建设和党的建设以及乡村振兴中的重大问题。</w:t>
      </w:r>
    </w:p>
    <w:p w14:paraId="2738011C">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（三）组织召开本级人民代表大会，充分行使重大事项决定权、监督权和任免权，做好人大代表工作，联系选民、反映群众意见和要求。</w:t>
      </w:r>
    </w:p>
    <w:p w14:paraId="32FCE0BC">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四）执行本行政区域内的经济和社会发展计划、预算，管理本行政区域内的经济、教育、科学、文化、卫生健康、体育事业和财政、统计、民政、司法行政等行政工作。落实本行政区域内发展规划、专项规划、区域规划、国土空间规划。</w:t>
      </w:r>
    </w:p>
    <w:p w14:paraId="2B09DD23">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五）乡党委领导乡政权机关、群团组织和其他各类组织，加强指导和规范，支持和保证这些机关和组织依照国家法律法规以及各自章程履行职责。坚持党管武装的根本原则和制度，协调各方力量，对乡人民武装工作实行统一领导。</w:t>
      </w:r>
    </w:p>
    <w:p w14:paraId="0388B3E9">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（六）加强乡党委自身建设和村党组织建设，以及其他隶属乡党委的党组织建设，抓好发展党员工作，加强党员队伍建设。维护和执行党的纪律，监督党员干部和其他任何工作人员严格遵守国家法律法规。</w:t>
      </w:r>
    </w:p>
    <w:p w14:paraId="71561D9C">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（七）按照干部管理权限，负责对干部的教育、培训、选拔、考核和监督工作。协助管理上级有关部门驻乡单位的干部。做好人才服务工作。</w:t>
      </w:r>
    </w:p>
    <w:p w14:paraId="658923D1">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八）领导本乡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14:paraId="0AB87618">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九）保护社会主义的全民所有的财产和劳动群众集体所有的财产，保护公民私人所有的合法财产，维护社会秩序，保障公民的人身权利、民主权利和其他权利。保护各种经济组织的合法权益。保障各少数民族的合法的权利和利益，尊重少数民族的风俗习惯。保障宪法和法律赋予妇女的男女平等、同工同酬和婚姻自由等各项权利。</w:t>
      </w:r>
    </w:p>
    <w:p w14:paraId="76D0B83D">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（十）承办上级党委、人大、政府交办的其他事项。</w:t>
      </w:r>
    </w:p>
    <w:p w14:paraId="406D6468">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val="en-US" w:eastAsia="zh-CN"/>
        </w:rPr>
        <w:t>2、</w:t>
      </w:r>
      <w:r>
        <w:rPr>
          <w:rFonts w:hint="eastAsia" w:ascii="仿宋" w:hAnsi="仿宋" w:eastAsia="仿宋"/>
          <w:sz w:val="32"/>
          <w:szCs w:val="32"/>
          <w:lang w:eastAsia="zh-CN"/>
        </w:rPr>
        <w:t>组织机构</w:t>
      </w:r>
      <w:r>
        <w:rPr>
          <w:rFonts w:hint="eastAsia" w:ascii="仿宋" w:hAnsi="仿宋" w:eastAsia="仿宋"/>
          <w:sz w:val="32"/>
          <w:szCs w:val="32"/>
          <w:lang w:val="en-US" w:eastAsia="zh-CN"/>
        </w:rPr>
        <w:t>设置</w:t>
      </w:r>
      <w:r>
        <w:rPr>
          <w:rFonts w:hint="eastAsia" w:ascii="仿宋" w:hAnsi="仿宋" w:eastAsia="仿宋"/>
          <w:sz w:val="32"/>
          <w:szCs w:val="32"/>
          <w:lang w:eastAsia="zh-CN"/>
        </w:rPr>
        <w:t>：</w:t>
      </w:r>
    </w:p>
    <w:tbl>
      <w:tblPr>
        <w:tblStyle w:val="4"/>
        <w:tblW w:w="805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365"/>
        <w:gridCol w:w="1288"/>
        <w:gridCol w:w="1150"/>
        <w:gridCol w:w="2250"/>
      </w:tblGrid>
      <w:tr w14:paraId="23CCD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663" w:hRule="atLeast"/>
          <w:tblHeader/>
          <w:jc w:val="center"/>
        </w:trPr>
        <w:tc>
          <w:tcPr>
            <w:tcW w:w="3365" w:type="dxa"/>
            <w:shd w:val="clear" w:color="auto" w:fill="auto"/>
            <w:vAlign w:val="center"/>
          </w:tcPr>
          <w:p w14:paraId="6093E25E">
            <w:pPr>
              <w:spacing w:line="300" w:lineRule="exact"/>
              <w:jc w:val="center"/>
              <w:rPr>
                <w:rFonts w:ascii="方正书宋_GBK" w:eastAsia="方正书宋_GBK"/>
                <w:b/>
                <w:highlight w:val="none"/>
              </w:rPr>
            </w:pPr>
            <w:r>
              <w:rPr>
                <w:rFonts w:hint="eastAsia" w:ascii="方正书宋_GBK" w:eastAsia="方正书宋_GBK"/>
                <w:b/>
                <w:highlight w:val="none"/>
              </w:rPr>
              <w:t>单位名称</w:t>
            </w:r>
          </w:p>
        </w:tc>
        <w:tc>
          <w:tcPr>
            <w:tcW w:w="1288" w:type="dxa"/>
            <w:shd w:val="clear" w:color="auto" w:fill="auto"/>
            <w:vAlign w:val="center"/>
          </w:tcPr>
          <w:p w14:paraId="19F5C278">
            <w:pPr>
              <w:spacing w:line="300" w:lineRule="exact"/>
              <w:jc w:val="center"/>
              <w:rPr>
                <w:rFonts w:ascii="方正书宋_GBK" w:eastAsia="方正书宋_GBK"/>
                <w:b/>
                <w:highlight w:val="none"/>
              </w:rPr>
            </w:pPr>
            <w:r>
              <w:rPr>
                <w:rFonts w:hint="eastAsia" w:ascii="方正书宋_GBK" w:eastAsia="方正书宋_GBK"/>
                <w:b/>
                <w:highlight w:val="none"/>
              </w:rPr>
              <w:t>单位性质</w:t>
            </w:r>
          </w:p>
        </w:tc>
        <w:tc>
          <w:tcPr>
            <w:tcW w:w="1150" w:type="dxa"/>
            <w:shd w:val="clear" w:color="auto" w:fill="auto"/>
            <w:vAlign w:val="center"/>
          </w:tcPr>
          <w:p w14:paraId="0CC34441">
            <w:pPr>
              <w:spacing w:line="300" w:lineRule="exact"/>
              <w:jc w:val="center"/>
              <w:rPr>
                <w:rFonts w:ascii="方正书宋_GBK" w:eastAsia="方正书宋_GBK"/>
                <w:b/>
                <w:highlight w:val="none"/>
              </w:rPr>
            </w:pPr>
            <w:r>
              <w:rPr>
                <w:rFonts w:hint="eastAsia" w:ascii="方正书宋_GBK" w:eastAsia="方正书宋_GBK"/>
                <w:b/>
                <w:highlight w:val="none"/>
              </w:rPr>
              <w:t>单位规格</w:t>
            </w:r>
          </w:p>
        </w:tc>
        <w:tc>
          <w:tcPr>
            <w:tcW w:w="2250" w:type="dxa"/>
            <w:shd w:val="clear" w:color="auto" w:fill="auto"/>
            <w:vAlign w:val="center"/>
          </w:tcPr>
          <w:p w14:paraId="478BD200">
            <w:pPr>
              <w:spacing w:line="300" w:lineRule="exact"/>
              <w:jc w:val="center"/>
              <w:rPr>
                <w:rFonts w:ascii="方正书宋_GBK" w:eastAsia="方正书宋_GBK"/>
                <w:b/>
                <w:highlight w:val="none"/>
              </w:rPr>
            </w:pPr>
            <w:r>
              <w:rPr>
                <w:rFonts w:hint="eastAsia" w:ascii="方正书宋_GBK" w:eastAsia="方正书宋_GBK"/>
                <w:b/>
                <w:highlight w:val="none"/>
              </w:rPr>
              <w:t>经费保障形式</w:t>
            </w:r>
          </w:p>
        </w:tc>
      </w:tr>
      <w:tr w14:paraId="51D2C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438" w:hRule="atLeast"/>
          <w:jc w:val="center"/>
        </w:trPr>
        <w:tc>
          <w:tcPr>
            <w:tcW w:w="3365" w:type="dxa"/>
            <w:shd w:val="clear" w:color="auto" w:fill="auto"/>
            <w:vAlign w:val="center"/>
          </w:tcPr>
          <w:p w14:paraId="153621CA">
            <w:pPr>
              <w:spacing w:line="300" w:lineRule="exact"/>
              <w:jc w:val="left"/>
              <w:rPr>
                <w:rFonts w:ascii="方正书宋_GBK" w:eastAsia="方正书宋_GBK"/>
                <w:highlight w:val="none"/>
              </w:rPr>
            </w:pPr>
            <w:r>
              <w:rPr>
                <w:rFonts w:hint="eastAsia" w:ascii="方正书宋_GBK" w:eastAsia="方正书宋_GBK"/>
                <w:highlight w:val="none"/>
              </w:rPr>
              <w:t>井陉县</w:t>
            </w:r>
            <w:r>
              <w:rPr>
                <w:rFonts w:hint="eastAsia" w:ascii="方正书宋_GBK" w:eastAsia="方正书宋_GBK"/>
                <w:highlight w:val="none"/>
                <w:lang w:val="en-US" w:eastAsia="zh-CN"/>
              </w:rPr>
              <w:t>辛庄乡</w:t>
            </w:r>
            <w:r>
              <w:rPr>
                <w:rFonts w:hint="eastAsia" w:ascii="方正书宋_GBK" w:eastAsia="方正书宋_GBK"/>
                <w:highlight w:val="none"/>
              </w:rPr>
              <w:t>人民政府</w:t>
            </w:r>
          </w:p>
        </w:tc>
        <w:tc>
          <w:tcPr>
            <w:tcW w:w="1288" w:type="dxa"/>
            <w:shd w:val="clear" w:color="auto" w:fill="auto"/>
            <w:vAlign w:val="center"/>
          </w:tcPr>
          <w:p w14:paraId="08EBF2FD">
            <w:pPr>
              <w:spacing w:line="300" w:lineRule="exact"/>
              <w:jc w:val="center"/>
              <w:rPr>
                <w:rFonts w:ascii="方正书宋_GBK" w:eastAsia="方正书宋_GBK"/>
                <w:highlight w:val="none"/>
              </w:rPr>
            </w:pPr>
            <w:r>
              <w:rPr>
                <w:rFonts w:hint="eastAsia" w:ascii="方正书宋_GBK" w:eastAsia="方正书宋_GBK"/>
                <w:highlight w:val="none"/>
              </w:rPr>
              <w:t>行政</w:t>
            </w:r>
          </w:p>
        </w:tc>
        <w:tc>
          <w:tcPr>
            <w:tcW w:w="1150" w:type="dxa"/>
            <w:shd w:val="clear" w:color="auto" w:fill="auto"/>
            <w:vAlign w:val="center"/>
          </w:tcPr>
          <w:p w14:paraId="6DAEECD1">
            <w:pPr>
              <w:spacing w:line="300" w:lineRule="exact"/>
              <w:jc w:val="center"/>
              <w:rPr>
                <w:rFonts w:ascii="方正书宋_GBK" w:eastAsia="方正书宋_GBK"/>
                <w:highlight w:val="none"/>
              </w:rPr>
            </w:pPr>
            <w:r>
              <w:rPr>
                <w:rFonts w:hint="eastAsia" w:ascii="方正书宋_GBK" w:eastAsia="方正书宋_GBK"/>
                <w:highlight w:val="none"/>
              </w:rPr>
              <w:t>正科级</w:t>
            </w:r>
          </w:p>
        </w:tc>
        <w:tc>
          <w:tcPr>
            <w:tcW w:w="2250" w:type="dxa"/>
            <w:shd w:val="clear" w:color="auto" w:fill="auto"/>
            <w:vAlign w:val="center"/>
          </w:tcPr>
          <w:p w14:paraId="34C3F24D">
            <w:pPr>
              <w:spacing w:line="300" w:lineRule="exact"/>
              <w:jc w:val="center"/>
              <w:rPr>
                <w:rFonts w:ascii="方正书宋_GBK" w:eastAsia="方正书宋_GBK"/>
                <w:highlight w:val="none"/>
              </w:rPr>
            </w:pPr>
            <w:r>
              <w:rPr>
                <w:rFonts w:hint="eastAsia" w:ascii="方正书宋_GBK" w:eastAsia="方正书宋_GBK"/>
                <w:highlight w:val="none"/>
              </w:rPr>
              <w:t>财政拨款</w:t>
            </w:r>
          </w:p>
        </w:tc>
      </w:tr>
      <w:tr w14:paraId="7A20E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438" w:hRule="atLeast"/>
          <w:jc w:val="center"/>
        </w:trPr>
        <w:tc>
          <w:tcPr>
            <w:tcW w:w="3365" w:type="dxa"/>
            <w:shd w:val="clear" w:color="auto" w:fill="auto"/>
            <w:vAlign w:val="center"/>
          </w:tcPr>
          <w:p w14:paraId="22899305">
            <w:pPr>
              <w:spacing w:line="300" w:lineRule="exact"/>
              <w:jc w:val="left"/>
              <w:rPr>
                <w:rFonts w:ascii="方正书宋_GBK" w:eastAsia="方正书宋_GBK"/>
                <w:highlight w:val="none"/>
              </w:rPr>
            </w:pPr>
            <w:r>
              <w:rPr>
                <w:rFonts w:hint="eastAsia" w:ascii="方正书宋_GBK" w:eastAsia="方正书宋_GBK"/>
                <w:highlight w:val="none"/>
              </w:rPr>
              <w:t>井陉县</w:t>
            </w:r>
            <w:r>
              <w:rPr>
                <w:rFonts w:hint="eastAsia" w:ascii="方正书宋_GBK" w:eastAsia="方正书宋_GBK"/>
                <w:highlight w:val="none"/>
                <w:lang w:val="en-US" w:eastAsia="zh-CN"/>
              </w:rPr>
              <w:t>辛庄乡</w:t>
            </w:r>
            <w:r>
              <w:rPr>
                <w:rFonts w:hint="eastAsia" w:ascii="方正书宋_GBK" w:eastAsia="方正书宋_GBK"/>
                <w:highlight w:val="none"/>
              </w:rPr>
              <w:t>综合行政执法</w:t>
            </w:r>
            <w:r>
              <w:rPr>
                <w:rFonts w:hint="eastAsia" w:ascii="方正书宋_GBK" w:eastAsia="方正书宋_GBK"/>
                <w:highlight w:val="none"/>
                <w:lang w:val="en-US" w:eastAsia="zh-CN"/>
              </w:rPr>
              <w:t>大</w:t>
            </w:r>
            <w:r>
              <w:rPr>
                <w:rFonts w:hint="eastAsia" w:ascii="方正书宋_GBK" w:eastAsia="方正书宋_GBK"/>
                <w:highlight w:val="none"/>
              </w:rPr>
              <w:t>队</w:t>
            </w:r>
          </w:p>
        </w:tc>
        <w:tc>
          <w:tcPr>
            <w:tcW w:w="1288" w:type="dxa"/>
            <w:shd w:val="clear" w:color="auto" w:fill="auto"/>
            <w:vAlign w:val="center"/>
          </w:tcPr>
          <w:p w14:paraId="382AE1B2">
            <w:pPr>
              <w:spacing w:line="300" w:lineRule="exact"/>
              <w:jc w:val="center"/>
              <w:rPr>
                <w:rFonts w:ascii="方正书宋_GBK" w:eastAsia="方正书宋_GBK"/>
                <w:highlight w:val="none"/>
              </w:rPr>
            </w:pPr>
            <w:r>
              <w:rPr>
                <w:rFonts w:hint="eastAsia" w:ascii="方正书宋_GBK" w:eastAsia="方正书宋_GBK"/>
                <w:highlight w:val="none"/>
              </w:rPr>
              <w:t>事业</w:t>
            </w:r>
          </w:p>
        </w:tc>
        <w:tc>
          <w:tcPr>
            <w:tcW w:w="1150" w:type="dxa"/>
            <w:shd w:val="clear" w:color="auto" w:fill="auto"/>
            <w:vAlign w:val="center"/>
          </w:tcPr>
          <w:p w14:paraId="492D8416">
            <w:pPr>
              <w:spacing w:line="300" w:lineRule="exact"/>
              <w:jc w:val="center"/>
              <w:rPr>
                <w:rFonts w:ascii="方正书宋_GBK" w:eastAsia="方正书宋_GBK"/>
                <w:highlight w:val="none"/>
              </w:rPr>
            </w:pPr>
            <w:r>
              <w:rPr>
                <w:rFonts w:hint="eastAsia" w:ascii="方正书宋_GBK" w:eastAsia="方正书宋_GBK"/>
                <w:highlight w:val="none"/>
              </w:rPr>
              <w:t>股级</w:t>
            </w:r>
          </w:p>
        </w:tc>
        <w:tc>
          <w:tcPr>
            <w:tcW w:w="2250" w:type="dxa"/>
            <w:shd w:val="clear" w:color="auto" w:fill="auto"/>
            <w:vAlign w:val="center"/>
          </w:tcPr>
          <w:p w14:paraId="2D5D91BB">
            <w:pPr>
              <w:spacing w:line="300" w:lineRule="exact"/>
              <w:jc w:val="center"/>
              <w:rPr>
                <w:rFonts w:ascii="方正书宋_GBK" w:eastAsia="方正书宋_GBK"/>
                <w:highlight w:val="none"/>
              </w:rPr>
            </w:pPr>
            <w:r>
              <w:rPr>
                <w:rFonts w:hint="eastAsia" w:ascii="方正书宋_GBK" w:eastAsia="方正书宋_GBK"/>
                <w:highlight w:val="none"/>
              </w:rPr>
              <w:t>财政性资金基本保证</w:t>
            </w:r>
          </w:p>
        </w:tc>
      </w:tr>
      <w:tr w14:paraId="251F2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438" w:hRule="atLeast"/>
          <w:jc w:val="center"/>
        </w:trPr>
        <w:tc>
          <w:tcPr>
            <w:tcW w:w="3365" w:type="dxa"/>
            <w:shd w:val="clear" w:color="auto" w:fill="auto"/>
            <w:vAlign w:val="center"/>
          </w:tcPr>
          <w:p w14:paraId="4F8749A9">
            <w:pPr>
              <w:spacing w:line="300" w:lineRule="exact"/>
              <w:jc w:val="left"/>
              <w:rPr>
                <w:rFonts w:ascii="方正书宋_GBK" w:eastAsia="方正书宋_GBK"/>
                <w:highlight w:val="none"/>
              </w:rPr>
            </w:pPr>
            <w:r>
              <w:rPr>
                <w:rFonts w:hint="eastAsia" w:ascii="方正书宋_GBK" w:eastAsia="方正书宋_GBK"/>
                <w:highlight w:val="none"/>
              </w:rPr>
              <w:t>井陉县</w:t>
            </w:r>
            <w:r>
              <w:rPr>
                <w:rFonts w:hint="eastAsia" w:ascii="方正书宋_GBK" w:eastAsia="方正书宋_GBK"/>
                <w:highlight w:val="none"/>
                <w:lang w:val="en-US" w:eastAsia="zh-CN"/>
              </w:rPr>
              <w:t>辛庄乡</w:t>
            </w:r>
            <w:r>
              <w:rPr>
                <w:rFonts w:hint="eastAsia" w:ascii="方正书宋_GBK" w:eastAsia="方正书宋_GBK"/>
                <w:highlight w:val="none"/>
              </w:rPr>
              <w:t>行政综合服务中心</w:t>
            </w:r>
          </w:p>
        </w:tc>
        <w:tc>
          <w:tcPr>
            <w:tcW w:w="1288" w:type="dxa"/>
            <w:shd w:val="clear" w:color="auto" w:fill="auto"/>
            <w:vAlign w:val="center"/>
          </w:tcPr>
          <w:p w14:paraId="5C6F5DEA">
            <w:pPr>
              <w:spacing w:line="300" w:lineRule="exact"/>
              <w:jc w:val="center"/>
              <w:rPr>
                <w:rFonts w:ascii="方正书宋_GBK" w:eastAsia="方正书宋_GBK"/>
                <w:highlight w:val="none"/>
              </w:rPr>
            </w:pPr>
            <w:r>
              <w:rPr>
                <w:rFonts w:hint="eastAsia" w:ascii="方正书宋_GBK" w:eastAsia="方正书宋_GBK"/>
                <w:highlight w:val="none"/>
              </w:rPr>
              <w:t>事业</w:t>
            </w:r>
          </w:p>
        </w:tc>
        <w:tc>
          <w:tcPr>
            <w:tcW w:w="1150" w:type="dxa"/>
            <w:shd w:val="clear" w:color="auto" w:fill="auto"/>
            <w:vAlign w:val="center"/>
          </w:tcPr>
          <w:p w14:paraId="4B7F7AD4">
            <w:pPr>
              <w:spacing w:line="300" w:lineRule="exact"/>
              <w:jc w:val="center"/>
              <w:rPr>
                <w:rFonts w:ascii="方正书宋_GBK" w:eastAsia="方正书宋_GBK"/>
                <w:highlight w:val="none"/>
              </w:rPr>
            </w:pPr>
            <w:r>
              <w:rPr>
                <w:rFonts w:hint="eastAsia" w:ascii="方正书宋_GBK" w:eastAsia="方正书宋_GBK"/>
                <w:highlight w:val="none"/>
              </w:rPr>
              <w:t>股级</w:t>
            </w:r>
          </w:p>
        </w:tc>
        <w:tc>
          <w:tcPr>
            <w:tcW w:w="2250" w:type="dxa"/>
            <w:shd w:val="clear" w:color="auto" w:fill="auto"/>
            <w:vAlign w:val="center"/>
          </w:tcPr>
          <w:p w14:paraId="7FDC7E19">
            <w:pPr>
              <w:spacing w:line="300" w:lineRule="exact"/>
              <w:jc w:val="center"/>
              <w:rPr>
                <w:rFonts w:ascii="方正书宋_GBK" w:eastAsia="方正书宋_GBK"/>
                <w:highlight w:val="none"/>
              </w:rPr>
            </w:pPr>
            <w:r>
              <w:rPr>
                <w:rFonts w:hint="eastAsia" w:ascii="方正书宋_GBK" w:eastAsia="方正书宋_GBK"/>
                <w:highlight w:val="none"/>
              </w:rPr>
              <w:t>财政性资金基本保证</w:t>
            </w:r>
          </w:p>
        </w:tc>
      </w:tr>
      <w:tr w14:paraId="0CB43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455" w:hRule="atLeast"/>
          <w:jc w:val="center"/>
        </w:trPr>
        <w:tc>
          <w:tcPr>
            <w:tcW w:w="3365" w:type="dxa"/>
            <w:shd w:val="clear" w:color="auto" w:fill="auto"/>
            <w:vAlign w:val="center"/>
          </w:tcPr>
          <w:p w14:paraId="416D97AB">
            <w:pPr>
              <w:spacing w:line="300" w:lineRule="exact"/>
              <w:jc w:val="left"/>
              <w:rPr>
                <w:rFonts w:ascii="方正书宋_GBK" w:eastAsia="方正书宋_GBK"/>
                <w:highlight w:val="none"/>
              </w:rPr>
            </w:pPr>
            <w:r>
              <w:rPr>
                <w:rFonts w:hint="eastAsia" w:ascii="方正书宋_GBK" w:eastAsia="方正书宋_GBK"/>
                <w:highlight w:val="none"/>
              </w:rPr>
              <w:t>井陉县</w:t>
            </w:r>
            <w:r>
              <w:rPr>
                <w:rFonts w:hint="eastAsia" w:ascii="方正书宋_GBK" w:eastAsia="方正书宋_GBK"/>
                <w:highlight w:val="none"/>
                <w:lang w:val="en-US" w:eastAsia="zh-CN"/>
              </w:rPr>
              <w:t>辛庄乡</w:t>
            </w:r>
            <w:r>
              <w:rPr>
                <w:rFonts w:hint="eastAsia" w:ascii="方正书宋_GBK" w:eastAsia="方正书宋_GBK"/>
                <w:highlight w:val="none"/>
              </w:rPr>
              <w:t>农业综合服务中心</w:t>
            </w:r>
          </w:p>
        </w:tc>
        <w:tc>
          <w:tcPr>
            <w:tcW w:w="1288" w:type="dxa"/>
            <w:shd w:val="clear" w:color="auto" w:fill="auto"/>
            <w:vAlign w:val="center"/>
          </w:tcPr>
          <w:p w14:paraId="1260AB13">
            <w:pPr>
              <w:spacing w:line="300" w:lineRule="exact"/>
              <w:jc w:val="center"/>
              <w:rPr>
                <w:rFonts w:ascii="方正书宋_GBK" w:eastAsia="方正书宋_GBK"/>
                <w:highlight w:val="none"/>
              </w:rPr>
            </w:pPr>
            <w:r>
              <w:rPr>
                <w:rFonts w:hint="eastAsia" w:ascii="方正书宋_GBK" w:eastAsia="方正书宋_GBK"/>
                <w:highlight w:val="none"/>
              </w:rPr>
              <w:t>事业</w:t>
            </w:r>
          </w:p>
        </w:tc>
        <w:tc>
          <w:tcPr>
            <w:tcW w:w="1150" w:type="dxa"/>
            <w:shd w:val="clear" w:color="auto" w:fill="auto"/>
            <w:vAlign w:val="center"/>
          </w:tcPr>
          <w:p w14:paraId="09AA62E3">
            <w:pPr>
              <w:spacing w:line="300" w:lineRule="exact"/>
              <w:jc w:val="center"/>
              <w:rPr>
                <w:rFonts w:ascii="方正书宋_GBK" w:eastAsia="方正书宋_GBK"/>
                <w:highlight w:val="none"/>
              </w:rPr>
            </w:pPr>
            <w:r>
              <w:rPr>
                <w:rFonts w:hint="eastAsia" w:ascii="方正书宋_GBK" w:eastAsia="方正书宋_GBK"/>
                <w:highlight w:val="none"/>
              </w:rPr>
              <w:t>股级</w:t>
            </w:r>
          </w:p>
        </w:tc>
        <w:tc>
          <w:tcPr>
            <w:tcW w:w="2250" w:type="dxa"/>
            <w:shd w:val="clear" w:color="auto" w:fill="auto"/>
            <w:vAlign w:val="center"/>
          </w:tcPr>
          <w:p w14:paraId="389D185A">
            <w:pPr>
              <w:spacing w:line="300" w:lineRule="exact"/>
              <w:jc w:val="center"/>
              <w:rPr>
                <w:rFonts w:ascii="方正书宋_GBK" w:eastAsia="方正书宋_GBK"/>
                <w:highlight w:val="none"/>
              </w:rPr>
            </w:pPr>
            <w:r>
              <w:rPr>
                <w:rFonts w:hint="eastAsia" w:ascii="方正书宋_GBK" w:eastAsia="方正书宋_GBK"/>
                <w:highlight w:val="none"/>
              </w:rPr>
              <w:t>财政性资金基本保证</w:t>
            </w:r>
          </w:p>
        </w:tc>
      </w:tr>
    </w:tbl>
    <w:p w14:paraId="799402A6">
      <w:pPr>
        <w:adjustRightInd w:val="0"/>
        <w:snapToGrid w:val="0"/>
        <w:spacing w:line="560" w:lineRule="exact"/>
        <w:rPr>
          <w:rFonts w:hint="eastAsia" w:ascii="仿宋" w:hAnsi="仿宋" w:eastAsia="仿宋"/>
          <w:sz w:val="32"/>
          <w:szCs w:val="32"/>
        </w:rPr>
      </w:pPr>
    </w:p>
    <w:p w14:paraId="3CF865E6">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（二）部门收支预决算情况</w:t>
      </w:r>
    </w:p>
    <w:p w14:paraId="5FA952DA">
      <w:pPr>
        <w:adjustRightInd w:val="0"/>
        <w:snapToGrid w:val="0"/>
        <w:spacing w:line="560" w:lineRule="exact"/>
        <w:ind w:firstLine="640" w:firstLineChars="200"/>
        <w:rPr>
          <w:rFonts w:hint="eastAsia" w:ascii="仿宋" w:hAnsi="仿宋" w:eastAsia="仿宋"/>
          <w:sz w:val="32"/>
          <w:szCs w:val="32"/>
          <w:highlight w:val="none"/>
        </w:rPr>
      </w:pPr>
      <w:r>
        <w:rPr>
          <w:rFonts w:hint="eastAsia" w:ascii="仿宋" w:hAnsi="仿宋" w:eastAsia="仿宋"/>
          <w:sz w:val="32"/>
          <w:szCs w:val="32"/>
          <w:highlight w:val="none"/>
        </w:rPr>
        <w:t>部门预算安排总体情况：</w:t>
      </w:r>
    </w:p>
    <w:p w14:paraId="145F3AB9">
      <w:pPr>
        <w:adjustRightInd w:val="0"/>
        <w:snapToGrid w:val="0"/>
        <w:spacing w:line="560" w:lineRule="exact"/>
        <w:ind w:firstLine="640" w:firstLineChars="200"/>
        <w:rPr>
          <w:rFonts w:hint="eastAsia" w:ascii="仿宋" w:hAnsi="仿宋" w:eastAsia="仿宋"/>
          <w:sz w:val="32"/>
          <w:szCs w:val="32"/>
          <w:highlight w:val="none"/>
        </w:rPr>
      </w:pPr>
      <w:r>
        <w:rPr>
          <w:rFonts w:hint="eastAsia" w:ascii="仿宋" w:hAnsi="仿宋" w:eastAsia="仿宋"/>
          <w:sz w:val="32"/>
          <w:szCs w:val="32"/>
          <w:highlight w:val="none"/>
        </w:rPr>
        <w:t>1、收入说明</w:t>
      </w:r>
    </w:p>
    <w:p w14:paraId="241323B1">
      <w:pPr>
        <w:adjustRightInd w:val="0"/>
        <w:snapToGrid w:val="0"/>
        <w:spacing w:line="560" w:lineRule="exact"/>
        <w:ind w:firstLine="640" w:firstLineChars="200"/>
        <w:rPr>
          <w:rFonts w:hint="eastAsia" w:ascii="仿宋" w:hAnsi="仿宋" w:eastAsia="仿宋"/>
          <w:sz w:val="32"/>
          <w:szCs w:val="32"/>
          <w:highlight w:val="none"/>
        </w:rPr>
      </w:pPr>
      <w:r>
        <w:rPr>
          <w:rFonts w:hint="eastAsia" w:ascii="仿宋" w:hAnsi="仿宋" w:eastAsia="仿宋"/>
          <w:sz w:val="32"/>
          <w:szCs w:val="32"/>
          <w:highlight w:val="none"/>
        </w:rPr>
        <w:t>202</w:t>
      </w:r>
      <w:r>
        <w:rPr>
          <w:rFonts w:hint="eastAsia" w:ascii="仿宋" w:hAnsi="仿宋" w:eastAsia="仿宋"/>
          <w:sz w:val="32"/>
          <w:szCs w:val="32"/>
          <w:highlight w:val="none"/>
          <w:lang w:val="en-US" w:eastAsia="zh-CN"/>
        </w:rPr>
        <w:t>5</w:t>
      </w:r>
      <w:r>
        <w:rPr>
          <w:rFonts w:hint="eastAsia" w:ascii="仿宋" w:hAnsi="仿宋" w:eastAsia="仿宋"/>
          <w:sz w:val="32"/>
          <w:szCs w:val="32"/>
          <w:highlight w:val="none"/>
        </w:rPr>
        <w:t>年预算收入</w:t>
      </w:r>
      <w:r>
        <w:rPr>
          <w:rFonts w:hint="eastAsia" w:ascii="仿宋" w:hAnsi="仿宋" w:eastAsia="仿宋"/>
          <w:sz w:val="32"/>
          <w:szCs w:val="32"/>
          <w:highlight w:val="none"/>
          <w:lang w:val="en-US" w:eastAsia="zh-CN"/>
        </w:rPr>
        <w:t>1062.83</w:t>
      </w:r>
      <w:r>
        <w:rPr>
          <w:rFonts w:hint="eastAsia" w:ascii="仿宋" w:hAnsi="仿宋" w:eastAsia="仿宋"/>
          <w:sz w:val="32"/>
          <w:szCs w:val="32"/>
          <w:highlight w:val="none"/>
        </w:rPr>
        <w:t>万元，其中</w:t>
      </w:r>
      <w:r>
        <w:rPr>
          <w:rFonts w:hint="eastAsia" w:ascii="仿宋" w:hAnsi="仿宋" w:eastAsia="仿宋"/>
          <w:sz w:val="32"/>
          <w:szCs w:val="32"/>
          <w:highlight w:val="none"/>
          <w:lang w:eastAsia="zh-CN"/>
        </w:rPr>
        <w:t>：</w:t>
      </w:r>
      <w:r>
        <w:rPr>
          <w:rFonts w:hint="eastAsia" w:ascii="仿宋" w:hAnsi="仿宋" w:eastAsia="仿宋"/>
          <w:sz w:val="32"/>
          <w:szCs w:val="32"/>
          <w:highlight w:val="none"/>
          <w:lang w:val="en-US" w:eastAsia="zh-CN"/>
        </w:rPr>
        <w:t>全部为</w:t>
      </w:r>
      <w:r>
        <w:rPr>
          <w:rFonts w:hint="eastAsia" w:ascii="仿宋" w:hAnsi="仿宋" w:eastAsia="仿宋"/>
          <w:sz w:val="32"/>
          <w:szCs w:val="32"/>
          <w:highlight w:val="none"/>
        </w:rPr>
        <w:t xml:space="preserve">一般公共预算收入。 </w:t>
      </w:r>
    </w:p>
    <w:p w14:paraId="1BD84655">
      <w:pPr>
        <w:adjustRightInd w:val="0"/>
        <w:snapToGrid w:val="0"/>
        <w:spacing w:line="560" w:lineRule="exact"/>
        <w:ind w:firstLine="640" w:firstLineChars="200"/>
        <w:rPr>
          <w:rFonts w:hint="eastAsia" w:ascii="仿宋" w:hAnsi="仿宋" w:eastAsia="仿宋"/>
          <w:sz w:val="32"/>
          <w:szCs w:val="32"/>
          <w:highlight w:val="none"/>
        </w:rPr>
      </w:pPr>
      <w:r>
        <w:rPr>
          <w:rFonts w:hint="eastAsia" w:ascii="仿宋" w:hAnsi="仿宋" w:eastAsia="仿宋"/>
          <w:sz w:val="32"/>
          <w:szCs w:val="32"/>
          <w:highlight w:val="none"/>
        </w:rPr>
        <w:t>2、支出说明</w:t>
      </w:r>
    </w:p>
    <w:p w14:paraId="1848502B">
      <w:pPr>
        <w:adjustRightInd w:val="0"/>
        <w:snapToGrid w:val="0"/>
        <w:spacing w:line="560" w:lineRule="exact"/>
        <w:ind w:firstLine="640" w:firstLineChars="200"/>
        <w:rPr>
          <w:rFonts w:hint="eastAsia" w:ascii="仿宋" w:hAnsi="仿宋" w:eastAsia="仿宋"/>
          <w:sz w:val="32"/>
          <w:szCs w:val="32"/>
          <w:highlight w:val="none"/>
        </w:rPr>
      </w:pPr>
      <w:r>
        <w:rPr>
          <w:rFonts w:hint="eastAsia" w:ascii="仿宋" w:hAnsi="仿宋" w:eastAsia="仿宋"/>
          <w:sz w:val="32"/>
          <w:szCs w:val="32"/>
          <w:highlight w:val="none"/>
        </w:rPr>
        <w:t>202</w:t>
      </w:r>
      <w:r>
        <w:rPr>
          <w:rFonts w:hint="eastAsia" w:ascii="仿宋" w:hAnsi="仿宋" w:eastAsia="仿宋"/>
          <w:sz w:val="32"/>
          <w:szCs w:val="32"/>
          <w:highlight w:val="none"/>
          <w:lang w:val="en-US" w:eastAsia="zh-CN"/>
        </w:rPr>
        <w:t>5</w:t>
      </w:r>
      <w:r>
        <w:rPr>
          <w:rFonts w:hint="eastAsia" w:ascii="仿宋" w:hAnsi="仿宋" w:eastAsia="仿宋"/>
          <w:sz w:val="32"/>
          <w:szCs w:val="32"/>
          <w:highlight w:val="none"/>
        </w:rPr>
        <w:t>年支出预算</w:t>
      </w:r>
      <w:r>
        <w:rPr>
          <w:rFonts w:hint="eastAsia" w:ascii="仿宋" w:hAnsi="仿宋" w:eastAsia="仿宋"/>
          <w:sz w:val="32"/>
          <w:szCs w:val="32"/>
          <w:highlight w:val="none"/>
          <w:lang w:val="en-US" w:eastAsia="zh-CN"/>
        </w:rPr>
        <w:t>1062.83</w:t>
      </w:r>
      <w:r>
        <w:rPr>
          <w:rFonts w:hint="eastAsia" w:ascii="仿宋" w:hAnsi="仿宋" w:eastAsia="仿宋"/>
          <w:sz w:val="32"/>
          <w:szCs w:val="32"/>
          <w:highlight w:val="none"/>
        </w:rPr>
        <w:t>万元，其中基本支出</w:t>
      </w:r>
      <w:r>
        <w:rPr>
          <w:rFonts w:hint="eastAsia" w:ascii="仿宋" w:hAnsi="仿宋" w:eastAsia="仿宋"/>
          <w:sz w:val="32"/>
          <w:szCs w:val="32"/>
          <w:highlight w:val="none"/>
          <w:lang w:val="en-US" w:eastAsia="zh-CN"/>
        </w:rPr>
        <w:t>591.19</w:t>
      </w:r>
      <w:r>
        <w:rPr>
          <w:rFonts w:hint="eastAsia" w:ascii="仿宋" w:hAnsi="仿宋" w:eastAsia="仿宋"/>
          <w:sz w:val="32"/>
          <w:szCs w:val="32"/>
          <w:highlight w:val="none"/>
        </w:rPr>
        <w:t>万元，包括人员经费</w:t>
      </w:r>
      <w:r>
        <w:rPr>
          <w:rFonts w:hint="eastAsia" w:ascii="仿宋" w:hAnsi="仿宋" w:eastAsia="仿宋"/>
          <w:sz w:val="32"/>
          <w:szCs w:val="32"/>
          <w:highlight w:val="none"/>
          <w:lang w:val="en-US" w:eastAsia="zh-CN"/>
        </w:rPr>
        <w:t>547.74</w:t>
      </w:r>
      <w:r>
        <w:rPr>
          <w:rFonts w:hint="eastAsia" w:ascii="仿宋" w:hAnsi="仿宋" w:eastAsia="仿宋"/>
          <w:sz w:val="32"/>
          <w:szCs w:val="32"/>
          <w:highlight w:val="none"/>
        </w:rPr>
        <w:t>万元和日常公用经费</w:t>
      </w:r>
      <w:r>
        <w:rPr>
          <w:rFonts w:hint="eastAsia" w:ascii="仿宋" w:hAnsi="仿宋" w:eastAsia="仿宋"/>
          <w:sz w:val="32"/>
          <w:szCs w:val="32"/>
          <w:highlight w:val="none"/>
          <w:lang w:val="en-US" w:eastAsia="zh-CN"/>
        </w:rPr>
        <w:t>43.45</w:t>
      </w:r>
      <w:r>
        <w:rPr>
          <w:rFonts w:hint="eastAsia" w:ascii="仿宋" w:hAnsi="仿宋" w:eastAsia="仿宋"/>
          <w:sz w:val="32"/>
          <w:szCs w:val="32"/>
          <w:highlight w:val="none"/>
        </w:rPr>
        <w:t>万元；项目支出</w:t>
      </w:r>
      <w:r>
        <w:rPr>
          <w:rFonts w:hint="eastAsia" w:ascii="仿宋" w:hAnsi="仿宋" w:eastAsia="仿宋"/>
          <w:sz w:val="32"/>
          <w:szCs w:val="32"/>
          <w:highlight w:val="none"/>
          <w:lang w:val="en-US" w:eastAsia="zh-CN"/>
        </w:rPr>
        <w:t>471.64</w:t>
      </w:r>
      <w:r>
        <w:rPr>
          <w:rFonts w:hint="eastAsia" w:ascii="仿宋" w:hAnsi="仿宋" w:eastAsia="仿宋"/>
          <w:sz w:val="32"/>
          <w:szCs w:val="32"/>
          <w:highlight w:val="none"/>
        </w:rPr>
        <w:t>万元，全</w:t>
      </w:r>
      <w:r>
        <w:rPr>
          <w:rFonts w:hint="eastAsia" w:ascii="仿宋" w:hAnsi="仿宋" w:eastAsia="仿宋"/>
          <w:sz w:val="32"/>
          <w:szCs w:val="32"/>
          <w:highlight w:val="none"/>
          <w:lang w:val="en-US" w:eastAsia="zh-CN"/>
        </w:rPr>
        <w:t>部</w:t>
      </w:r>
      <w:r>
        <w:rPr>
          <w:rFonts w:hint="eastAsia" w:ascii="仿宋" w:hAnsi="仿宋" w:eastAsia="仿宋"/>
          <w:sz w:val="32"/>
          <w:szCs w:val="32"/>
          <w:highlight w:val="none"/>
        </w:rPr>
        <w:t>为本级支出。</w:t>
      </w:r>
    </w:p>
    <w:p w14:paraId="7605218A">
      <w:pPr>
        <w:adjustRightInd w:val="0"/>
        <w:snapToGrid w:val="0"/>
        <w:spacing w:line="560" w:lineRule="exact"/>
        <w:ind w:firstLine="640" w:firstLineChars="200"/>
        <w:rPr>
          <w:rFonts w:hint="eastAsia" w:ascii="仿宋" w:hAnsi="仿宋" w:eastAsia="仿宋"/>
          <w:sz w:val="32"/>
          <w:szCs w:val="32"/>
          <w:highlight w:val="none"/>
        </w:rPr>
      </w:pPr>
      <w:r>
        <w:rPr>
          <w:rFonts w:hint="eastAsia" w:ascii="仿宋" w:hAnsi="仿宋" w:eastAsia="仿宋"/>
          <w:sz w:val="32"/>
          <w:szCs w:val="32"/>
          <w:highlight w:val="none"/>
        </w:rPr>
        <w:t>部门决算安排总体情况</w:t>
      </w:r>
    </w:p>
    <w:p w14:paraId="33A4252C">
      <w:pPr>
        <w:adjustRightInd w:val="0"/>
        <w:snapToGrid w:val="0"/>
        <w:spacing w:line="560" w:lineRule="exact"/>
        <w:ind w:firstLine="640" w:firstLineChars="200"/>
        <w:rPr>
          <w:rFonts w:hint="eastAsia" w:ascii="仿宋" w:hAnsi="仿宋" w:eastAsia="仿宋"/>
          <w:sz w:val="32"/>
          <w:szCs w:val="32"/>
          <w:highlight w:val="none"/>
        </w:rPr>
      </w:pPr>
      <w:r>
        <w:rPr>
          <w:rFonts w:hint="eastAsia" w:ascii="仿宋" w:hAnsi="仿宋" w:eastAsia="仿宋"/>
          <w:sz w:val="32"/>
          <w:szCs w:val="32"/>
          <w:highlight w:val="none"/>
        </w:rPr>
        <w:t>1、收入说明</w:t>
      </w:r>
    </w:p>
    <w:p w14:paraId="22E131C1">
      <w:pPr>
        <w:adjustRightInd w:val="0"/>
        <w:snapToGrid w:val="0"/>
        <w:spacing w:line="560" w:lineRule="exact"/>
        <w:ind w:firstLine="640" w:firstLineChars="200"/>
        <w:rPr>
          <w:rFonts w:hint="default" w:ascii="仿宋" w:hAnsi="仿宋" w:eastAsia="仿宋"/>
          <w:sz w:val="32"/>
          <w:szCs w:val="32"/>
          <w:highlight w:val="none"/>
          <w:lang w:val="en-US"/>
        </w:rPr>
      </w:pPr>
      <w:r>
        <w:rPr>
          <w:rFonts w:hint="eastAsia" w:ascii="仿宋" w:hAnsi="仿宋" w:eastAsia="仿宋"/>
          <w:sz w:val="32"/>
          <w:szCs w:val="32"/>
          <w:highlight w:val="none"/>
        </w:rPr>
        <w:t>202</w:t>
      </w:r>
      <w:r>
        <w:rPr>
          <w:rFonts w:hint="eastAsia" w:ascii="仿宋" w:hAnsi="仿宋" w:eastAsia="仿宋"/>
          <w:sz w:val="32"/>
          <w:szCs w:val="32"/>
          <w:highlight w:val="none"/>
          <w:lang w:val="en-US" w:eastAsia="zh-CN"/>
        </w:rPr>
        <w:t>5</w:t>
      </w:r>
      <w:r>
        <w:rPr>
          <w:rFonts w:hint="eastAsia" w:ascii="仿宋" w:hAnsi="仿宋" w:eastAsia="仿宋"/>
          <w:sz w:val="32"/>
          <w:szCs w:val="32"/>
          <w:highlight w:val="none"/>
        </w:rPr>
        <w:t>年度我部门收入总计为</w:t>
      </w:r>
      <w:r>
        <w:rPr>
          <w:rFonts w:hint="eastAsia" w:ascii="仿宋" w:hAnsi="仿宋" w:eastAsia="仿宋"/>
          <w:sz w:val="32"/>
          <w:szCs w:val="32"/>
          <w:highlight w:val="none"/>
          <w:lang w:val="en-US" w:eastAsia="zh-CN"/>
        </w:rPr>
        <w:t>1574.45</w:t>
      </w:r>
      <w:r>
        <w:rPr>
          <w:rFonts w:hint="eastAsia" w:ascii="仿宋" w:hAnsi="仿宋" w:eastAsia="仿宋"/>
          <w:sz w:val="32"/>
          <w:szCs w:val="32"/>
          <w:highlight w:val="none"/>
        </w:rPr>
        <w:t>万元，其中：</w:t>
      </w:r>
      <w:r>
        <w:rPr>
          <w:rFonts w:hint="eastAsia" w:ascii="仿宋" w:hAnsi="仿宋" w:eastAsia="仿宋"/>
          <w:sz w:val="32"/>
          <w:szCs w:val="32"/>
          <w:highlight w:val="none"/>
        </w:rPr>
        <w:t>一般公共预算收入1315</w:t>
      </w:r>
      <w:r>
        <w:rPr>
          <w:rFonts w:hint="eastAsia" w:ascii="仿宋" w:hAnsi="仿宋" w:eastAsia="仿宋"/>
          <w:sz w:val="32"/>
          <w:szCs w:val="32"/>
          <w:highlight w:val="none"/>
          <w:lang w:val="en-US" w:eastAsia="zh-CN"/>
        </w:rPr>
        <w:t>.</w:t>
      </w:r>
      <w:r>
        <w:rPr>
          <w:rFonts w:hint="eastAsia" w:ascii="仿宋" w:hAnsi="仿宋" w:eastAsia="仿宋"/>
          <w:sz w:val="32"/>
          <w:szCs w:val="32"/>
          <w:highlight w:val="none"/>
        </w:rPr>
        <w:t>8</w:t>
      </w:r>
      <w:r>
        <w:rPr>
          <w:rFonts w:hint="eastAsia" w:ascii="仿宋" w:hAnsi="仿宋" w:eastAsia="仿宋"/>
          <w:sz w:val="32"/>
          <w:szCs w:val="32"/>
          <w:highlight w:val="none"/>
          <w:lang w:val="en-US" w:eastAsia="zh-CN"/>
        </w:rPr>
        <w:t>5万元，政府性基金预算财政拨款收入258.6万元。</w:t>
      </w:r>
    </w:p>
    <w:p w14:paraId="32602425">
      <w:pPr>
        <w:adjustRightInd w:val="0"/>
        <w:snapToGrid w:val="0"/>
        <w:spacing w:line="560" w:lineRule="exact"/>
        <w:ind w:firstLine="640" w:firstLineChars="200"/>
        <w:rPr>
          <w:rFonts w:hint="eastAsia" w:ascii="仿宋" w:hAnsi="仿宋" w:eastAsia="仿宋"/>
          <w:sz w:val="32"/>
          <w:szCs w:val="32"/>
          <w:highlight w:val="none"/>
        </w:rPr>
      </w:pPr>
      <w:r>
        <w:rPr>
          <w:rFonts w:hint="eastAsia" w:ascii="仿宋" w:hAnsi="仿宋" w:eastAsia="仿宋"/>
          <w:sz w:val="32"/>
          <w:szCs w:val="32"/>
          <w:highlight w:val="none"/>
        </w:rPr>
        <w:t>2、支出说明</w:t>
      </w:r>
    </w:p>
    <w:p w14:paraId="1264E8B2">
      <w:pPr>
        <w:adjustRightInd w:val="0"/>
        <w:snapToGrid w:val="0"/>
        <w:spacing w:line="560" w:lineRule="exact"/>
        <w:ind w:firstLine="640" w:firstLineChars="200"/>
        <w:rPr>
          <w:rFonts w:hint="eastAsia" w:ascii="楷体" w:hAnsi="楷体" w:eastAsia="楷体" w:cs="楷体_GB2312"/>
          <w:bCs/>
          <w:sz w:val="32"/>
          <w:szCs w:val="32"/>
          <w:highlight w:val="none"/>
        </w:rPr>
      </w:pPr>
      <w:r>
        <w:rPr>
          <w:rFonts w:hint="eastAsia" w:ascii="仿宋" w:hAnsi="仿宋" w:eastAsia="仿宋"/>
          <w:sz w:val="32"/>
          <w:szCs w:val="32"/>
          <w:highlight w:val="none"/>
        </w:rPr>
        <w:t>202</w:t>
      </w:r>
      <w:r>
        <w:rPr>
          <w:rFonts w:hint="eastAsia" w:ascii="仿宋" w:hAnsi="仿宋" w:eastAsia="仿宋"/>
          <w:sz w:val="32"/>
          <w:szCs w:val="32"/>
          <w:highlight w:val="none"/>
          <w:lang w:val="en-US" w:eastAsia="zh-CN"/>
        </w:rPr>
        <w:t>5</w:t>
      </w:r>
      <w:r>
        <w:rPr>
          <w:rFonts w:hint="eastAsia" w:ascii="仿宋" w:hAnsi="仿宋" w:eastAsia="仿宋"/>
          <w:sz w:val="32"/>
          <w:szCs w:val="32"/>
          <w:highlight w:val="none"/>
        </w:rPr>
        <w:t>年度我部门财政支出</w:t>
      </w:r>
      <w:r>
        <w:rPr>
          <w:rFonts w:hint="eastAsia" w:ascii="仿宋" w:hAnsi="仿宋" w:eastAsia="仿宋"/>
          <w:sz w:val="32"/>
          <w:szCs w:val="32"/>
          <w:highlight w:val="none"/>
          <w:lang w:val="en-US" w:eastAsia="zh-CN"/>
        </w:rPr>
        <w:t>1574.45</w:t>
      </w:r>
      <w:r>
        <w:rPr>
          <w:rFonts w:hint="eastAsia" w:ascii="仿宋" w:hAnsi="仿宋" w:eastAsia="仿宋"/>
          <w:sz w:val="32"/>
          <w:szCs w:val="32"/>
          <w:highlight w:val="none"/>
        </w:rPr>
        <w:t>万</w:t>
      </w:r>
      <w:r>
        <w:rPr>
          <w:rFonts w:hint="eastAsia" w:ascii="仿宋" w:hAnsi="仿宋" w:eastAsia="仿宋"/>
          <w:sz w:val="32"/>
          <w:szCs w:val="32"/>
          <w:highlight w:val="none"/>
          <w:lang w:eastAsia="zh-CN"/>
        </w:rPr>
        <w:t>元</w:t>
      </w:r>
      <w:r>
        <w:rPr>
          <w:rFonts w:hint="eastAsia" w:ascii="仿宋" w:hAnsi="仿宋" w:eastAsia="仿宋"/>
          <w:sz w:val="32"/>
          <w:szCs w:val="32"/>
          <w:highlight w:val="none"/>
        </w:rPr>
        <w:t>，其中基本支出</w:t>
      </w:r>
      <w:r>
        <w:rPr>
          <w:rFonts w:hint="eastAsia" w:ascii="仿宋" w:hAnsi="仿宋" w:eastAsia="仿宋"/>
          <w:sz w:val="32"/>
          <w:szCs w:val="32"/>
          <w:highlight w:val="none"/>
          <w:lang w:val="en-US" w:eastAsia="zh-CN"/>
        </w:rPr>
        <w:t>610.92</w:t>
      </w:r>
      <w:r>
        <w:rPr>
          <w:rFonts w:hint="eastAsia" w:ascii="仿宋" w:hAnsi="仿宋" w:eastAsia="仿宋"/>
          <w:sz w:val="32"/>
          <w:szCs w:val="32"/>
          <w:highlight w:val="none"/>
        </w:rPr>
        <w:t>万元（人员经费</w:t>
      </w:r>
      <w:r>
        <w:rPr>
          <w:rFonts w:hint="eastAsia" w:ascii="仿宋" w:hAnsi="仿宋" w:eastAsia="仿宋"/>
          <w:sz w:val="32"/>
          <w:szCs w:val="32"/>
          <w:highlight w:val="none"/>
          <w:lang w:val="en-US" w:eastAsia="zh-CN"/>
        </w:rPr>
        <w:t>564.53</w:t>
      </w:r>
      <w:r>
        <w:rPr>
          <w:rFonts w:hint="eastAsia" w:ascii="仿宋" w:hAnsi="仿宋" w:eastAsia="仿宋"/>
          <w:sz w:val="32"/>
          <w:szCs w:val="32"/>
          <w:highlight w:val="none"/>
        </w:rPr>
        <w:t>万元，日常公用经费</w:t>
      </w:r>
      <w:r>
        <w:rPr>
          <w:rFonts w:hint="eastAsia" w:ascii="仿宋" w:hAnsi="仿宋" w:eastAsia="仿宋"/>
          <w:sz w:val="32"/>
          <w:szCs w:val="32"/>
          <w:highlight w:val="none"/>
          <w:lang w:val="en-US" w:eastAsia="zh-CN"/>
        </w:rPr>
        <w:t>46.39</w:t>
      </w:r>
      <w:r>
        <w:rPr>
          <w:rFonts w:hint="eastAsia" w:ascii="仿宋" w:hAnsi="仿宋" w:eastAsia="仿宋"/>
          <w:sz w:val="32"/>
          <w:szCs w:val="32"/>
          <w:highlight w:val="none"/>
        </w:rPr>
        <w:t>万元）；项目支出</w:t>
      </w:r>
      <w:r>
        <w:rPr>
          <w:rFonts w:hint="eastAsia" w:ascii="仿宋" w:hAnsi="仿宋" w:eastAsia="仿宋"/>
          <w:sz w:val="32"/>
          <w:szCs w:val="32"/>
          <w:highlight w:val="none"/>
          <w:lang w:val="en-US" w:eastAsia="zh-CN"/>
        </w:rPr>
        <w:t>963.53</w:t>
      </w:r>
      <w:r>
        <w:rPr>
          <w:rFonts w:hint="eastAsia" w:ascii="仿宋" w:hAnsi="仿宋" w:eastAsia="仿宋"/>
          <w:sz w:val="32"/>
          <w:szCs w:val="32"/>
          <w:highlight w:val="none"/>
        </w:rPr>
        <w:t xml:space="preserve">万元。 </w:t>
      </w:r>
    </w:p>
    <w:p w14:paraId="1C6BDF4B">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14:paraId="190079B5">
      <w:pPr>
        <w:adjustRightInd w:val="0"/>
        <w:snapToGrid w:val="0"/>
        <w:spacing w:line="560" w:lineRule="exact"/>
        <w:ind w:firstLine="640" w:firstLineChars="200"/>
        <w:rPr>
          <w:rFonts w:ascii="仿宋" w:hAnsi="仿宋" w:eastAsia="仿宋"/>
          <w:sz w:val="32"/>
          <w:szCs w:val="32"/>
        </w:rPr>
      </w:pPr>
      <w:bookmarkStart w:id="0" w:name="_GoBack"/>
      <w:bookmarkEnd w:id="0"/>
      <w:r>
        <w:rPr>
          <w:rFonts w:hint="eastAsia" w:ascii="仿宋" w:hAnsi="仿宋" w:eastAsia="仿宋"/>
          <w:sz w:val="32"/>
          <w:szCs w:val="32"/>
        </w:rPr>
        <w:t>做好机关日常工作的综合协调和督促检查，做好机关日常运作工作，做好机关和所属单位财务及国有资产管理等工作。做好基层党建工作，统筹推进区域性党建工作，领导辖区内群团工作及负责社会治安综合治理和应急管理工作。做好自然资源保护和监管工作，做好生态环境等工作，做好综合整治工作。做好指导基层自治和居民建设工作，做好社区日常管理工作等。做好城乡建设、生态环境、文化市场、农业农村、安全生产、民族宗教等领域行政执法工作。做好行政审批服务事项的受理、办理工作，提供政策和业务咨询，指导村（社区）便民服务点建设。做好开展群众文化艺术娱乐、体育活动，做好文化市场进行监督、巡察工作，做好文物普查、保护和开发利用工作，指导村（社区）文化室建设、文体设施规划建设。做好编制乡财政预决算，做好乡政府预算单位的财务管理和核算，做好村级资金核拨和监督管理等相关工作。配合农口部门（农、林、牧、水）做好农业技术服务和技术推广工作，动物防疫工作；加强农田水利基本建设，增强农业抗御自然灾害的能力做好森林培育和护林防火工作。做好农村一事一议项目管理。</w:t>
      </w:r>
    </w:p>
    <w:p w14:paraId="3AF1D73A">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08B7CEBB">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14:paraId="41397637">
      <w:pPr>
        <w:spacing w:line="560" w:lineRule="exact"/>
        <w:rPr>
          <w:rFonts w:ascii="仿宋" w:hAnsi="仿宋" w:eastAsia="仿宋"/>
          <w:sz w:val="32"/>
          <w:szCs w:val="32"/>
        </w:rPr>
      </w:pPr>
      <w:r>
        <w:rPr>
          <w:rFonts w:hint="eastAsia" w:ascii="仿宋" w:hAnsi="仿宋" w:eastAsia="仿宋"/>
          <w:sz w:val="32"/>
          <w:szCs w:val="32"/>
        </w:rPr>
        <w:t xml:space="preserve">     根据评价工作要求，全面收集评价所需基础信息资料（包括被评价单位的基本概况、财政资金的使用情况和绩效自评资料等），对资料进行分类整理、审查和分析。到项目实施现场勘察、核实所掌握的有关信息资料，满足评价工作需要。按照工作方案确定的评价指标体系、评价标准和评价方法，依据所收集的资料，对评价对象的绩效情况进行量、定性分析和综合评价，形成评价结论。</w:t>
      </w:r>
    </w:p>
    <w:p w14:paraId="211F7B70">
      <w:pPr>
        <w:numPr>
          <w:ilvl w:val="0"/>
          <w:numId w:val="1"/>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14:paraId="5FD389A4">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1</w:t>
      </w:r>
      <w:r>
        <w:rPr>
          <w:rFonts w:hint="eastAsia" w:ascii="仿宋" w:hAnsi="仿宋" w:eastAsia="仿宋"/>
          <w:sz w:val="32"/>
          <w:szCs w:val="32"/>
          <w:lang w:eastAsia="zh-CN"/>
        </w:rPr>
        <w:t>、</w:t>
      </w:r>
      <w:r>
        <w:rPr>
          <w:rFonts w:hint="eastAsia" w:ascii="仿宋" w:hAnsi="仿宋" w:eastAsia="仿宋"/>
          <w:sz w:val="32"/>
          <w:szCs w:val="32"/>
        </w:rPr>
        <w:t>成立自评工作领导小组，明确自评小组责任，根据相关法律、法规及方针政策、规章制度、预算批复时确定的绩效目标及指标，县级预算部门年度预算执行情况、年度决算报告等相关材料制定自评管理方法，制定评分机制。</w:t>
      </w:r>
    </w:p>
    <w:p w14:paraId="49A363D4">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2、绩效信息收集。年度预算执行完成后，及时组织本部门和所属单位全面收集、系统整理预算项目绩效完成信息，确认各项绩效指标实际完成值或实现程度。</w:t>
      </w:r>
    </w:p>
    <w:p w14:paraId="113983E0">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3、绩效自评打分。将绩效指标实际完成值（实现程度）与年初设定的预期值相比较，逐项评定每项指标得分，汇总形成预算项目绩效自评得分。</w:t>
      </w:r>
    </w:p>
    <w:p w14:paraId="30A24510">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4、绩效自评表填写。按照绩效自评表的格式和要求，逐项填写每项绩效指标得分、预算项目绩效自评得分，并简要分析绩效存在问题及原因、提出改进措施。</w:t>
      </w:r>
    </w:p>
    <w:p w14:paraId="73F7842D">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5、自评工作总结。绩效自评工作完成后，及时进行总结，形成专题报告。报告内容包括部门绩效自评组织开展情况，专项资金和具体预算支出项目绩效目标完成情况、存在问题分析及评价结论，年初绩效目标设定质量对比倒查情况，下一步整改打算和具体措施等，其中对未完成绩效目标或偏离绩效目标较大的要单独列明，并分析说明原因，研究提出改进措施。</w:t>
      </w:r>
    </w:p>
    <w:p w14:paraId="45B5C8E7">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1D2F2691">
      <w:pPr>
        <w:numPr>
          <w:ilvl w:val="0"/>
          <w:numId w:val="2"/>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003EA62E">
      <w:pPr>
        <w:spacing w:line="560" w:lineRule="exact"/>
        <w:ind w:firstLine="800" w:firstLineChars="250"/>
        <w:rPr>
          <w:rFonts w:ascii="仿宋" w:hAnsi="仿宋" w:eastAsia="仿宋"/>
          <w:sz w:val="32"/>
          <w:szCs w:val="32"/>
        </w:rPr>
      </w:pPr>
      <w:r>
        <w:rPr>
          <w:rFonts w:hint="eastAsia" w:ascii="仿宋" w:hAnsi="仿宋" w:eastAsia="仿宋"/>
          <w:sz w:val="32"/>
          <w:szCs w:val="32"/>
        </w:rPr>
        <w:t>202</w:t>
      </w:r>
      <w:r>
        <w:rPr>
          <w:rFonts w:hint="eastAsia" w:ascii="仿宋" w:hAnsi="仿宋" w:eastAsia="仿宋"/>
          <w:sz w:val="32"/>
          <w:szCs w:val="32"/>
          <w:lang w:val="en-US" w:eastAsia="zh-CN"/>
        </w:rPr>
        <w:t>5</w:t>
      </w:r>
      <w:r>
        <w:rPr>
          <w:rFonts w:hint="eastAsia" w:ascii="仿宋" w:hAnsi="仿宋" w:eastAsia="仿宋"/>
          <w:sz w:val="32"/>
          <w:szCs w:val="32"/>
        </w:rPr>
        <w:t>年，坚持以习近平新时代中国特色社会主义思想为指导，认真落实县委、县政府的决策部署，围绕中心，服务大局，把握新常态，立足新形势，着眼新问题，以全面建设高质量财政、更好服务全乡高质量发展为主线，以加强党的建设为保证，奋力开创全乡财政改革发展新局面，努力为建设美丽井陉提供更加有力的支撑。</w:t>
      </w:r>
    </w:p>
    <w:p w14:paraId="6D59A58E">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14:paraId="2F91B3A7">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1、机关事务管理</w:t>
      </w:r>
    </w:p>
    <w:p w14:paraId="6627DA62">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绩效目标：完成人大代表议政、人代会，做好各项工作的迎查、考核，完成乡镇财政计划和经济发展规划，做好统计、审计工作；做好与各职责部门的社会事务工作;完成机关日常事务，搞好文秘、档案管理、政务公开和机关后勤保障工作；加强党员队伍建设，努力完成本单位所负担的任务;做好本辖区内自然资源保护和监管工作，做好改善本区域内人居环境工作做好辖区内基本农田保护管理工作及植树绿化工作;维护好社会的稳定，做好社会治安综合治理工作，做好防范邪教工作。</w:t>
      </w:r>
    </w:p>
    <w:p w14:paraId="4DA2620A">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绩效指标：机关事务工作任务完成率</w:t>
      </w:r>
    </w:p>
    <w:p w14:paraId="77168BB6">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2、综合行政执法</w:t>
      </w:r>
    </w:p>
    <w:p w14:paraId="0B42B8C3">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绩效目标：承担综合行政执法工作，做好食品安全隐患排查，本区域内小作坊、小餐饮。小摊点的监督管理工作，协助市场监督管理部门对药品零售活动进行监督，协助有关部门查处传销行为等。</w:t>
      </w:r>
    </w:p>
    <w:p w14:paraId="7F223063">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绩效指标：综合行政执法工作任务完成率</w:t>
      </w:r>
    </w:p>
    <w:p w14:paraId="64BABDA7">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3、行政综合服务</w:t>
      </w:r>
    </w:p>
    <w:p w14:paraId="0690C90A">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绩效目标：做好行政审批服务工作，做好辖区内城乡基本养老保险工作、基本医疗保险工作</w:t>
      </w:r>
      <w:r>
        <w:rPr>
          <w:rFonts w:hint="eastAsia" w:ascii="仿宋" w:hAnsi="仿宋" w:eastAsia="仿宋"/>
          <w:sz w:val="32"/>
          <w:szCs w:val="32"/>
          <w:lang w:eastAsia="zh-CN"/>
        </w:rPr>
        <w:t>，</w:t>
      </w:r>
      <w:r>
        <w:rPr>
          <w:rFonts w:hint="eastAsia" w:ascii="仿宋" w:hAnsi="仿宋" w:eastAsia="仿宋"/>
          <w:sz w:val="32"/>
          <w:szCs w:val="32"/>
        </w:rPr>
        <w:t>加大信用信息归集应用力度，落实守信联合激励和失信联合惩戒制度，推进信用分级分类监管;做好本辖区内综合文化站、新时代文明实践中心（所、站）建设和日常管理，实施免费开放；按上级部门要求认真编制好财政预决算、做好各项惠农工作及一事一议工作，做好乡政府财政收支平衡工作。</w:t>
      </w:r>
    </w:p>
    <w:p w14:paraId="1B5BDF67">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绩效指标：行政综合服务工作任务完成率</w:t>
      </w:r>
    </w:p>
    <w:p w14:paraId="3DD63BF1">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4、农业综合服务</w:t>
      </w:r>
    </w:p>
    <w:p w14:paraId="0B760113">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绩效目标：协助有关部门做好农产品质量安全监管动物疫病预防与控制，做好本区域内农村扶贫、土地承包管理工作、水土保持加强畜禽遗传资源保护、农村供水用水管理等工作，做好本区域内村务公开工作、农村集体资产管理的指导和监督，做好本区域内统计工作、村民委员会成员的任期和离任经济责任审计工作;做好加强农村加强党对农村经济的领导，巩固和加强农业基础地位，保障重要农产品有效供给和促进农民持续增收，落实好农村重点改革任务，做好村容和环境卫生，农村生活污水管理工作。</w:t>
      </w:r>
    </w:p>
    <w:p w14:paraId="6636BD93">
      <w:pPr>
        <w:spacing w:line="560" w:lineRule="exact"/>
        <w:ind w:firstLine="800" w:firstLineChars="250"/>
        <w:rPr>
          <w:rFonts w:ascii="仿宋" w:hAnsi="仿宋" w:eastAsia="仿宋"/>
          <w:sz w:val="32"/>
          <w:szCs w:val="32"/>
        </w:rPr>
      </w:pPr>
      <w:r>
        <w:rPr>
          <w:rFonts w:hint="eastAsia" w:ascii="仿宋" w:hAnsi="仿宋" w:eastAsia="仿宋"/>
          <w:sz w:val="32"/>
          <w:szCs w:val="32"/>
        </w:rPr>
        <w:t>绩效指标：农业综合服务工作任务完成率</w:t>
      </w:r>
    </w:p>
    <w:p w14:paraId="61DD9054">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58D2968B">
      <w:pPr>
        <w:spacing w:line="560" w:lineRule="exact"/>
        <w:ind w:firstLine="640" w:firstLineChars="200"/>
        <w:rPr>
          <w:rFonts w:ascii="仿宋" w:hAnsi="仿宋" w:eastAsia="仿宋"/>
          <w:sz w:val="32"/>
          <w:szCs w:val="32"/>
        </w:rPr>
      </w:pPr>
      <w:r>
        <w:rPr>
          <w:rFonts w:hint="eastAsia" w:ascii="仿宋" w:hAnsi="仿宋" w:eastAsia="仿宋"/>
          <w:sz w:val="32"/>
          <w:szCs w:val="32"/>
        </w:rPr>
        <w:t>根据部门职责定位和各项工作履职情况进行综合评价，给出总得分为99分，满分100分，得出综合绩效评价等级为优秀。</w:t>
      </w:r>
    </w:p>
    <w:p w14:paraId="5B5D6E09">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4DEABE27">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14:paraId="22C4F731">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主要项目的工作量较大，资金仍然不足，项目资金保障程度需进一步提高。</w:t>
      </w:r>
    </w:p>
    <w:p w14:paraId="6E14DA78">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（二）针对问题提出具体的改进措施或建议</w:t>
      </w:r>
    </w:p>
    <w:p w14:paraId="7D386754">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进一步加强绩效指标体系建设，建立全过程的预算绩效管理机制，制定科学有效的绩效指标，分阶段开展专项资金绩效评价，充分运用绩效评价结果，根据项目实施过程实际情况，适时调整运用，促进绩效管理工作向广度和深度延伸。加大项目执行的监督管理力度，确保各项目资金使用规范，提高预算资金使用效率，实现效益最大化。</w:t>
      </w:r>
    </w:p>
    <w:p w14:paraId="2DCCA092">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六、评价工作组人员名单及签字（姓名、工作单位、职务、职称）</w:t>
      </w:r>
    </w:p>
    <w:tbl>
      <w:tblPr>
        <w:tblStyle w:val="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30"/>
        <w:gridCol w:w="3735"/>
        <w:gridCol w:w="2816"/>
      </w:tblGrid>
      <w:tr w14:paraId="2DBAB0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noWrap w:val="0"/>
            <w:vAlign w:val="top"/>
          </w:tcPr>
          <w:p w14:paraId="6A02A8F1">
            <w:pPr>
              <w:spacing w:line="360" w:lineRule="auto"/>
              <w:jc w:val="cente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姓名</w:t>
            </w:r>
          </w:p>
        </w:tc>
        <w:tc>
          <w:tcPr>
            <w:tcW w:w="3735" w:type="dxa"/>
            <w:noWrap w:val="0"/>
            <w:vAlign w:val="top"/>
          </w:tcPr>
          <w:p w14:paraId="11728EF9">
            <w:pPr>
              <w:spacing w:line="360" w:lineRule="auto"/>
              <w:jc w:val="cente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职务</w:t>
            </w:r>
          </w:p>
        </w:tc>
        <w:tc>
          <w:tcPr>
            <w:tcW w:w="2816" w:type="dxa"/>
            <w:noWrap w:val="0"/>
            <w:vAlign w:val="top"/>
          </w:tcPr>
          <w:p w14:paraId="7837DEDE">
            <w:pPr>
              <w:spacing w:line="360" w:lineRule="auto"/>
              <w:jc w:val="cente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签字</w:t>
            </w:r>
          </w:p>
        </w:tc>
      </w:tr>
      <w:tr w14:paraId="698656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noWrap w:val="0"/>
            <w:vAlign w:val="top"/>
          </w:tcPr>
          <w:p w14:paraId="5454C462">
            <w:pPr>
              <w:spacing w:line="360" w:lineRule="auto"/>
              <w:jc w:val="cente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胡会敏</w:t>
            </w:r>
          </w:p>
        </w:tc>
        <w:tc>
          <w:tcPr>
            <w:tcW w:w="3735" w:type="dxa"/>
            <w:noWrap w:val="0"/>
            <w:vAlign w:val="top"/>
          </w:tcPr>
          <w:p w14:paraId="5B7DD338">
            <w:pPr>
              <w:spacing w:line="360" w:lineRule="auto"/>
              <w:jc w:val="center"/>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人大副主席、财政所主管</w:t>
            </w:r>
          </w:p>
        </w:tc>
        <w:tc>
          <w:tcPr>
            <w:tcW w:w="2816" w:type="dxa"/>
            <w:noWrap w:val="0"/>
            <w:vAlign w:val="top"/>
          </w:tcPr>
          <w:p w14:paraId="2DCCED49">
            <w:pPr>
              <w:spacing w:line="360" w:lineRule="auto"/>
              <w:ind w:firstLine="640" w:firstLineChars="200"/>
              <w:jc w:val="center"/>
              <w:rPr>
                <w:rFonts w:hint="eastAsia" w:ascii="仿宋" w:hAnsi="仿宋" w:eastAsia="仿宋" w:cs="仿宋"/>
                <w:sz w:val="32"/>
                <w:szCs w:val="32"/>
                <w:lang w:val="en-US" w:eastAsia="zh-CN"/>
              </w:rPr>
            </w:pPr>
          </w:p>
        </w:tc>
      </w:tr>
      <w:tr w14:paraId="15DAAC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noWrap w:val="0"/>
            <w:vAlign w:val="top"/>
          </w:tcPr>
          <w:p w14:paraId="2CE118D9">
            <w:pPr>
              <w:spacing w:line="360" w:lineRule="auto"/>
              <w:jc w:val="cente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武靖瑜</w:t>
            </w:r>
          </w:p>
        </w:tc>
        <w:tc>
          <w:tcPr>
            <w:tcW w:w="3735" w:type="dxa"/>
            <w:noWrap w:val="0"/>
            <w:vAlign w:val="top"/>
          </w:tcPr>
          <w:p w14:paraId="6DD63A79">
            <w:pPr>
              <w:spacing w:line="360" w:lineRule="auto"/>
              <w:jc w:val="center"/>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会计</w:t>
            </w:r>
          </w:p>
        </w:tc>
        <w:tc>
          <w:tcPr>
            <w:tcW w:w="2816" w:type="dxa"/>
            <w:noWrap w:val="0"/>
            <w:vAlign w:val="top"/>
          </w:tcPr>
          <w:p w14:paraId="688E8805">
            <w:pPr>
              <w:spacing w:line="360" w:lineRule="auto"/>
              <w:ind w:firstLine="640" w:firstLineChars="200"/>
              <w:jc w:val="center"/>
              <w:rPr>
                <w:rFonts w:hint="eastAsia" w:ascii="仿宋" w:hAnsi="仿宋" w:eastAsia="仿宋" w:cs="仿宋"/>
                <w:sz w:val="32"/>
                <w:szCs w:val="32"/>
                <w:lang w:val="en-US" w:eastAsia="zh-CN"/>
              </w:rPr>
            </w:pPr>
          </w:p>
        </w:tc>
      </w:tr>
      <w:tr w14:paraId="2FCC4C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noWrap w:val="0"/>
            <w:vAlign w:val="top"/>
          </w:tcPr>
          <w:p w14:paraId="60CBA72D">
            <w:pPr>
              <w:spacing w:line="360" w:lineRule="auto"/>
              <w:jc w:val="center"/>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王芳</w:t>
            </w:r>
          </w:p>
        </w:tc>
        <w:tc>
          <w:tcPr>
            <w:tcW w:w="3735" w:type="dxa"/>
            <w:noWrap w:val="0"/>
            <w:vAlign w:val="top"/>
          </w:tcPr>
          <w:p w14:paraId="609459F3">
            <w:pPr>
              <w:spacing w:line="360" w:lineRule="auto"/>
              <w:jc w:val="center"/>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出纳</w:t>
            </w:r>
          </w:p>
        </w:tc>
        <w:tc>
          <w:tcPr>
            <w:tcW w:w="2816" w:type="dxa"/>
            <w:noWrap w:val="0"/>
            <w:vAlign w:val="top"/>
          </w:tcPr>
          <w:p w14:paraId="58B5FAC1">
            <w:pPr>
              <w:spacing w:line="360" w:lineRule="auto"/>
              <w:ind w:firstLine="640" w:firstLineChars="200"/>
              <w:jc w:val="center"/>
              <w:rPr>
                <w:rFonts w:hint="eastAsia" w:ascii="仿宋" w:hAnsi="仿宋" w:eastAsia="仿宋" w:cs="仿宋"/>
                <w:sz w:val="32"/>
                <w:szCs w:val="32"/>
                <w:lang w:val="en-US" w:eastAsia="zh-CN"/>
              </w:rPr>
            </w:pPr>
          </w:p>
        </w:tc>
      </w:tr>
    </w:tbl>
    <w:p w14:paraId="197E8E62">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 w:name="方正书宋_GBK">
    <w:altName w:val="微软雅黑"/>
    <w:panose1 w:val="00000000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92CA81">
    <w:pPr>
      <w:pStyle w:val="2"/>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47597000">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14:paraId="47597000">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xMzVhZTBlNDUyZWUxNDVhMjNkN2E1NjFlOTE5NDcifQ=="/>
  </w:docVars>
  <w:rsids>
    <w:rsidRoot w:val="0EBD2122"/>
    <w:rsid w:val="000B0260"/>
    <w:rsid w:val="007E6C1F"/>
    <w:rsid w:val="00956A93"/>
    <w:rsid w:val="009E575C"/>
    <w:rsid w:val="00AF167E"/>
    <w:rsid w:val="00AF566A"/>
    <w:rsid w:val="00B478EA"/>
    <w:rsid w:val="00B6553A"/>
    <w:rsid w:val="00BC6576"/>
    <w:rsid w:val="00CE06BA"/>
    <w:rsid w:val="00F441CC"/>
    <w:rsid w:val="01B104CA"/>
    <w:rsid w:val="02106AB0"/>
    <w:rsid w:val="02B43A28"/>
    <w:rsid w:val="046F331E"/>
    <w:rsid w:val="05D959C6"/>
    <w:rsid w:val="07956271"/>
    <w:rsid w:val="09721397"/>
    <w:rsid w:val="0BB63BED"/>
    <w:rsid w:val="0EB97A43"/>
    <w:rsid w:val="0EBD2122"/>
    <w:rsid w:val="0F214EAE"/>
    <w:rsid w:val="11B71E6A"/>
    <w:rsid w:val="144B521C"/>
    <w:rsid w:val="1AAF0063"/>
    <w:rsid w:val="1BE140DE"/>
    <w:rsid w:val="248C197D"/>
    <w:rsid w:val="252959AF"/>
    <w:rsid w:val="277A6671"/>
    <w:rsid w:val="292D35B7"/>
    <w:rsid w:val="31151E97"/>
    <w:rsid w:val="33EB6CFF"/>
    <w:rsid w:val="35A12947"/>
    <w:rsid w:val="37387040"/>
    <w:rsid w:val="3B0548E0"/>
    <w:rsid w:val="3B625C0A"/>
    <w:rsid w:val="3CEE1963"/>
    <w:rsid w:val="436B78D3"/>
    <w:rsid w:val="48B60C1B"/>
    <w:rsid w:val="4C9C27FE"/>
    <w:rsid w:val="512260B4"/>
    <w:rsid w:val="52BD6ACB"/>
    <w:rsid w:val="55537534"/>
    <w:rsid w:val="561A74F1"/>
    <w:rsid w:val="597244E8"/>
    <w:rsid w:val="5EB71C30"/>
    <w:rsid w:val="66AF0CE5"/>
    <w:rsid w:val="6AA27932"/>
    <w:rsid w:val="6AC537CF"/>
    <w:rsid w:val="6E5B14A6"/>
    <w:rsid w:val="711B255E"/>
    <w:rsid w:val="7748267E"/>
    <w:rsid w:val="7BB51E06"/>
    <w:rsid w:val="7C387F7C"/>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1"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table" w:styleId="5">
    <w:name w:val="Table Grid"/>
    <w:basedOn w:val="4"/>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8</Pages>
  <Words>3843</Words>
  <Characters>3936</Characters>
  <Lines>4</Lines>
  <Paragraphs>1</Paragraphs>
  <TotalTime>23</TotalTime>
  <ScaleCrop>false</ScaleCrop>
  <LinksUpToDate>false</LinksUpToDate>
  <CharactersWithSpaces>3961</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因为你是光啊</cp:lastModifiedBy>
  <cp:lastPrinted>2026-04-14T07:01:26Z</cp:lastPrinted>
  <dcterms:modified xsi:type="dcterms:W3CDTF">2026-04-14T07:21:13Z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807859DDDB204D7484EDDFBB4E9D1D2E</vt:lpwstr>
  </property>
  <property fmtid="{D5CDD505-2E9C-101B-9397-08002B2CF9AE}" pid="4" name="KSOTemplateDocerSaveRecord">
    <vt:lpwstr>eyJoZGlkIjoiNGQ3ZjdmOTQwYmUwYWFmNGVjY2Y3OWUzOTQ4YmM2ZjYiLCJ1c2VySWQiOiIzMDUwMjE3MjYifQ==</vt:lpwstr>
  </property>
</Properties>
</file>