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6B4CE0">
      <w:pPr>
        <w:adjustRightInd w:val="0"/>
        <w:snapToGrid w:val="0"/>
        <w:spacing w:line="560" w:lineRule="exact"/>
        <w:rPr>
          <w:rFonts w:ascii="仿宋_GB2312" w:eastAsia="仿宋_GB2312"/>
          <w:sz w:val="32"/>
          <w:szCs w:val="32"/>
        </w:rPr>
      </w:pPr>
      <w:bookmarkStart w:id="0" w:name="_GoBack"/>
      <w:bookmarkEnd w:id="0"/>
      <w:r>
        <w:rPr>
          <w:rFonts w:hint="eastAsia" w:ascii="仿宋_GB2312" w:eastAsia="仿宋_GB2312"/>
          <w:sz w:val="32"/>
          <w:szCs w:val="32"/>
        </w:rPr>
        <w:t>附件</w:t>
      </w:r>
      <w:r>
        <w:rPr>
          <w:rFonts w:ascii="仿宋_GB2312" w:eastAsia="仿宋_GB2312"/>
          <w:sz w:val="32"/>
          <w:szCs w:val="32"/>
        </w:rPr>
        <w:t>3</w:t>
      </w:r>
    </w:p>
    <w:p w14:paraId="4F3E6AEA">
      <w:pPr>
        <w:spacing w:line="560" w:lineRule="exact"/>
        <w:jc w:val="center"/>
        <w:rPr>
          <w:rFonts w:ascii="宋体" w:cs="宋体"/>
          <w:b/>
          <w:bCs/>
          <w:sz w:val="44"/>
          <w:szCs w:val="44"/>
        </w:rPr>
      </w:pPr>
    </w:p>
    <w:p w14:paraId="3149BD42">
      <w:pPr>
        <w:spacing w:line="560" w:lineRule="exact"/>
        <w:jc w:val="center"/>
        <w:rPr>
          <w:rFonts w:ascii="宋体" w:cs="宋体"/>
          <w:b/>
          <w:bCs/>
          <w:sz w:val="44"/>
          <w:szCs w:val="44"/>
        </w:rPr>
      </w:pPr>
      <w:r>
        <w:rPr>
          <w:rFonts w:hint="eastAsia" w:ascii="宋体" w:hAnsi="宋体" w:cs="宋体"/>
          <w:b/>
          <w:bCs/>
          <w:sz w:val="44"/>
          <w:szCs w:val="44"/>
        </w:rPr>
        <w:t>井陉县市场监督管理局</w:t>
      </w:r>
    </w:p>
    <w:p w14:paraId="5E15699A">
      <w:pPr>
        <w:spacing w:line="560" w:lineRule="exact"/>
        <w:jc w:val="center"/>
        <w:rPr>
          <w:rFonts w:ascii="宋体" w:cs="宋体"/>
          <w:b/>
          <w:bCs/>
          <w:sz w:val="44"/>
          <w:szCs w:val="44"/>
        </w:rPr>
      </w:pPr>
      <w:r>
        <w:rPr>
          <w:rFonts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66704153">
      <w:pPr>
        <w:spacing w:line="560" w:lineRule="exact"/>
        <w:jc w:val="center"/>
        <w:rPr>
          <w:rFonts w:ascii="华文楷体" w:eastAsia="Times New Roman"/>
          <w:sz w:val="32"/>
          <w:szCs w:val="32"/>
        </w:rPr>
      </w:pPr>
    </w:p>
    <w:p w14:paraId="5BA20A8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w:t>
      </w:r>
      <w:r>
        <w:rPr>
          <w:rFonts w:ascii="仿宋" w:hAnsi="仿宋" w:eastAsia="仿宋"/>
          <w:sz w:val="32"/>
          <w:szCs w:val="32"/>
        </w:rPr>
        <w:t>2019</w:t>
      </w:r>
      <w:r>
        <w:rPr>
          <w:rFonts w:hint="eastAsia" w:ascii="仿宋" w:hAnsi="仿宋" w:eastAsia="仿宋"/>
          <w:sz w:val="32"/>
          <w:szCs w:val="32"/>
        </w:rPr>
        <w:t>﹞</w:t>
      </w:r>
      <w:r>
        <w:rPr>
          <w:rFonts w:ascii="仿宋" w:hAnsi="仿宋" w:eastAsia="仿宋"/>
          <w:sz w:val="32"/>
          <w:szCs w:val="32"/>
        </w:rPr>
        <w:t>8</w:t>
      </w:r>
      <w:r>
        <w:rPr>
          <w:rFonts w:hint="eastAsia" w:ascii="仿宋" w:hAnsi="仿宋" w:eastAsia="仿宋"/>
          <w:sz w:val="32"/>
          <w:szCs w:val="32"/>
        </w:rPr>
        <w:t>号）文件精神，遵循“科学性、规范性、客观性和公正性”的原则，对井陉县市场监督管理局</w:t>
      </w: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6E61CEFF">
      <w:pPr>
        <w:adjustRightInd w:val="0"/>
        <w:snapToGrid w:val="0"/>
        <w:spacing w:line="560" w:lineRule="exact"/>
        <w:rPr>
          <w:rFonts w:ascii="黑体" w:hAnsi="黑体" w:eastAsia="黑体"/>
          <w:b/>
          <w:bCs/>
          <w:sz w:val="32"/>
          <w:szCs w:val="36"/>
        </w:rPr>
      </w:pPr>
      <w:r>
        <w:rPr>
          <w:rFonts w:ascii="仿宋" w:hAnsi="仿宋" w:eastAsia="仿宋"/>
          <w:sz w:val="32"/>
          <w:szCs w:val="32"/>
        </w:rPr>
        <w:t xml:space="preserve">    </w:t>
      </w:r>
      <w:r>
        <w:rPr>
          <w:rFonts w:hint="eastAsia" w:ascii="黑体" w:hAnsi="黑体" w:eastAsia="黑体"/>
          <w:sz w:val="32"/>
          <w:szCs w:val="32"/>
        </w:rPr>
        <w:t>一、部门</w:t>
      </w:r>
      <w:r>
        <w:rPr>
          <w:rFonts w:hint="eastAsia" w:ascii="黑体" w:hAnsi="黑体" w:eastAsia="黑体"/>
          <w:sz w:val="32"/>
          <w:szCs w:val="36"/>
        </w:rPr>
        <w:t>基本情况</w:t>
      </w:r>
    </w:p>
    <w:p w14:paraId="2B612F15">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（一）部门概况</w:t>
      </w:r>
    </w:p>
    <w:p w14:paraId="567CE51B">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、部门职能：</w:t>
      </w:r>
    </w:p>
    <w:p w14:paraId="72A150E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贯彻落实党中央和省、市关于市场监督管理工作的方针政策和决策部署，坚持和加强党对市场监督管理工作的集中统一领导。主要职责是：</w:t>
      </w:r>
    </w:p>
    <w:p w14:paraId="5D4F83F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（一）组织实施质量强县战略、食品安全战略、标准化战略、知识产权战略，拟订市场监督管理局规划并组织实施，规范和维护市场秩序，营造诚实守信、公平竞争的市场环境。</w:t>
      </w:r>
    </w:p>
    <w:p w14:paraId="6207DD9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（二）负责市场主体信用建设；负责建立市场主体信息公示和共享机制，依法公示和共享有关信息，加强信用监管，推动市场主体信用体系建设。</w:t>
      </w:r>
    </w:p>
    <w:p w14:paraId="05FCF00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（三）负责市场监管综合执法工作，负责市场监管综合执法队伍建设工作，推动实行统一的市场监管；组织查处违法案件；规范市场监管行政执法行为。</w:t>
      </w:r>
    </w:p>
    <w:p w14:paraId="599C03A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负责监督管理市场秩序，依法监督管理市场交易、网络商品交易及有关服务的行为；依法查处价格收费违法违规、不正当竞争、商业贿赂、违法直销、传销、侵犯商标专利知识产权和制售假冒伪劣行为；负责全县广告业发展，监督管理广告活动；依法查处无照生产经营和相关无证生产经营行为；负责维护消费者权益；依据上级授权，负责对经营者集中行为进行反垄断审查，负责垄断协议、滥用市场支配地位和滥用行政权力排除、限制竞争等反垄断执法工作。指导企业在国外的反垄断应诉工作。</w:t>
      </w:r>
    </w:p>
    <w:p w14:paraId="2530B67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五）负责全县宏观质量管理工作，拟订全县质量发展制度和措施并组织实施；统筹全县质量基础设施建设与应用，会同有关部门组织实施重大工程设备质量监管制度，组织质量事故调查，组织实施缺陷产品召回制度，监督管理产品防伪工作。</w:t>
      </w:r>
    </w:p>
    <w:p w14:paraId="27091AA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（六）负责全县产品质量安全监督管理工作，承担县级产品质量安全风险监控，监督抽查工作；组织实施质量分级制度、质量安全追溯制度；负责纤维质量监督工作。</w:t>
      </w:r>
    </w:p>
    <w:p w14:paraId="4FE6663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（七）负责全县特种设备安全监督管理工作，负责特种设备安全监察、监督管理工作，监督检查高耗能特种设备节能标准和锅炉环境保护标准的执行情况。</w:t>
      </w:r>
    </w:p>
    <w:p w14:paraId="0210616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八）负责综合协调食品安全监督管理工作，贯彻落实食品安全政策，推动健全食品安全地方党政问责和跨部门协调联动机制，负责食品安全应急体系建设，负责食品安全事故应急处置和调查处理工作，建立健全食品安全信息统一公布和重要信息直报制度；承担井陉县食品安全委员会日常工作。</w:t>
      </w:r>
    </w:p>
    <w:p w14:paraId="446C102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九）负责食品安全监督管理工作，建立覆盖食品生产、流通、消费全过程的监督检查制度和隐患排查治理机制并组织实施，防范食品安全风险；推动建立食品生产经营者落实主体责任和机制，健全食品安全追溯体系。参与食品安全风险监测，组织开展食品安全监督抽检、核查处置和风险预警、风险交流工作；按职责分工负责特殊食品监督管理工作；负责重大活动食品安全保障。</w:t>
      </w:r>
    </w:p>
    <w:p w14:paraId="34379EE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（十）负责统一管理权限计量工作，推行法定计量单位和国家计量制度，建立和管理社会公用计量标准，管理计量器具及量值传递和比对工作；规范、监督商品量和市场计量行为和计量仲裁检定。</w:t>
      </w:r>
    </w:p>
    <w:p w14:paraId="75D74C6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一）负责统一监督管理全县标准化工作，负责组织实施标准，并监督；宣传贯彻强制性、推荐性国家标准和行业标准、地方标准；依法协调指导和监督团体标准、企业标准指定工作；监督企业按标准组织生产；管理辖区内商品条码工作；组织开展标准化国际、区域合作和参与制定、采用国际标准工作。</w:t>
      </w:r>
    </w:p>
    <w:p w14:paraId="725729F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（十二）负责统一管理全县检验检测工作，推进检验检测机构改革，规范检验检测市场，完善检验检测体系，指导协调检验检测行业发展。</w:t>
      </w:r>
    </w:p>
    <w:p w14:paraId="3F6D988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（十三）负责统一管理、监督和协调全县认证认可工作，组织实施国家统一的认证认可和合格评定监督管理制度。</w:t>
      </w:r>
    </w:p>
    <w:p w14:paraId="7803090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（十四）负责推进全县知识产权管理工作，拟定加强知识产权强县建设发展规划并组织实施，拟定强化知识产权创造、保护和运用的制度并组织实施。</w:t>
      </w:r>
    </w:p>
    <w:p w14:paraId="5D4390C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五）负责保护知识产权工作，贯彻落实保护商标、专利、原产地地理标志、集成电路布图设计等知识产权相关法规政策；按照国家知识产权保护体系建设方案，推动建设知识产权保护体系；负责商标、专利执法工作，负责知识产权争议处理、维权援助和纠纷调处，承担京津冀知识产权执法协作工作。</w:t>
      </w:r>
    </w:p>
    <w:p w14:paraId="0DF8286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（十六）负责促进知识产权运用工作，拟定知识产权运用和规范交易管理办法，促进知识产权转移转化；规范知识产权无形资产评估工作；负责知识产权中介服务发展的监督管理工作。</w:t>
      </w:r>
    </w:p>
    <w:p w14:paraId="0518D13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（十七）负责建立知识产权公共服务体系，建设便企利民、互联互通的全县知识产权信息公共服务平台，推动商标、专利等知识产权信息的传播利用。</w:t>
      </w:r>
    </w:p>
    <w:p w14:paraId="4D57033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（十八）承担上级授权的知识产权代办工作任务，负责知识产权的初审注册登记，组织实施原产地地理标志统一认定制度。</w:t>
      </w:r>
    </w:p>
    <w:p w14:paraId="5942719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（十九）负责市场监督管理科技和信息化建设、新闻宣传、对外交流与合作；按规定承担技术性贸易措施有关工作；负责协调涉外知识产权事宜，承担知识产权对外转让审查工作。</w:t>
      </w:r>
    </w:p>
    <w:p w14:paraId="401F428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十）负责药品（含中药、民族药，下同）、医疗器械和化妆品安全监督管理工作；贯彻落实国家、省药品、医疗器械和化妆品法律法规，以及鼓励药品、医疗器械和化妆品新技术新产品的管理与服务政策，拟定监督管理措施并组织实施。</w:t>
      </w:r>
    </w:p>
    <w:p w14:paraId="64F172B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（二十一）负责药品、医疗器械和化妆品质量管理工作，依职责监督实施药品、医疗器械经营质量管理规范。</w:t>
      </w:r>
    </w:p>
    <w:p w14:paraId="7D68BAB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（二十二）组织开展药店、化妆品不良反应检测、医疗器械不良事件监测、药物滥用监测工作，依法承担药品、医疗器械和化妆品安全应急管理工作。</w:t>
      </w:r>
    </w:p>
    <w:p w14:paraId="536D3EF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（二十三）负责药品、医疗器械和化妆品监督检查工作，贯彻落实国家、省、市检查制度，依法查处药品、医疗器械和化妆品经营、使用环节的违法行为。</w:t>
      </w:r>
    </w:p>
    <w:p w14:paraId="46AC63E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（二十四）组织开展药品、医疗器械和化妆品安全宣传、教育培训，推进诚信体系建设。</w:t>
      </w:r>
    </w:p>
    <w:p w14:paraId="52F70AB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十五）推进全县药品、医疗器械和化妆品安全监管信息化建设，负责制定药品、医疗器械和化妆品的安全科技发展规划并组织实施，推动电子监管追溯体系和信息化建设；完善药品、医疗器械和化妆品安全信息统一公布制度和重大信息直报制度，公布重大安全信息。</w:t>
      </w:r>
    </w:p>
    <w:p w14:paraId="3198B93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（二十六）承接省、市市场监督管理局委托县级实施的管理事项。</w:t>
      </w:r>
    </w:p>
    <w:p w14:paraId="6932B0C3">
      <w:pPr>
        <w:ind w:firstLine="640"/>
        <w:rPr>
          <w:rFonts w:ascii="仿宋" w:hAnsi="仿宋" w:eastAsia="仿宋"/>
          <w:sz w:val="32"/>
          <w:szCs w:val="32"/>
        </w:rPr>
      </w:pPr>
      <w:r>
        <w:rPr>
          <w:rFonts w:hint="eastAsia" w:ascii="Times New Roman" w:hAnsi="Times New Roman" w:eastAsia="仿宋" w:cs="Times New Roman"/>
          <w:sz w:val="32"/>
          <w:szCs w:val="32"/>
        </w:rPr>
        <w:t>（二十七）完成县委、县政府交办的其他任务。</w:t>
      </w:r>
    </w:p>
    <w:p w14:paraId="07ECE619">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、机构情况：</w:t>
      </w:r>
    </w:p>
    <w:p w14:paraId="6945560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井陉县市场监督管理局是财政拨款的正科级行政机关，下设</w:t>
      </w:r>
      <w:r>
        <w:rPr>
          <w:rFonts w:ascii="Times New Roman" w:hAnsi="Times New Roman" w:eastAsia="仿宋" w:cs="Times New Roman"/>
          <w:sz w:val="32"/>
          <w:szCs w:val="32"/>
        </w:rPr>
        <w:t>4</w:t>
      </w:r>
      <w:r>
        <w:rPr>
          <w:rFonts w:hint="eastAsia" w:ascii="Times New Roman" w:hAnsi="Times New Roman" w:eastAsia="仿宋" w:cs="Times New Roman"/>
          <w:sz w:val="32"/>
          <w:szCs w:val="32"/>
        </w:rPr>
        <w:t>个财政性资金基本保证正股级的事业单位，分别为井陉县市场监督综合执法大队、井陉县个私经济促进协会、井陉县消费服务维权中心、井陉县质量技术监督检验所。</w:t>
      </w:r>
    </w:p>
    <w:p w14:paraId="76411BE8">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、人员情况：</w:t>
      </w:r>
    </w:p>
    <w:p w14:paraId="22DE6676">
      <w:pPr>
        <w:ind w:firstLine="640"/>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年末市场将管局局实有人数</w:t>
      </w:r>
      <w:r>
        <w:rPr>
          <w:rFonts w:ascii="Times New Roman" w:hAnsi="Times New Roman" w:eastAsia="仿宋" w:cs="Times New Roman"/>
          <w:sz w:val="32"/>
          <w:szCs w:val="32"/>
        </w:rPr>
        <w:t>8</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人，与上年末实有人数相比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人，主要是人员变动，其中退休</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人，调出</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人</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新录用</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人</w:t>
      </w:r>
      <w:r>
        <w:rPr>
          <w:rFonts w:hint="eastAsia" w:ascii="Times New Roman" w:hAnsi="Times New Roman" w:eastAsia="仿宋" w:cs="Times New Roman"/>
          <w:sz w:val="32"/>
          <w:szCs w:val="32"/>
          <w:lang w:eastAsia="zh-CN"/>
        </w:rPr>
        <w:t>、调入</w:t>
      </w:r>
      <w:r>
        <w:rPr>
          <w:rFonts w:hint="eastAsia" w:ascii="Times New Roman" w:hAnsi="Times New Roman" w:eastAsia="仿宋" w:cs="Times New Roman"/>
          <w:sz w:val="32"/>
          <w:szCs w:val="32"/>
          <w:lang w:val="en-US" w:eastAsia="zh-CN"/>
        </w:rPr>
        <w:t>1人</w:t>
      </w:r>
      <w:r>
        <w:rPr>
          <w:rFonts w:hint="eastAsia" w:ascii="Times New Roman" w:hAnsi="Times New Roman" w:eastAsia="仿宋" w:cs="Times New Roman"/>
          <w:sz w:val="32"/>
          <w:szCs w:val="32"/>
        </w:rPr>
        <w:t>。</w:t>
      </w:r>
    </w:p>
    <w:p w14:paraId="2E770B95">
      <w:pPr>
        <w:adjustRightInd w:val="0"/>
        <w:snapToGrid w:val="0"/>
        <w:spacing w:line="560" w:lineRule="exact"/>
        <w:ind w:left="640"/>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、资产等基本情况：</w:t>
      </w:r>
    </w:p>
    <w:p w14:paraId="0C177E3D">
      <w:pPr>
        <w:ind w:firstLine="640"/>
      </w:pPr>
      <w:r>
        <w:rPr>
          <w:rFonts w:hint="eastAsia" w:ascii="Times New Roman" w:hAnsi="Times New Roman" w:eastAsia="仿宋" w:cs="Times New Roman"/>
          <w:color w:val="000000"/>
          <w:sz w:val="32"/>
          <w:szCs w:val="32"/>
        </w:rPr>
        <w:t>井陉县市场监督管理局</w:t>
      </w:r>
      <w:r>
        <w:rPr>
          <w:rFonts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5</w:t>
      </w:r>
      <w:r>
        <w:rPr>
          <w:rFonts w:hint="eastAsia" w:ascii="Times New Roman" w:hAnsi="Times New Roman" w:eastAsia="仿宋" w:cs="Times New Roman"/>
          <w:color w:val="000000"/>
          <w:sz w:val="32"/>
          <w:szCs w:val="32"/>
        </w:rPr>
        <w:t>年末固定资产原值金额为</w:t>
      </w:r>
      <w:r>
        <w:rPr>
          <w:rFonts w:hint="eastAsia" w:ascii="Times New Roman" w:hAnsi="Times New Roman" w:eastAsia="仿宋" w:cs="Times New Roman"/>
          <w:color w:val="000000"/>
          <w:sz w:val="32"/>
          <w:szCs w:val="32"/>
          <w:lang w:val="en-US" w:eastAsia="zh-CN"/>
        </w:rPr>
        <w:t>1962.87</w:t>
      </w:r>
      <w:r>
        <w:rPr>
          <w:rFonts w:hint="eastAsia" w:ascii="Times New Roman" w:hAnsi="Times New Roman" w:eastAsia="仿宋" w:cs="Times New Roman"/>
          <w:color w:val="000000"/>
          <w:sz w:val="32"/>
          <w:szCs w:val="32"/>
        </w:rPr>
        <w:t>万元，本年度拟购置固定资产总额为</w:t>
      </w:r>
      <w:r>
        <w:rPr>
          <w:rFonts w:hint="eastAsia" w:ascii="Times New Roman" w:hAnsi="Times New Roman" w:eastAsia="仿宋" w:cs="Times New Roman"/>
          <w:color w:val="000000"/>
          <w:sz w:val="32"/>
          <w:szCs w:val="32"/>
          <w:lang w:val="en-US" w:eastAsia="zh-CN"/>
        </w:rPr>
        <w:t>187</w:t>
      </w:r>
      <w:r>
        <w:rPr>
          <w:rFonts w:hint="eastAsia" w:ascii="Times New Roman" w:hAnsi="Times New Roman" w:eastAsia="仿宋" w:cs="Times New Roman"/>
          <w:color w:val="000000"/>
          <w:sz w:val="32"/>
          <w:szCs w:val="32"/>
        </w:rPr>
        <w:t>万元。</w:t>
      </w:r>
    </w:p>
    <w:p w14:paraId="00C11B75">
      <w:pPr>
        <w:numPr>
          <w:ilvl w:val="0"/>
          <w:numId w:val="1"/>
        </w:num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部门收支预决算情况</w:t>
      </w:r>
    </w:p>
    <w:p w14:paraId="41469A57">
      <w:pPr>
        <w:ind w:firstLine="640"/>
        <w:rPr>
          <w:rFonts w:ascii="Times New Roman" w:hAnsi="Times New Roman" w:eastAsia="仿宋" w:cs="Times New Roman"/>
          <w:color w:val="000000"/>
          <w:sz w:val="32"/>
          <w:szCs w:val="32"/>
        </w:rPr>
      </w:pPr>
      <w:r>
        <w:rPr>
          <w:rFonts w:ascii="Times New Roman" w:hAnsi="Times New Roman" w:eastAsia="仿宋" w:cs="Times New Roman"/>
          <w:color w:val="000000"/>
          <w:sz w:val="32"/>
          <w:szCs w:val="32"/>
        </w:rPr>
        <w:t>1</w:t>
      </w:r>
      <w:r>
        <w:rPr>
          <w:rFonts w:hint="eastAsia" w:ascii="Times New Roman" w:hAnsi="Times New Roman" w:eastAsia="仿宋" w:cs="Times New Roman"/>
          <w:color w:val="000000"/>
          <w:sz w:val="32"/>
          <w:szCs w:val="32"/>
        </w:rPr>
        <w:t>、收入说明</w:t>
      </w:r>
    </w:p>
    <w:p w14:paraId="38925F1D">
      <w:pPr>
        <w:ind w:firstLine="640"/>
        <w:rPr>
          <w:rFonts w:ascii="Times New Roman" w:hAnsi="Times New Roman" w:eastAsia="仿宋" w:cs="Times New Roman"/>
          <w:color w:val="000000"/>
          <w:sz w:val="32"/>
          <w:szCs w:val="32"/>
        </w:rPr>
      </w:pPr>
      <w:r>
        <w:rPr>
          <w:rFonts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5</w:t>
      </w:r>
      <w:r>
        <w:rPr>
          <w:rFonts w:hint="eastAsia" w:ascii="Times New Roman" w:hAnsi="Times New Roman" w:eastAsia="仿宋" w:cs="Times New Roman"/>
          <w:color w:val="000000"/>
          <w:sz w:val="32"/>
          <w:szCs w:val="32"/>
        </w:rPr>
        <w:t>年决算收入</w:t>
      </w:r>
      <w:r>
        <w:rPr>
          <w:rFonts w:hint="eastAsia" w:ascii="Times New Roman" w:hAnsi="Times New Roman" w:eastAsia="仿宋" w:cs="Times New Roman"/>
          <w:color w:val="000000"/>
          <w:sz w:val="32"/>
          <w:szCs w:val="32"/>
          <w:lang w:val="en-US" w:eastAsia="zh-CN"/>
        </w:rPr>
        <w:t>1703.03</w:t>
      </w:r>
      <w:r>
        <w:rPr>
          <w:rFonts w:hint="eastAsia" w:ascii="Times New Roman" w:hAnsi="Times New Roman" w:eastAsia="仿宋" w:cs="Times New Roman"/>
          <w:color w:val="000000"/>
          <w:sz w:val="32"/>
          <w:szCs w:val="32"/>
        </w:rPr>
        <w:t>万元，其中：一般公共预算收入</w:t>
      </w:r>
      <w:r>
        <w:rPr>
          <w:rFonts w:hint="eastAsia" w:ascii="Times New Roman" w:hAnsi="Times New Roman" w:eastAsia="仿宋" w:cs="Times New Roman"/>
          <w:color w:val="000000"/>
          <w:sz w:val="32"/>
          <w:szCs w:val="32"/>
          <w:lang w:val="en-US" w:eastAsia="zh-CN"/>
        </w:rPr>
        <w:t>1703.03</w:t>
      </w:r>
      <w:r>
        <w:rPr>
          <w:rFonts w:hint="eastAsia" w:ascii="Times New Roman" w:hAnsi="Times New Roman" w:eastAsia="仿宋" w:cs="Times New Roman"/>
          <w:color w:val="000000"/>
          <w:sz w:val="32"/>
          <w:szCs w:val="32"/>
        </w:rPr>
        <w:t>万元，基金预算收入</w:t>
      </w:r>
      <w:r>
        <w:rPr>
          <w:rFonts w:ascii="Times New Roman" w:hAnsi="Times New Roman" w:eastAsia="仿宋" w:cs="Times New Roman"/>
          <w:color w:val="000000"/>
          <w:sz w:val="32"/>
          <w:szCs w:val="32"/>
        </w:rPr>
        <w:t>0</w:t>
      </w:r>
      <w:r>
        <w:rPr>
          <w:rFonts w:hint="eastAsia" w:ascii="Times New Roman" w:hAnsi="Times New Roman" w:eastAsia="仿宋" w:cs="Times New Roman"/>
          <w:color w:val="000000"/>
          <w:sz w:val="32"/>
          <w:szCs w:val="32"/>
        </w:rPr>
        <w:t>万元，财政专户核拨收入</w:t>
      </w:r>
      <w:r>
        <w:rPr>
          <w:rFonts w:ascii="Times New Roman" w:hAnsi="Times New Roman" w:eastAsia="仿宋" w:cs="Times New Roman"/>
          <w:color w:val="000000"/>
          <w:sz w:val="32"/>
          <w:szCs w:val="32"/>
        </w:rPr>
        <w:t>0</w:t>
      </w:r>
      <w:r>
        <w:rPr>
          <w:rFonts w:hint="eastAsia" w:ascii="Times New Roman" w:hAnsi="Times New Roman" w:eastAsia="仿宋" w:cs="Times New Roman"/>
          <w:color w:val="000000"/>
          <w:sz w:val="32"/>
          <w:szCs w:val="32"/>
        </w:rPr>
        <w:t>万元，其他来源收入</w:t>
      </w:r>
      <w:r>
        <w:rPr>
          <w:rFonts w:ascii="Times New Roman" w:hAnsi="Times New Roman" w:eastAsia="仿宋" w:cs="Times New Roman"/>
          <w:color w:val="000000"/>
          <w:sz w:val="32"/>
          <w:szCs w:val="32"/>
        </w:rPr>
        <w:t>0</w:t>
      </w:r>
      <w:r>
        <w:rPr>
          <w:rFonts w:hint="eastAsia" w:ascii="Times New Roman" w:hAnsi="Times New Roman" w:eastAsia="仿宋" w:cs="Times New Roman"/>
          <w:color w:val="000000"/>
          <w:sz w:val="32"/>
          <w:szCs w:val="32"/>
        </w:rPr>
        <w:t>万元。</w:t>
      </w:r>
    </w:p>
    <w:p w14:paraId="6EDF5C0E">
      <w:pPr>
        <w:ind w:firstLine="640"/>
        <w:rPr>
          <w:rFonts w:ascii="Times New Roman" w:hAnsi="Times New Roman" w:eastAsia="仿宋" w:cs="Times New Roman"/>
          <w:color w:val="000000"/>
          <w:sz w:val="32"/>
          <w:szCs w:val="32"/>
        </w:rPr>
      </w:pPr>
      <w:r>
        <w:rPr>
          <w:rFonts w:ascii="Times New Roman" w:hAnsi="Times New Roman" w:eastAsia="仿宋" w:cs="Times New Roman"/>
          <w:color w:val="000000"/>
          <w:sz w:val="32"/>
          <w:szCs w:val="32"/>
        </w:rPr>
        <w:t>2</w:t>
      </w:r>
      <w:r>
        <w:rPr>
          <w:rFonts w:hint="eastAsia" w:ascii="Times New Roman" w:hAnsi="Times New Roman" w:eastAsia="仿宋" w:cs="Times New Roman"/>
          <w:color w:val="000000"/>
          <w:sz w:val="32"/>
          <w:szCs w:val="32"/>
        </w:rPr>
        <w:t>、支出说明</w:t>
      </w:r>
    </w:p>
    <w:p w14:paraId="156E8AA9">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收支预算总表支出栏、基本支出表、项目支出表按经济分类和支出功能分类科目编制，反映井陉县市场监督管理局年度部门预算中支出预算的总体情况。</w:t>
      </w:r>
      <w:r>
        <w:rPr>
          <w:rFonts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5</w:t>
      </w:r>
      <w:r>
        <w:rPr>
          <w:rFonts w:hint="eastAsia" w:ascii="Times New Roman" w:hAnsi="Times New Roman" w:eastAsia="仿宋" w:cs="Times New Roman"/>
          <w:color w:val="000000"/>
          <w:sz w:val="32"/>
          <w:szCs w:val="32"/>
        </w:rPr>
        <w:t>年部门支出决算为</w:t>
      </w:r>
      <w:r>
        <w:rPr>
          <w:rFonts w:hint="eastAsia" w:ascii="Times New Roman" w:hAnsi="Times New Roman" w:eastAsia="仿宋" w:cs="Times New Roman"/>
          <w:color w:val="000000"/>
          <w:sz w:val="32"/>
          <w:szCs w:val="32"/>
          <w:lang w:val="en-US" w:eastAsia="zh-CN"/>
        </w:rPr>
        <w:t>1703.03</w:t>
      </w:r>
      <w:r>
        <w:rPr>
          <w:rFonts w:hint="eastAsia" w:ascii="Times New Roman" w:hAnsi="Times New Roman" w:eastAsia="仿宋" w:cs="Times New Roman"/>
          <w:color w:val="000000"/>
          <w:sz w:val="32"/>
          <w:szCs w:val="32"/>
        </w:rPr>
        <w:t>万元，按支出性质来看，基本支出</w:t>
      </w:r>
      <w:r>
        <w:rPr>
          <w:rFonts w:hint="eastAsia" w:ascii="Times New Roman" w:hAnsi="Times New Roman" w:eastAsia="仿宋" w:cs="Times New Roman"/>
          <w:color w:val="000000"/>
          <w:sz w:val="32"/>
          <w:szCs w:val="32"/>
          <w:lang w:val="en-US" w:eastAsia="zh-CN"/>
        </w:rPr>
        <w:t>1382.33</w:t>
      </w:r>
      <w:r>
        <w:rPr>
          <w:rFonts w:hint="eastAsia" w:ascii="Times New Roman" w:hAnsi="Times New Roman" w:eastAsia="仿宋" w:cs="Times New Roman"/>
          <w:color w:val="000000"/>
          <w:sz w:val="32"/>
          <w:szCs w:val="32"/>
        </w:rPr>
        <w:t>万元，占总支出的</w:t>
      </w:r>
      <w:r>
        <w:rPr>
          <w:rFonts w:hint="eastAsia" w:ascii="Times New Roman" w:hAnsi="Times New Roman" w:eastAsia="仿宋" w:cs="Times New Roman"/>
          <w:color w:val="000000"/>
          <w:sz w:val="32"/>
          <w:szCs w:val="32"/>
          <w:lang w:val="en-US" w:eastAsia="zh-CN"/>
        </w:rPr>
        <w:t>81.17</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；项目支出</w:t>
      </w:r>
      <w:r>
        <w:rPr>
          <w:rFonts w:hint="eastAsia" w:ascii="Times New Roman" w:hAnsi="Times New Roman" w:eastAsia="仿宋" w:cs="Times New Roman"/>
          <w:color w:val="000000"/>
          <w:sz w:val="32"/>
          <w:szCs w:val="32"/>
          <w:lang w:val="en-US" w:eastAsia="zh-CN"/>
        </w:rPr>
        <w:t>320.7</w:t>
      </w:r>
      <w:r>
        <w:rPr>
          <w:rFonts w:hint="eastAsia" w:ascii="Times New Roman" w:hAnsi="Times New Roman" w:eastAsia="仿宋" w:cs="Times New Roman"/>
          <w:color w:val="000000"/>
          <w:sz w:val="32"/>
          <w:szCs w:val="32"/>
        </w:rPr>
        <w:t>万元，占总支出的</w:t>
      </w:r>
      <w:r>
        <w:rPr>
          <w:rFonts w:hint="eastAsia" w:ascii="Times New Roman" w:hAnsi="Times New Roman" w:eastAsia="仿宋" w:cs="Times New Roman"/>
          <w:color w:val="000000"/>
          <w:sz w:val="32"/>
          <w:szCs w:val="32"/>
          <w:lang w:val="en-US" w:eastAsia="zh-CN"/>
        </w:rPr>
        <w:t>18.83</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w:t>
      </w:r>
    </w:p>
    <w:p w14:paraId="186A02D8">
      <w:pPr>
        <w:pStyle w:val="6"/>
        <w:ind w:left="840" w:leftChars="400" w:firstLine="0" w:firstLineChars="0"/>
      </w:pPr>
    </w:p>
    <w:p w14:paraId="7D9E7121">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14:paraId="5EF4A84C">
      <w:pPr>
        <w:spacing w:line="60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总体绩效目标</w:t>
      </w:r>
    </w:p>
    <w:p w14:paraId="206933EA">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一是保障改革的成果</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体现改革的红利。进一步做好机构改革后“合心合力合拍”的文章。在工作理念上要共鸣</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加强文化引导</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凝聚价值共识</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做到思想上的“合心”；在知识结构上要互补</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开展业务培训和业务骨干传帮带</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强化系统内部的沟通协作</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形成强大的工作“合力”；在工作机制上要互通</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通过流程优化、事权划分、整合归并</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着力解决体制机制上的不顺</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rPr>
        <w:t>保持全局上下步调“合拍”。</w:t>
      </w:r>
    </w:p>
    <w:p w14:paraId="056EC792">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二是严格市场监管，守牢安全底线。聚焦“山寨食品”，以损害、漠视群众利益方面为重点打击对象，坚决守护食品安全；严厉打击非法渠道购销药品违法违规行为，坚决守护药品安全；抓好危化企业、电梯等特种设备的专项整治，坚决守护特种设备安全。</w:t>
      </w:r>
    </w:p>
    <w:p w14:paraId="74D86AE4">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三是狠抓案件查办，震慑违法犯罪。切实加大执法办案力度，查办一批大案要案，形成对违法犯罪的强力震慑。树立执法办案先进典型，在全局营造奋勇争先的执法办案氛围。加大执法办案培训力度，打造一支能办案、肯办案、会办案的专业执法队伍。</w:t>
      </w:r>
    </w:p>
    <w:p w14:paraId="31978B1B">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四是深化商事制度改革，优化市场环境。实施信用管理，加强价格监督，营造公平有序的竞争环境；强化消费领域监管，及时处理群众投诉举报，营造安全放心的消费环境；支持中小企业和民营经济发展，营造良好的发展环境。</w:t>
      </w:r>
    </w:p>
    <w:p w14:paraId="2D7C96A9">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五是夯实质量基础，推动高质量发展。实施标准化战略，开展免费计量，完善认证认可和检验检测体系，强化质量基础；开展日常监管、专项检查、监督抽查，严格质量监管；完善质量工作机制，加强质量宣传，开展“一十百千万”活动，实现质量提升。</w:t>
      </w:r>
    </w:p>
    <w:p w14:paraId="46C27599">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六是狠抓基层党建，加强队伍建设。以基层党建为统领，加强干部队伍政治建设、组织建设、作风建设、法治建设和党风廉政建设，打造一支听命于党、立足于法、谋利于民、能征善战、勇挑重担的市场监管队伍。</w:t>
      </w:r>
    </w:p>
    <w:p w14:paraId="0EA21E9A">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分项绩效目标</w:t>
      </w:r>
    </w:p>
    <w:p w14:paraId="11CE8AD2">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计量检验检测工作</w:t>
      </w:r>
    </w:p>
    <w:p w14:paraId="27752769">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绩效目标：完成散煤抽检、计量检定等工作</w:t>
      </w:r>
    </w:p>
    <w:p w14:paraId="27FAC4C8">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绩效指标：煤炭抽检覆盖率，上级考核等</w:t>
      </w:r>
    </w:p>
    <w:p w14:paraId="00E5043B">
      <w:pPr>
        <w:autoSpaceDE w:val="0"/>
        <w:autoSpaceDN w:val="0"/>
        <w:adjustRightInd w:val="0"/>
        <w:ind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成品油和煤炭抽检工作</w:t>
      </w:r>
    </w:p>
    <w:p w14:paraId="3455ED67">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绩效目标：完成抽检任务，确保不出现重大安全事故，维护县域生态安全</w:t>
      </w:r>
    </w:p>
    <w:p w14:paraId="7E49A540">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绩效指标：抽检率占比、年度考核等</w:t>
      </w:r>
    </w:p>
    <w:p w14:paraId="150543F6">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食品抽验抽检工作</w:t>
      </w:r>
    </w:p>
    <w:p w14:paraId="59BA7593">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绩效目标：完成抽检任务，确保不出现重大食品安全事故</w:t>
      </w:r>
    </w:p>
    <w:p w14:paraId="119568FF">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绩效指标：抽检率占比、年度考核等</w:t>
      </w:r>
    </w:p>
    <w:p w14:paraId="2E545D69">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食品抽验抽检工作</w:t>
      </w:r>
    </w:p>
    <w:p w14:paraId="455E849C">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绩效目标：完成抽检任务，确保不出现重大食品安全事故</w:t>
      </w:r>
    </w:p>
    <w:p w14:paraId="78DDB892">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绩效指标：抽检率占比、年度考核等</w:t>
      </w:r>
    </w:p>
    <w:p w14:paraId="065EB173">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食品药品安全协管员工作</w:t>
      </w:r>
    </w:p>
    <w:p w14:paraId="6A8C87FE">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绩效目标：督导、协调食品药品安全协管员工作，使其将食药安全的宣传、检查覆盖到最基层</w:t>
      </w:r>
    </w:p>
    <w:p w14:paraId="05535E8D">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绩效指标：年度考核等</w:t>
      </w:r>
    </w:p>
    <w:p w14:paraId="5F5D491B">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食药安全监管工作</w:t>
      </w:r>
    </w:p>
    <w:p w14:paraId="00DE737A">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绩效目标：保障全县食品、食用农产品、药品安全，维护食品安全县创建成果</w:t>
      </w:r>
    </w:p>
    <w:p w14:paraId="76FF1EDF">
      <w:pPr>
        <w:autoSpaceDE w:val="0"/>
        <w:autoSpaceDN w:val="0"/>
        <w:adjustRightInd w:val="0"/>
        <w:ind w:firstLine="640" w:firstLineChars="200"/>
        <w:jc w:val="left"/>
        <w:rPr>
          <w:rFonts w:hint="default"/>
          <w:lang w:val="en-US" w:eastAsia="zh-CN"/>
        </w:rPr>
      </w:pPr>
      <w:r>
        <w:rPr>
          <w:rFonts w:hint="eastAsia" w:ascii="Times New Roman" w:hAnsi="Times New Roman" w:eastAsia="仿宋" w:cs="Times New Roman"/>
          <w:sz w:val="32"/>
          <w:szCs w:val="32"/>
        </w:rPr>
        <w:t>绩效指标：食品、药品安全系数、年度考核等</w:t>
      </w:r>
    </w:p>
    <w:p w14:paraId="15DDC0D9">
      <w:p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7、市场秩序管理工作</w:t>
      </w:r>
    </w:p>
    <w:p w14:paraId="0A98672B">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绩效目标：通过日常监管、专项整治，确保市场秩序繁荣稳定</w:t>
      </w:r>
    </w:p>
    <w:p w14:paraId="6D6CB0EB">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w:t>
      </w:r>
      <w:r>
        <w:rPr>
          <w:rFonts w:ascii="Times New Roman" w:hAnsi="Times New Roman" w:eastAsia="仿宋" w:cs="Times New Roman"/>
          <w:sz w:val="32"/>
          <w:szCs w:val="32"/>
        </w:rPr>
        <w:t>12315</w:t>
      </w:r>
      <w:r>
        <w:rPr>
          <w:rFonts w:hint="eastAsia" w:ascii="Times New Roman" w:hAnsi="Times New Roman" w:eastAsia="仿宋" w:cs="Times New Roman"/>
          <w:sz w:val="32"/>
          <w:szCs w:val="32"/>
        </w:rPr>
        <w:t>热线回复率，企业年报公示率，双随机、一公开制度覆盖率等</w:t>
      </w:r>
    </w:p>
    <w:p w14:paraId="70C071FE">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8、</w:t>
      </w:r>
      <w:r>
        <w:rPr>
          <w:rFonts w:hint="eastAsia" w:ascii="Times New Roman" w:hAnsi="Times New Roman" w:eastAsia="仿宋" w:cs="Times New Roman"/>
          <w:sz w:val="32"/>
          <w:szCs w:val="32"/>
        </w:rPr>
        <w:t>质量安全监管工作</w:t>
      </w:r>
    </w:p>
    <w:p w14:paraId="7940BBB2">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绩效目标：监督检查特种设备安全情况，确保不出现重大安全事故，维护全县产品质量安全</w:t>
      </w:r>
    </w:p>
    <w:p w14:paraId="7F6A3419">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绩效指标：产品质量安全风险等级，上级考核等</w:t>
      </w:r>
    </w:p>
    <w:p w14:paraId="6DEE13E1">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市场监管专项补助工作</w:t>
      </w:r>
    </w:p>
    <w:p w14:paraId="7C5A4DA0">
      <w:pPr>
        <w:autoSpaceDE w:val="0"/>
        <w:autoSpaceDN w:val="0"/>
        <w:adjustRightInd w:val="0"/>
        <w:ind w:firstLine="640" w:firstLineChars="200"/>
        <w:jc w:val="left"/>
      </w:pPr>
      <w:r>
        <w:rPr>
          <w:rFonts w:hint="eastAsia" w:ascii="Times New Roman" w:hAnsi="Times New Roman" w:eastAsia="仿宋" w:cs="Times New Roman"/>
          <w:sz w:val="32"/>
          <w:szCs w:val="32"/>
        </w:rPr>
        <w:t>绩效目标：深入开展四个专项行动，广泛利用</w:t>
      </w:r>
      <w:r>
        <w:rPr>
          <w:rFonts w:ascii="Times New Roman" w:hAnsi="Times New Roman" w:eastAsia="仿宋" w:cs="Times New Roman"/>
          <w:sz w:val="32"/>
          <w:szCs w:val="32"/>
        </w:rPr>
        <w:t>“</w:t>
      </w:r>
      <w:r>
        <w:rPr>
          <w:rFonts w:hint="eastAsia" w:ascii="Times New Roman" w:hAnsi="Times New Roman" w:eastAsia="仿宋" w:cs="Times New Roman"/>
          <w:sz w:val="32"/>
          <w:szCs w:val="32"/>
        </w:rPr>
        <w:t>双随机、一公开</w:t>
      </w:r>
      <w:r>
        <w:rPr>
          <w:rFonts w:ascii="Times New Roman" w:hAnsi="Times New Roman" w:eastAsia="仿宋" w:cs="Times New Roman"/>
          <w:sz w:val="32"/>
          <w:szCs w:val="32"/>
        </w:rPr>
        <w:t>”</w:t>
      </w:r>
      <w:r>
        <w:rPr>
          <w:rFonts w:hint="eastAsia" w:ascii="Times New Roman" w:hAnsi="Times New Roman" w:eastAsia="仿宋" w:cs="Times New Roman"/>
          <w:sz w:val="32"/>
          <w:szCs w:val="32"/>
        </w:rPr>
        <w:t>监管制度，查办一批大案要案，维护公平公正的市场经济秩序</w:t>
      </w:r>
    </w:p>
    <w:p w14:paraId="4FD0564C">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绩效指标：上级考核等</w:t>
      </w:r>
    </w:p>
    <w:p w14:paraId="65BBFC2E">
      <w:pPr>
        <w:numPr>
          <w:ilvl w:val="0"/>
          <w:numId w:val="2"/>
        </w:numPr>
        <w:autoSpaceDE w:val="0"/>
        <w:autoSpaceDN w:val="0"/>
        <w:adjustRightInd w:val="0"/>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偿还政府拖欠企业账款工作</w:t>
      </w:r>
    </w:p>
    <w:p w14:paraId="26918578">
      <w:pPr>
        <w:numPr>
          <w:ilvl w:val="0"/>
          <w:numId w:val="0"/>
        </w:numPr>
        <w:autoSpaceDE w:val="0"/>
        <w:autoSpaceDN w:val="0"/>
        <w:adjustRightInd w:val="0"/>
        <w:ind w:firstLine="64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绩效目标</w:t>
      </w:r>
      <w:r>
        <w:rPr>
          <w:rFonts w:hint="eastAsia" w:ascii="Times New Roman" w:hAnsi="Times New Roman" w:eastAsia="仿宋" w:cs="Times New Roman"/>
          <w:sz w:val="32"/>
          <w:szCs w:val="32"/>
          <w:lang w:eastAsia="zh-CN"/>
        </w:rPr>
        <w:t>：及时拨付企业化债资金，保证中小企业资金健康，促进我县食品检测、油烟净化、计量检定事业发展</w:t>
      </w:r>
    </w:p>
    <w:p w14:paraId="4CD4E325">
      <w:pPr>
        <w:pStyle w:val="6"/>
        <w:ind w:left="0" w:leftChars="0" w:firstLine="3168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绩效指标：</w:t>
      </w:r>
      <w:r>
        <w:rPr>
          <w:rFonts w:hint="eastAsia" w:ascii="Times New Roman" w:hAnsi="Times New Roman" w:eastAsia="仿宋" w:cs="Times New Roman"/>
          <w:sz w:val="32"/>
          <w:szCs w:val="32"/>
          <w:lang w:eastAsia="zh-CN"/>
        </w:rPr>
        <w:t>欠款拨付情况、年度</w:t>
      </w:r>
      <w:r>
        <w:rPr>
          <w:rFonts w:hint="eastAsia" w:ascii="Times New Roman" w:hAnsi="Times New Roman" w:eastAsia="仿宋" w:cs="Times New Roman"/>
          <w:sz w:val="32"/>
          <w:szCs w:val="32"/>
        </w:rPr>
        <w:t>考核等</w:t>
      </w:r>
    </w:p>
    <w:p w14:paraId="5502AE42">
      <w:pPr>
        <w:autoSpaceDE w:val="0"/>
        <w:autoSpaceDN w:val="0"/>
        <w:adjustRightInd w:val="0"/>
        <w:ind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11、2025年市级标准化资助项目资金</w:t>
      </w:r>
    </w:p>
    <w:p w14:paraId="553B51C1">
      <w:pPr>
        <w:pStyle w:val="6"/>
        <w:ind w:left="0" w:leftChars="0" w:firstLine="3168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绩效目标：</w:t>
      </w:r>
      <w:r>
        <w:rPr>
          <w:rFonts w:hint="eastAsia" w:ascii="Times New Roman" w:hAnsi="Times New Roman" w:eastAsia="仿宋" w:cs="Times New Roman"/>
          <w:sz w:val="32"/>
          <w:szCs w:val="32"/>
        </w:rPr>
        <w:t>通过项目实施，敢励我县企业或社会团体积极主持参与各类标准的制修订、承担标准化试点创建项目，提升企业标准化活动参与度</w:t>
      </w:r>
    </w:p>
    <w:p w14:paraId="7E2E7C71">
      <w:pPr>
        <w:pStyle w:val="6"/>
        <w:ind w:left="0" w:leftChars="0" w:firstLine="3168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绩效指标：上级考核等</w:t>
      </w:r>
    </w:p>
    <w:p w14:paraId="309B3C8A">
      <w:pPr>
        <w:pStyle w:val="4"/>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12、2025年市级知识产权高质量发展</w:t>
      </w:r>
    </w:p>
    <w:p w14:paraId="2F275AC1">
      <w:pPr>
        <w:autoSpaceDE w:val="0"/>
        <w:autoSpaceDN w:val="0"/>
        <w:adjustRightInd w:val="0"/>
        <w:ind w:firstLine="640" w:firstLineChars="200"/>
        <w:jc w:val="left"/>
      </w:pPr>
      <w:r>
        <w:rPr>
          <w:rFonts w:hint="eastAsia" w:ascii="Times New Roman" w:hAnsi="Times New Roman" w:eastAsia="仿宋" w:cs="Times New Roman"/>
          <w:sz w:val="32"/>
          <w:szCs w:val="32"/>
        </w:rPr>
        <w:t>绩效目标：通过对地理标志运用促进工程项目单位和地理标志专用标志使用核准的企业进行奖补，进一步促进区域特色产业发展，助推乡村振兴</w:t>
      </w:r>
    </w:p>
    <w:p w14:paraId="2CFA2A55">
      <w:pPr>
        <w:pStyle w:val="6"/>
        <w:ind w:left="0" w:leftChars="0" w:firstLine="3168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绩效指标：上级考核等</w:t>
      </w:r>
    </w:p>
    <w:p w14:paraId="5F011161">
      <w:pPr>
        <w:pStyle w:val="4"/>
        <w:keepNext w:val="0"/>
        <w:keepLines w:val="0"/>
        <w:pageBreakBefore w:val="0"/>
        <w:widowControl w:val="0"/>
        <w:kinsoku/>
        <w:wordWrap/>
        <w:overflowPunct/>
        <w:topLinePunct w:val="0"/>
        <w:autoSpaceDE/>
        <w:autoSpaceDN/>
        <w:bidi w:val="0"/>
        <w:adjustRightInd/>
        <w:snapToGrid w:val="0"/>
        <w:textAlignment w:val="auto"/>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 xml:space="preserve">    13、2025年市级知识产权融资</w:t>
      </w:r>
    </w:p>
    <w:p w14:paraId="7BCAF7E9">
      <w:pPr>
        <w:pStyle w:val="4"/>
        <w:keepNext w:val="0"/>
        <w:keepLines w:val="0"/>
        <w:pageBreakBefore w:val="0"/>
        <w:widowControl w:val="0"/>
        <w:kinsoku/>
        <w:wordWrap/>
        <w:overflowPunct/>
        <w:topLinePunct w:val="0"/>
        <w:autoSpaceDE/>
        <w:autoSpaceDN/>
        <w:bidi w:val="0"/>
        <w:adjustRightInd/>
        <w:snapToGrid w:val="0"/>
        <w:ind w:firstLine="640"/>
        <w:textAlignment w:val="auto"/>
        <w:rPr>
          <w:rFonts w:hint="eastAsia" w:ascii="Times New Roman" w:hAnsi="Times New Roman" w:eastAsia="仿宋" w:cs="Times New Roman"/>
          <w:kern w:val="2"/>
          <w:sz w:val="32"/>
          <w:szCs w:val="32"/>
          <w:lang w:val="en-US" w:eastAsia="zh-CN" w:bidi="ar-SA"/>
        </w:rPr>
      </w:pPr>
      <w:r>
        <w:rPr>
          <w:rFonts w:hint="eastAsia" w:ascii="Times New Roman" w:hAnsi="Times New Roman" w:eastAsia="仿宋" w:cs="Times New Roman"/>
          <w:sz w:val="32"/>
          <w:szCs w:val="32"/>
        </w:rPr>
        <w:t>绩</w:t>
      </w:r>
      <w:r>
        <w:rPr>
          <w:rFonts w:hint="eastAsia" w:ascii="Times New Roman" w:hAnsi="Times New Roman" w:eastAsia="仿宋" w:cs="Times New Roman"/>
          <w:kern w:val="2"/>
          <w:sz w:val="32"/>
          <w:szCs w:val="32"/>
          <w:lang w:val="en-US" w:eastAsia="zh-CN" w:bidi="ar-SA"/>
        </w:rPr>
        <w:t>效目标：通过知识产权融资补助，盘活知识产权资本，为创新主体高质量发展提供支撑。</w:t>
      </w:r>
    </w:p>
    <w:p w14:paraId="6798E571">
      <w:pPr>
        <w:pStyle w:val="6"/>
        <w:ind w:left="0" w:leftChars="0" w:firstLine="31680"/>
        <w:rPr>
          <w:rFonts w:hint="eastAsia" w:ascii="Times New Roman" w:hAnsi="Times New Roman" w:eastAsia="仿宋" w:cs="Times New Roman"/>
          <w:kern w:val="2"/>
          <w:sz w:val="32"/>
          <w:szCs w:val="32"/>
          <w:lang w:val="en-US" w:eastAsia="zh-CN" w:bidi="ar-SA"/>
        </w:rPr>
      </w:pPr>
      <w:r>
        <w:rPr>
          <w:rFonts w:hint="eastAsia" w:ascii="Times New Roman" w:hAnsi="Times New Roman" w:eastAsia="仿宋" w:cs="Times New Roman"/>
          <w:sz w:val="32"/>
          <w:szCs w:val="32"/>
        </w:rPr>
        <w:t>绩效指标：上级考核等</w:t>
      </w:r>
    </w:p>
    <w:p w14:paraId="3BA304DB">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二、自评工作开展情况</w:t>
      </w:r>
    </w:p>
    <w:p w14:paraId="1A42F5EF">
      <w:pPr>
        <w:spacing w:line="560" w:lineRule="exact"/>
        <w:rPr>
          <w:rFonts w:ascii="仿宋" w:hAnsi="仿宋" w:eastAsia="仿宋" w:cs="楷体_GB2312"/>
          <w:sz w:val="32"/>
          <w:szCs w:val="32"/>
        </w:rPr>
      </w:pPr>
      <w:r>
        <w:rPr>
          <w:rFonts w:ascii="仿宋" w:hAnsi="仿宋" w:eastAsia="仿宋"/>
          <w:sz w:val="32"/>
          <w:szCs w:val="32"/>
        </w:rPr>
        <w:t xml:space="preserve">    </w:t>
      </w:r>
      <w:r>
        <w:rPr>
          <w:rFonts w:hint="eastAsia" w:ascii="仿宋" w:hAnsi="仿宋" w:eastAsia="仿宋" w:cs="楷体_GB2312"/>
          <w:b/>
          <w:bCs/>
          <w:sz w:val="32"/>
          <w:szCs w:val="32"/>
        </w:rPr>
        <w:t>（一）自评的组织工作</w:t>
      </w:r>
    </w:p>
    <w:p w14:paraId="3CF0E5D5">
      <w:pPr>
        <w:spacing w:line="560" w:lineRule="exact"/>
        <w:rPr>
          <w:rFonts w:ascii="仿宋" w:hAnsi="仿宋" w:eastAsia="仿宋"/>
          <w:sz w:val="32"/>
          <w:szCs w:val="32"/>
        </w:rPr>
      </w:pPr>
      <w:r>
        <w:rPr>
          <w:rFonts w:ascii="仿宋" w:hAnsi="仿宋" w:eastAsia="仿宋"/>
          <w:sz w:val="32"/>
          <w:szCs w:val="32"/>
        </w:rPr>
        <w:t xml:space="preserve">   </w:t>
      </w:r>
      <w:r>
        <w:rPr>
          <w:rFonts w:hint="eastAsia" w:ascii="仿宋" w:hAnsi="仿宋" w:eastAsia="仿宋" w:cs="仿宋"/>
          <w:sz w:val="32"/>
          <w:szCs w:val="32"/>
        </w:rPr>
        <w:t>为保证项目顺利实施，确保项目实施成效，市场监管局严格按照工作计划，按时完成工作任务，对项目完成情况与质量进行严格验收，保障各项工作成效达到预期目标，在日常运转过程中，提前做好经费预算计划，注意结合具体实际，确保每一笔经费合理使用。</w:t>
      </w:r>
    </w:p>
    <w:p w14:paraId="2552CE58">
      <w:pPr>
        <w:numPr>
          <w:ilvl w:val="0"/>
          <w:numId w:val="3"/>
        </w:numPr>
        <w:spacing w:line="560" w:lineRule="exact"/>
        <w:rPr>
          <w:rFonts w:ascii="仿宋" w:hAnsi="仿宋" w:eastAsia="仿宋" w:cs="楷体_GB2312"/>
          <w:b/>
          <w:bCs/>
          <w:sz w:val="32"/>
          <w:szCs w:val="32"/>
        </w:rPr>
      </w:pPr>
      <w:r>
        <w:rPr>
          <w:rFonts w:hint="eastAsia" w:ascii="仿宋" w:hAnsi="仿宋" w:eastAsia="仿宋" w:cs="楷体_GB2312"/>
          <w:b/>
          <w:bCs/>
          <w:sz w:val="32"/>
          <w:szCs w:val="32"/>
        </w:rPr>
        <w:t>自评的方法和过程</w:t>
      </w:r>
    </w:p>
    <w:p w14:paraId="3EDCFE05">
      <w:pPr>
        <w:spacing w:line="560" w:lineRule="exact"/>
        <w:ind w:firstLine="640" w:firstLineChars="200"/>
      </w:pPr>
      <w:r>
        <w:rPr>
          <w:rFonts w:hint="eastAsia" w:ascii="仿宋" w:hAnsi="仿宋" w:eastAsia="仿宋"/>
          <w:sz w:val="32"/>
          <w:szCs w:val="32"/>
        </w:rPr>
        <w:t>评价方法：趋势分析法，是将连续三年数期财务报告中相同指标进行对比，确定其增减变动的方向、数额和幅度，以说明财政财务状况的变动趋势的一种方法。通过对比上一年食品安全抽检经费，进行对比分析经费使用情况，得出本年数据，完成对本年工作的核查。</w:t>
      </w:r>
    </w:p>
    <w:p w14:paraId="4BC134BF">
      <w:pPr>
        <w:spacing w:line="560" w:lineRule="exact"/>
        <w:rPr>
          <w:rFonts w:ascii="黑体" w:hAnsi="黑体" w:eastAsia="黑体"/>
          <w:b/>
          <w:bCs/>
          <w:sz w:val="32"/>
          <w:szCs w:val="32"/>
        </w:rPr>
      </w:pPr>
      <w:r>
        <w:rPr>
          <w:rFonts w:ascii="仿宋" w:hAnsi="仿宋" w:eastAsia="仿宋" w:cs="楷体_GB2312"/>
          <w:b/>
          <w:bCs/>
          <w:sz w:val="32"/>
          <w:szCs w:val="32"/>
        </w:rPr>
        <w:t xml:space="preserve">    </w:t>
      </w:r>
      <w:r>
        <w:rPr>
          <w:rFonts w:ascii="仿宋" w:hAnsi="仿宋" w:eastAsia="仿宋"/>
          <w:b/>
          <w:bCs/>
          <w:sz w:val="32"/>
          <w:szCs w:val="32"/>
        </w:rPr>
        <w:t xml:space="preserve"> </w:t>
      </w:r>
      <w:r>
        <w:rPr>
          <w:rFonts w:hint="eastAsia" w:ascii="黑体" w:hAnsi="黑体" w:eastAsia="黑体"/>
          <w:sz w:val="32"/>
          <w:szCs w:val="32"/>
        </w:rPr>
        <w:t>三、部门整体支出绩效目标实现情况及指标分析</w:t>
      </w:r>
    </w:p>
    <w:p w14:paraId="371A44C5">
      <w:pPr>
        <w:numPr>
          <w:ilvl w:val="0"/>
          <w:numId w:val="4"/>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14:paraId="42B9477D">
      <w:pPr>
        <w:spacing w:line="560" w:lineRule="exact"/>
        <w:ind w:firstLine="640" w:firstLineChars="200"/>
        <w:rPr>
          <w:rFonts w:ascii="仿宋" w:hAnsi="仿宋" w:eastAsia="仿宋"/>
          <w:sz w:val="32"/>
          <w:szCs w:val="32"/>
        </w:rPr>
      </w:pPr>
      <w:r>
        <w:rPr>
          <w:rFonts w:hint="eastAsia" w:ascii="仿宋" w:hAnsi="仿宋" w:eastAsia="仿宋"/>
          <w:sz w:val="32"/>
          <w:szCs w:val="32"/>
        </w:rPr>
        <w:t>一是强化事中事后监管，释放商事制度改革红利；二是答好营商环境考卷，推动城乡经济融合发展；三是树立底线思维意识，构筑市场安全防护屏障；四是创新执法监管机制，维护社会公平竞争秩序；五是深化</w:t>
      </w:r>
      <w:r>
        <w:rPr>
          <w:rFonts w:hint="eastAsia" w:ascii="仿宋" w:hAnsi="仿宋" w:eastAsia="仿宋"/>
          <w:sz w:val="32"/>
          <w:szCs w:val="32"/>
          <w:lang w:eastAsia="zh-CN"/>
        </w:rPr>
        <w:t>党史学习教育</w:t>
      </w:r>
      <w:r>
        <w:rPr>
          <w:rFonts w:hint="eastAsia" w:ascii="仿宋" w:hAnsi="仿宋" w:eastAsia="仿宋"/>
          <w:sz w:val="32"/>
          <w:szCs w:val="32"/>
        </w:rPr>
        <w:t>成果，激励干部有担当善作为；六是聚焦问题清单攻坚，打好生态发展三场硬仗。</w:t>
      </w:r>
    </w:p>
    <w:p w14:paraId="563B5B34">
      <w:pPr>
        <w:spacing w:line="560" w:lineRule="exact"/>
        <w:rPr>
          <w:rFonts w:ascii="仿宋" w:hAnsi="仿宋" w:eastAsia="仿宋"/>
          <w:b/>
          <w:bCs/>
          <w:sz w:val="32"/>
          <w:szCs w:val="32"/>
        </w:rPr>
      </w:pPr>
      <w:r>
        <w:rPr>
          <w:rFonts w:ascii="仿宋" w:hAnsi="仿宋" w:eastAsia="仿宋"/>
          <w:b/>
          <w:bCs/>
          <w:sz w:val="32"/>
          <w:szCs w:val="32"/>
        </w:rPr>
        <w:t xml:space="preserve">   </w:t>
      </w:r>
      <w:r>
        <w:rPr>
          <w:rFonts w:ascii="仿宋" w:hAnsi="仿宋" w:eastAsia="仿宋" w:cs="楷体_GB2312"/>
          <w:b/>
          <w:bCs/>
          <w:sz w:val="32"/>
          <w:szCs w:val="32"/>
        </w:rPr>
        <w:t xml:space="preserve"> </w:t>
      </w:r>
      <w:r>
        <w:rPr>
          <w:rFonts w:hint="eastAsia" w:ascii="仿宋" w:hAnsi="仿宋" w:eastAsia="仿宋" w:cs="楷体_GB2312"/>
          <w:b/>
          <w:bCs/>
          <w:sz w:val="32"/>
          <w:szCs w:val="32"/>
        </w:rPr>
        <w:t>（二）分项绩效目标实现情况及指标分析</w:t>
      </w:r>
    </w:p>
    <w:p w14:paraId="7E7682B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rPr>
        <w:t>本部门实际完成的数量、质量、时效、成本指标分析如下：</w:t>
      </w:r>
      <w:r>
        <w:rPr>
          <w:rFonts w:hint="eastAsia" w:ascii="仿宋" w:hAnsi="仿宋" w:eastAsia="仿宋"/>
          <w:sz w:val="32"/>
          <w:szCs w:val="32"/>
          <w:lang w:val="en-US" w:eastAsia="zh-CN"/>
        </w:rPr>
        <w:t>一是严格食品安全监管。实行“日管控、周排查、月调度”，召集教育、公安等部门召开食品风险隐患会商会议，加强重点领域监管，开展校园周边食品安全提升行动，检查学校食堂368家次，发现问题186个；对中、高考13所学校食堂及7家养老服务单位环境卫生、进货查验、加工制作、餐饮具清洗消毒等环节进行摸排检查，发现问题83个，全部限期整改完成。检查农村商超、校园周边食品店、小餐桌累计1197户次，食品环节监督抽检886批次，对17批次抽检不合格食品进行核查处置。二是强化“药械妆”安全监管。重点开展非法渠道购药、执业药师“挂证”、药品“清源”行动、疫苗监督检查，检查药店88家，医疗器械经营企业29家，医疗器械使用单位23家，疫苗接种单位19家，抽检药品19批次，抽检医疗器械4批次，清理执业药师“挂证”线索46条，查处药品案件7起，审核上报药品不良反应报告537份，医疗器械不良事件报告198 份，化妆品不良反应报告71份。三是深化产品质量安全监管。开展高风险产品质量安全治理工作，抽检民用三表98块，水泥企业2家，液</w:t>
      </w:r>
      <w:r>
        <w:rPr>
          <w:rFonts w:hint="eastAsia" w:ascii="方正仿宋简体" w:hAnsi="方正仿宋简体" w:eastAsia="方正仿宋简体" w:cs="方正仿宋简体"/>
          <w:sz w:val="32"/>
          <w:szCs w:val="32"/>
          <w:lang w:val="en-US" w:eastAsia="zh-CN"/>
        </w:rPr>
        <w:t>化气3家，服装8批次，燃气软管1批次、成品油100批次，散煤6批次，型煤8批次，保温材料2批次，汽车充电桩74台。四是抓好特种设备安全监管。围绕电梯、气瓶充装、索道、游乐设施等重点领域，开展多轮专项检查与日常巡查，组织企业开展索道、电梯、游乐设施应急演练6次，提高应急处置能力。出动执法人员300余人次，检查特种设备使用单位200余家次，排查安全隐患154项，下达《特种设备安全监察指令书》75份，消除隐患154项。</w:t>
      </w:r>
    </w:p>
    <w:p w14:paraId="586D37E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本部门实际完成的经</w:t>
      </w:r>
      <w:r>
        <w:rPr>
          <w:rFonts w:hint="eastAsia" w:ascii="仿宋" w:hAnsi="仿宋" w:eastAsia="仿宋"/>
          <w:b w:val="0"/>
          <w:bCs w:val="0"/>
          <w:sz w:val="32"/>
          <w:szCs w:val="32"/>
        </w:rPr>
        <w:t>济效益、社会效益、生态效益、可持续发展效益指标分析如下：</w:t>
      </w:r>
      <w:r>
        <w:rPr>
          <w:rFonts w:hint="eastAsia" w:ascii="方正仿宋_GBK" w:hAnsi="方正仿宋_GBK" w:eastAsia="方正仿宋_GBK" w:cs="方正仿宋_GBK"/>
          <w:b w:val="0"/>
          <w:bCs w:val="0"/>
          <w:sz w:val="32"/>
          <w:szCs w:val="32"/>
          <w:lang w:val="en-US" w:eastAsia="zh-CN"/>
        </w:rPr>
        <w:t>一是优化外资登记。</w:t>
      </w:r>
      <w:r>
        <w:rPr>
          <w:rFonts w:hint="eastAsia" w:ascii="方正仿宋简体" w:hAnsi="方正仿宋简体" w:eastAsia="方正仿宋简体" w:cs="方正仿宋简体"/>
          <w:b w:val="0"/>
          <w:bCs w:val="0"/>
          <w:sz w:val="32"/>
          <w:szCs w:val="32"/>
          <w:lang w:val="en-US" w:eastAsia="zh-CN"/>
        </w:rPr>
        <w:t>加快推进外资企业登记注册网上办理，提升办理效率，压缩登记时间，材料齐全符合法定形式，做到即来即办。上半年办理外资注销登记1件，设立登记5件，变更登记9件。</w:t>
      </w:r>
      <w:r>
        <w:rPr>
          <w:rFonts w:hint="eastAsia" w:ascii="方正仿宋_GBK" w:hAnsi="方正仿宋_GBK" w:eastAsia="方正仿宋_GBK" w:cs="方正仿宋_GBK"/>
          <w:b w:val="0"/>
          <w:bCs w:val="0"/>
          <w:sz w:val="32"/>
          <w:szCs w:val="32"/>
          <w:lang w:val="en-US" w:eastAsia="zh-CN"/>
        </w:rPr>
        <w:t>二是实施信用服务。</w:t>
      </w:r>
      <w:r>
        <w:rPr>
          <w:rFonts w:hint="eastAsia" w:ascii="方正仿宋简体" w:hAnsi="方正仿宋简体" w:eastAsia="方正仿宋简体" w:cs="方正仿宋简体"/>
          <w:b w:val="0"/>
          <w:bCs w:val="0"/>
          <w:sz w:val="32"/>
          <w:szCs w:val="32"/>
          <w:lang w:val="en-US" w:eastAsia="zh-CN"/>
        </w:rPr>
        <w:t>召开部门联合“双随机、一公开”监管工作联席会议，联合部门检查任务占比87.5%，联合部门检查事项占100%，除重点监管外双随机覆盖率100%，低风险企业“无事不扰率”100%。</w:t>
      </w:r>
      <w:r>
        <w:rPr>
          <w:rFonts w:hint="eastAsia" w:ascii="方正仿宋简体" w:hAnsi="方正仿宋简体" w:eastAsia="方正仿宋简体" w:cs="方正仿宋简体"/>
          <w:b w:val="0"/>
          <w:bCs w:val="0"/>
          <w:color w:val="000000"/>
          <w:kern w:val="0"/>
          <w:sz w:val="31"/>
          <w:szCs w:val="31"/>
          <w:lang w:val="en-US" w:eastAsia="zh-CN" w:bidi="ar"/>
        </w:rPr>
        <w:t>精准修复“失信”企业48户，让企业“满血复活”，办理移除个体经营异常名录148户。</w:t>
      </w:r>
      <w:r>
        <w:rPr>
          <w:rFonts w:hint="eastAsia" w:ascii="方正仿宋_GBK" w:hAnsi="方正仿宋_GBK" w:eastAsia="方正仿宋_GBK" w:cs="方正仿宋_GBK"/>
          <w:b w:val="0"/>
          <w:bCs w:val="0"/>
          <w:sz w:val="32"/>
          <w:szCs w:val="32"/>
          <w:lang w:val="en-US" w:eastAsia="zh-CN"/>
        </w:rPr>
        <w:t>三是强化知识产权创造保护和运用。</w:t>
      </w:r>
      <w:r>
        <w:rPr>
          <w:rFonts w:hint="eastAsia" w:ascii="方正仿宋简体" w:hAnsi="方正仿宋简体" w:eastAsia="方正仿宋简体" w:cs="方正仿宋简体"/>
          <w:b w:val="0"/>
          <w:bCs w:val="0"/>
          <w:sz w:val="32"/>
          <w:szCs w:val="32"/>
          <w:lang w:val="en-US" w:eastAsia="zh-CN"/>
        </w:rPr>
        <w:t>以知识产权质押融资为平台，帮助企业拓宽融资渠道，解决融资难题，与县农商行联合服务，促成知识产权质押融资授信1300万元。新增发明专利授权4件，实用新型38件，外观设计6件，全县有效发明专利拥有量168件，每万人有效发明专利拥有量6.69件，上半年商标注册65件，有效数量2872件。</w:t>
      </w:r>
      <w:r>
        <w:rPr>
          <w:rFonts w:hint="eastAsia" w:ascii="方正仿宋_GBK" w:hAnsi="方正仿宋_GBK" w:eastAsia="方正仿宋_GBK" w:cs="方正仿宋_GBK"/>
          <w:b w:val="0"/>
          <w:bCs w:val="0"/>
          <w:sz w:val="32"/>
          <w:szCs w:val="32"/>
          <w:lang w:val="en-US" w:eastAsia="zh-CN"/>
        </w:rPr>
        <w:t>四是深入开展消费维权工作。</w:t>
      </w:r>
      <w:r>
        <w:rPr>
          <w:rFonts w:hint="eastAsia" w:ascii="方正仿宋简体" w:hAnsi="方正仿宋简体" w:eastAsia="方正仿宋简体" w:cs="方正仿宋简体"/>
          <w:b w:val="0"/>
          <w:bCs w:val="0"/>
          <w:sz w:val="32"/>
          <w:szCs w:val="32"/>
          <w:lang w:val="en-US" w:eastAsia="zh-CN"/>
        </w:rPr>
        <w:t>把群众诉求作为第一责任，认真受理解决消费者投诉举报，积极</w:t>
      </w:r>
      <w:r>
        <w:rPr>
          <w:rFonts w:hint="eastAsia" w:ascii="方正仿宋简体" w:hAnsi="方正仿宋简体" w:eastAsia="方正仿宋简体" w:cs="方正仿宋简体"/>
          <w:sz w:val="32"/>
          <w:szCs w:val="32"/>
          <w:lang w:val="en-US" w:eastAsia="zh-CN"/>
        </w:rPr>
        <w:t>做好消费者权益保护工作。共处置群众来电、来访、信件等投诉举报39件，12345投诉举报552件，12315投诉举报569件，全部按时办结，完成ODR企业70家。</w:t>
      </w:r>
    </w:p>
    <w:p w14:paraId="1668F31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79CA763">
      <w:pPr>
        <w:spacing w:line="560" w:lineRule="exact"/>
        <w:ind w:firstLine="640" w:firstLineChars="200"/>
        <w:rPr>
          <w:rFonts w:ascii="仿宋" w:hAnsi="仿宋" w:eastAsia="仿宋"/>
          <w:sz w:val="32"/>
          <w:szCs w:val="32"/>
        </w:rPr>
      </w:pPr>
      <w:r>
        <w:rPr>
          <w:rFonts w:hint="eastAsia" w:ascii="仿宋" w:hAnsi="仿宋" w:eastAsia="仿宋"/>
          <w:sz w:val="32"/>
          <w:szCs w:val="32"/>
        </w:rPr>
        <w:t>根据项目执行情况和项目绩效情况，本部门指标体系设定满分</w:t>
      </w:r>
      <w:r>
        <w:rPr>
          <w:rFonts w:ascii="仿宋" w:hAnsi="仿宋" w:eastAsia="仿宋"/>
          <w:sz w:val="32"/>
          <w:szCs w:val="32"/>
        </w:rPr>
        <w:t>100</w:t>
      </w:r>
      <w:r>
        <w:rPr>
          <w:rFonts w:hint="eastAsia" w:ascii="仿宋" w:hAnsi="仿宋" w:eastAsia="仿宋"/>
          <w:sz w:val="32"/>
          <w:szCs w:val="32"/>
        </w:rPr>
        <w:t>分，总得分为</w:t>
      </w:r>
      <w:r>
        <w:rPr>
          <w:rFonts w:ascii="仿宋" w:hAnsi="仿宋" w:eastAsia="仿宋"/>
          <w:sz w:val="32"/>
          <w:szCs w:val="32"/>
        </w:rPr>
        <w:t>9</w:t>
      </w:r>
      <w:r>
        <w:rPr>
          <w:rFonts w:hint="eastAsia" w:ascii="仿宋" w:hAnsi="仿宋" w:eastAsia="仿宋"/>
          <w:sz w:val="32"/>
          <w:szCs w:val="32"/>
          <w:lang w:val="en-US" w:eastAsia="zh-CN"/>
        </w:rPr>
        <w:t>4</w:t>
      </w:r>
      <w:r>
        <w:rPr>
          <w:rFonts w:hint="eastAsia" w:ascii="仿宋" w:hAnsi="仿宋" w:eastAsia="仿宋"/>
          <w:sz w:val="32"/>
          <w:szCs w:val="32"/>
        </w:rPr>
        <w:t>分，项目综合绩效评价分良好。</w:t>
      </w:r>
    </w:p>
    <w:p w14:paraId="6A506CA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2918236">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（一）存在的主要问题</w:t>
      </w:r>
    </w:p>
    <w:p w14:paraId="7887FC14">
      <w:pPr>
        <w:spacing w:line="56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、资金紧张，经费短缺，财政拨付专项经费只能勉强保障基本开支，设备更新、政府采购项目等无法满足需求。</w:t>
      </w:r>
    </w:p>
    <w:p w14:paraId="73B169D3">
      <w:pPr>
        <w:spacing w:line="560" w:lineRule="exact"/>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、质量监督检验所无法开展计量检定的工作，计量检定人员需具备计量师资格才可签字出具证书，缺少专业人员。</w:t>
      </w:r>
    </w:p>
    <w:p w14:paraId="6A82AD14">
      <w:pPr>
        <w:spacing w:line="560" w:lineRule="exact"/>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、基层执法车辆老化严重，濒临报废，而县级没有多余公车采购指标，多数存在安全隐患，专业技术车辆如：加油机流量车和检衡车辆都已达到半年一检。</w:t>
      </w:r>
    </w:p>
    <w:p w14:paraId="7CF612D1">
      <w:pPr>
        <w:spacing w:line="560" w:lineRule="exact"/>
        <w:ind w:firstLine="640" w:firstLineChars="200"/>
      </w:pPr>
      <w:r>
        <w:rPr>
          <w:rFonts w:ascii="仿宋" w:hAnsi="仿宋" w:eastAsia="仿宋"/>
          <w:sz w:val="32"/>
          <w:szCs w:val="32"/>
        </w:rPr>
        <w:t>4</w:t>
      </w:r>
      <w:r>
        <w:rPr>
          <w:rFonts w:hint="eastAsia" w:ascii="仿宋" w:hAnsi="仿宋" w:eastAsia="仿宋"/>
          <w:sz w:val="32"/>
          <w:szCs w:val="32"/>
        </w:rPr>
        <w:t>、质量强县战略推进氛围不浓，我县工业企业多为传统产业，没有科技新兴产业，主导产业、名牌产品带动行业的拉动力不足，在争取省、市政府质量奖评选上不占优势。</w:t>
      </w:r>
    </w:p>
    <w:p w14:paraId="350BD3F4">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（二）针对问题提出具体的改进措施或建议</w:t>
      </w:r>
    </w:p>
    <w:p w14:paraId="5241CB4F">
      <w:pPr>
        <w:spacing w:line="56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、创新工作方法，不断增强经费使用的针对性和实效性，切实增强工作水平。</w:t>
      </w:r>
    </w:p>
    <w:p w14:paraId="165A067F">
      <w:pPr>
        <w:spacing w:line="560" w:lineRule="exact"/>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、狠抓工作落实，定期或不定期开展关于经费使用情况的跟踪督查，对经费使用情况进行严格的跟踪问效管理，确保经费使用合理、高效。</w:t>
      </w:r>
    </w:p>
    <w:p w14:paraId="6B48D056">
      <w:pPr>
        <w:spacing w:line="560" w:lineRule="exact"/>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、进一步明确政府、监管部门、企业三方主体责任，完善质量考评体系，加强政府奖励举措，大力推进技术标准，引领产业升级。</w:t>
      </w:r>
    </w:p>
    <w:p w14:paraId="37B065CF">
      <w:pPr>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w:t>
      </w:r>
    </w:p>
    <w:p w14:paraId="5ADF5F4D">
      <w:pPr>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贾伟香</w:t>
      </w:r>
      <w:r>
        <w:rPr>
          <w:rFonts w:ascii="仿宋" w:hAnsi="仿宋" w:eastAsia="仿宋"/>
          <w:sz w:val="32"/>
          <w:szCs w:val="32"/>
        </w:rPr>
        <w:t xml:space="preserve">   </w:t>
      </w:r>
      <w:r>
        <w:rPr>
          <w:rFonts w:hint="eastAsia" w:ascii="仿宋" w:hAnsi="仿宋" w:eastAsia="仿宋"/>
          <w:sz w:val="32"/>
          <w:szCs w:val="32"/>
        </w:rPr>
        <w:t>市场监管局局长</w:t>
      </w:r>
    </w:p>
    <w:p w14:paraId="097F3CF5">
      <w:pPr>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武泽峰</w:t>
      </w:r>
      <w:r>
        <w:rPr>
          <w:rFonts w:ascii="仿宋" w:hAnsi="仿宋" w:eastAsia="仿宋"/>
          <w:sz w:val="32"/>
          <w:szCs w:val="32"/>
        </w:rPr>
        <w:t xml:space="preserve">   </w:t>
      </w:r>
      <w:r>
        <w:rPr>
          <w:rFonts w:hint="eastAsia" w:ascii="仿宋" w:hAnsi="仿宋" w:eastAsia="仿宋"/>
          <w:sz w:val="32"/>
          <w:szCs w:val="32"/>
        </w:rPr>
        <w:t>市场监管局副局长</w:t>
      </w:r>
    </w:p>
    <w:p w14:paraId="3EB86C31">
      <w:pPr>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范晓辉</w:t>
      </w:r>
      <w:r>
        <w:rPr>
          <w:rFonts w:ascii="仿宋" w:hAnsi="仿宋" w:eastAsia="仿宋"/>
          <w:sz w:val="32"/>
          <w:szCs w:val="32"/>
        </w:rPr>
        <w:t xml:space="preserve">   </w:t>
      </w:r>
      <w:r>
        <w:rPr>
          <w:rFonts w:hint="eastAsia" w:ascii="仿宋" w:hAnsi="仿宋" w:eastAsia="仿宋"/>
          <w:sz w:val="32"/>
          <w:szCs w:val="32"/>
        </w:rPr>
        <w:t>市场监管局办公室主任</w:t>
      </w:r>
    </w:p>
    <w:p w14:paraId="4B21C693">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10" w:usb3="00000000" w:csb0="00040000" w:csb1="00000000"/>
  </w:font>
  <w:font w:name="方正仿宋_GBK">
    <w:altName w:val="Arial Unicode MS"/>
    <w:panose1 w:val="02000000000000000000"/>
    <w:charset w:val="86"/>
    <w:family w:val="auto"/>
    <w:pitch w:val="default"/>
    <w:sig w:usb0="00000000" w:usb1="00000000" w:usb2="00000000" w:usb3="00000000" w:csb0="00040000" w:csb1="00000000"/>
  </w:font>
  <w:font w:name="华文楷体">
    <w:panose1 w:val="02010600040101010101"/>
    <w:charset w:val="86"/>
    <w:family w:val="roman"/>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10" w:usb3="00000000" w:csb0="00040000" w:csb1="00000000"/>
  </w:font>
  <w:font w:name="方正楷体_GBK">
    <w:altName w:val="Arial Unicode MS"/>
    <w:panose1 w:val="02000000000000000000"/>
    <w:charset w:val="86"/>
    <w:family w:val="auto"/>
    <w:pitch w:val="default"/>
    <w:sig w:usb0="00000000" w:usb1="0000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4FB9D">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692578FB">
                          <w:pPr>
                            <w:snapToGrid w:val="0"/>
                            <w:rPr>
                              <w:sz w:val="18"/>
                            </w:rPr>
                          </w:pPr>
                          <w:r>
                            <w:fldChar w:fldCharType="begin"/>
                          </w:r>
                          <w:r>
                            <w:instrText xml:space="preserve"> PAGE  \* MERGEFORMAT </w:instrText>
                          </w:r>
                          <w:r>
                            <w:fldChar w:fldCharType="separate"/>
                          </w:r>
                          <w:r>
                            <w:t>- 10 -</w:t>
                          </w:r>
                          <w: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dLiVLsQBAACrAwAADgAAAAAAAAABACAAAAAeAQAAZHJzL2Uyb0RvYy54bWxQ&#10;SwUGAAAAAAYABgBZAQAAVAUAAAAA&#10;">
              <v:fill on="f" focussize="0,0"/>
              <v:stroke on="f"/>
              <v:imagedata o:title=""/>
              <o:lock v:ext="edit" aspectratio="f"/>
              <v:textbox inset="0mm,0mm,0mm,0mm" style="mso-fit-shape-to-text:t;">
                <w:txbxContent>
                  <w:p w14:paraId="692578FB">
                    <w:pPr>
                      <w:snapToGrid w:val="0"/>
                      <w:rPr>
                        <w:sz w:val="18"/>
                      </w:rPr>
                    </w:pPr>
                    <w:r>
                      <w:fldChar w:fldCharType="begin"/>
                    </w:r>
                    <w:r>
                      <w:instrText xml:space="preserve"> PAGE  \* MERGEFORMAT </w:instrText>
                    </w:r>
                    <w:r>
                      <w:fldChar w:fldCharType="separate"/>
                    </w:r>
                    <w:r>
                      <w:t>- 10 -</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D418F0"/>
    <w:multiLevelType w:val="singleLevel"/>
    <w:tmpl w:val="FBD418F0"/>
    <w:lvl w:ilvl="0" w:tentative="0">
      <w:start w:val="10"/>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pPr>
      <w:rPr>
        <w:rFonts w:hint="eastAsia" w:cs="Times New Roman"/>
      </w:rPr>
    </w:lvl>
  </w:abstractNum>
  <w:abstractNum w:abstractNumId="2">
    <w:nsid w:val="598A036D"/>
    <w:multiLevelType w:val="singleLevel"/>
    <w:tmpl w:val="598A036D"/>
    <w:lvl w:ilvl="0" w:tentative="0">
      <w:start w:val="2"/>
      <w:numFmt w:val="chineseCounting"/>
      <w:suff w:val="nothing"/>
      <w:lvlText w:val="（%1）"/>
      <w:lvlJc w:val="left"/>
      <w:rPr>
        <w:rFonts w:hint="eastAsia" w:cs="Times New Roman"/>
      </w:rPr>
    </w:lvl>
  </w:abstractNum>
  <w:abstractNum w:abstractNumId="3">
    <w:nsid w:val="5E68489B"/>
    <w:multiLevelType w:val="singleLevel"/>
    <w:tmpl w:val="5E68489B"/>
    <w:lvl w:ilvl="0" w:tentative="0">
      <w:start w:val="1"/>
      <w:numFmt w:val="chineseCounting"/>
      <w:suff w:val="nothing"/>
      <w:lvlText w:val="（%1）"/>
      <w:lvlJc w:val="left"/>
      <w:rPr>
        <w:rFonts w:cs="Times New Roman"/>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JhN2FmMzA4M2U3YThmOGQzN2JkZWE0NWE1NWRiNzQifQ=="/>
  </w:docVars>
  <w:rsids>
    <w:rsidRoot w:val="0EBD2122"/>
    <w:rsid w:val="000570C6"/>
    <w:rsid w:val="00110EFF"/>
    <w:rsid w:val="00114CBB"/>
    <w:rsid w:val="001E4FFA"/>
    <w:rsid w:val="00255EAE"/>
    <w:rsid w:val="002D3961"/>
    <w:rsid w:val="003211CA"/>
    <w:rsid w:val="0032538C"/>
    <w:rsid w:val="005C38D6"/>
    <w:rsid w:val="005D7F92"/>
    <w:rsid w:val="00616546"/>
    <w:rsid w:val="00681037"/>
    <w:rsid w:val="006A22B3"/>
    <w:rsid w:val="00790866"/>
    <w:rsid w:val="007E6C1F"/>
    <w:rsid w:val="007F6559"/>
    <w:rsid w:val="008A0BF5"/>
    <w:rsid w:val="0099156A"/>
    <w:rsid w:val="00A37035"/>
    <w:rsid w:val="00AF566A"/>
    <w:rsid w:val="00B6553A"/>
    <w:rsid w:val="00CE08F4"/>
    <w:rsid w:val="00DB6E65"/>
    <w:rsid w:val="00F8566F"/>
    <w:rsid w:val="01B104CA"/>
    <w:rsid w:val="02106AB0"/>
    <w:rsid w:val="02B43A28"/>
    <w:rsid w:val="046F331E"/>
    <w:rsid w:val="07956271"/>
    <w:rsid w:val="09721397"/>
    <w:rsid w:val="0A9B0CB4"/>
    <w:rsid w:val="0BB63BED"/>
    <w:rsid w:val="0EB97A43"/>
    <w:rsid w:val="0EBD2122"/>
    <w:rsid w:val="0F214EAE"/>
    <w:rsid w:val="11B71E6A"/>
    <w:rsid w:val="159348F7"/>
    <w:rsid w:val="18C54257"/>
    <w:rsid w:val="1AAF0063"/>
    <w:rsid w:val="1BE140DE"/>
    <w:rsid w:val="248C197D"/>
    <w:rsid w:val="252959AF"/>
    <w:rsid w:val="277A6671"/>
    <w:rsid w:val="292D35B7"/>
    <w:rsid w:val="2F2A26AF"/>
    <w:rsid w:val="33D23A93"/>
    <w:rsid w:val="33EB6CFF"/>
    <w:rsid w:val="35A12947"/>
    <w:rsid w:val="37387040"/>
    <w:rsid w:val="375D3DB8"/>
    <w:rsid w:val="3B625C0A"/>
    <w:rsid w:val="3CEE1963"/>
    <w:rsid w:val="4C9C27FE"/>
    <w:rsid w:val="4EC87298"/>
    <w:rsid w:val="512260B4"/>
    <w:rsid w:val="52BD6ACB"/>
    <w:rsid w:val="54AB0645"/>
    <w:rsid w:val="55537534"/>
    <w:rsid w:val="561A74F1"/>
    <w:rsid w:val="58953AAF"/>
    <w:rsid w:val="59295ADF"/>
    <w:rsid w:val="597244E8"/>
    <w:rsid w:val="5E257683"/>
    <w:rsid w:val="5EB71C30"/>
    <w:rsid w:val="5F24793A"/>
    <w:rsid w:val="5F6B37BB"/>
    <w:rsid w:val="66AF0CE5"/>
    <w:rsid w:val="67EB21D0"/>
    <w:rsid w:val="6AC537CF"/>
    <w:rsid w:val="6BF66B70"/>
    <w:rsid w:val="6E5B14A6"/>
    <w:rsid w:val="711B255E"/>
    <w:rsid w:val="789F25A2"/>
    <w:rsid w:val="7BB51E06"/>
    <w:rsid w:val="7BED75DA"/>
    <w:rsid w:val="7C387F7C"/>
    <w:rsid w:val="7E106FBC"/>
    <w:rsid w:val="7F411A00"/>
    <w:rsid w:val="7FBDE14A"/>
    <w:rsid w:val="7FE83423"/>
    <w:rsid w:val="F7ED84FB"/>
    <w:rsid w:val="FF37D4E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35"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ocked="1"/>
    <w:lsdException w:unhideWhenUsed="0" w:uiPriority="0" w:semiHidden="0" w:name="Closing"/>
    <w:lsdException w:unhideWhenUsed="0" w:uiPriority="0" w:semiHidden="0" w:name="Signature"/>
    <w:lsdException w:qFormat="1" w:unhideWhenUsed="0" w:uiPriority="99"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ocked="1"/>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ocked="1"/>
    <w:lsdException w:qFormat="1" w:unhideWhenUsed="0" w:uiPriority="2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0" w:semiHidden="0" w:name="Balloon Text"/>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next w:val="1"/>
    <w:link w:val="10"/>
    <w:qFormat/>
    <w:uiPriority w:val="99"/>
    <w:pPr>
      <w:spacing w:after="120"/>
      <w:ind w:left="420" w:leftChars="200"/>
    </w:pPr>
  </w:style>
  <w:style w:type="paragraph" w:styleId="4">
    <w:name w:val="footer"/>
    <w:basedOn w:val="1"/>
    <w:link w:val="11"/>
    <w:qFormat/>
    <w:uiPriority w:val="99"/>
    <w:pPr>
      <w:tabs>
        <w:tab w:val="center" w:pos="4153"/>
        <w:tab w:val="right" w:pos="8306"/>
      </w:tabs>
      <w:snapToGrid w:val="0"/>
      <w:jc w:val="left"/>
    </w:pPr>
    <w:rPr>
      <w:sz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Body Text First Indent 2"/>
    <w:basedOn w:val="3"/>
    <w:next w:val="4"/>
    <w:link w:val="13"/>
    <w:qFormat/>
    <w:uiPriority w:val="99"/>
    <w:pPr>
      <w:ind w:firstLine="420" w:firstLineChars="200"/>
    </w:pPr>
  </w:style>
  <w:style w:type="character" w:customStyle="1" w:styleId="9">
    <w:name w:val="Heading 1 Char"/>
    <w:basedOn w:val="8"/>
    <w:link w:val="2"/>
    <w:qFormat/>
    <w:locked/>
    <w:uiPriority w:val="99"/>
    <w:rPr>
      <w:rFonts w:ascii="Calibri" w:hAnsi="Calibri" w:cs="黑体"/>
      <w:b/>
      <w:bCs/>
      <w:kern w:val="44"/>
      <w:sz w:val="44"/>
      <w:szCs w:val="44"/>
    </w:rPr>
  </w:style>
  <w:style w:type="character" w:customStyle="1" w:styleId="10">
    <w:name w:val="Body Text Indent Char"/>
    <w:basedOn w:val="8"/>
    <w:link w:val="3"/>
    <w:semiHidden/>
    <w:qFormat/>
    <w:locked/>
    <w:uiPriority w:val="99"/>
    <w:rPr>
      <w:rFonts w:ascii="Calibri" w:hAnsi="Calibri" w:cs="黑体"/>
    </w:rPr>
  </w:style>
  <w:style w:type="character" w:customStyle="1" w:styleId="11">
    <w:name w:val="Footer Char"/>
    <w:basedOn w:val="8"/>
    <w:link w:val="4"/>
    <w:semiHidden/>
    <w:qFormat/>
    <w:locked/>
    <w:uiPriority w:val="99"/>
    <w:rPr>
      <w:rFonts w:ascii="Calibri" w:hAnsi="Calibri" w:cs="黑体"/>
      <w:sz w:val="18"/>
      <w:szCs w:val="18"/>
    </w:rPr>
  </w:style>
  <w:style w:type="character" w:customStyle="1" w:styleId="12">
    <w:name w:val="Header Char"/>
    <w:basedOn w:val="8"/>
    <w:link w:val="5"/>
    <w:semiHidden/>
    <w:qFormat/>
    <w:locked/>
    <w:uiPriority w:val="99"/>
    <w:rPr>
      <w:rFonts w:ascii="Calibri" w:hAnsi="Calibri" w:cs="黑体"/>
      <w:sz w:val="18"/>
      <w:szCs w:val="18"/>
    </w:rPr>
  </w:style>
  <w:style w:type="character" w:customStyle="1" w:styleId="13">
    <w:name w:val="Body Text First Indent 2 Char"/>
    <w:basedOn w:val="10"/>
    <w:link w:val="6"/>
    <w:semiHidden/>
    <w:qFormat/>
    <w:locked/>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14</Pages>
  <Words>6666</Words>
  <Characters>6834</Characters>
  <Lines>0</Lines>
  <Paragraphs>0</Paragraphs>
  <TotalTime>14</TotalTime>
  <ScaleCrop>false</ScaleCrop>
  <LinksUpToDate>false</LinksUpToDate>
  <CharactersWithSpaces>6872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Fiona</cp:lastModifiedBy>
  <cp:lastPrinted>2026-04-14T18:06:00Z</cp:lastPrinted>
  <dcterms:modified xsi:type="dcterms:W3CDTF">2026-05-09T01:04:14Z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56FC5EF63ACF38BCB296DD6952F3E915_43</vt:lpwstr>
  </property>
  <property fmtid="{D5CDD505-2E9C-101B-9397-08002B2CF9AE}" pid="4" name="KSOTemplateDocerSaveRecord">
    <vt:lpwstr>eyJoZGlkIjoiZmNlYjhkODkzODVhZDQxZTIyOGFkZGVhMzBkNTUzZmEiLCJ1c2VySWQiOiIyNDgyNjgxOTkifQ==</vt:lpwstr>
  </property>
</Properties>
</file>