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ind w:firstLine="1766" w:firstLineChars="400"/>
        <w:jc w:val="both"/>
        <w:rPr>
          <w:rFonts w:hint="eastAsia" w:ascii="宋体" w:hAnsi="宋体" w:cs="宋体"/>
          <w:b/>
          <w:bCs/>
          <w:sz w:val="44"/>
          <w:szCs w:val="44"/>
        </w:rPr>
      </w:pPr>
      <w:r>
        <w:rPr>
          <w:rFonts w:hint="eastAsia" w:ascii="宋体" w:hAnsi="宋体" w:cs="宋体"/>
          <w:b/>
          <w:bCs/>
          <w:sz w:val="44"/>
          <w:szCs w:val="44"/>
          <w:lang w:eastAsia="zh-CN"/>
        </w:rPr>
        <w:t>井陉县孙庄乡人民政府</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井陉县孙庄乡人民政府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孙庄乡</w:t>
      </w:r>
      <w:r>
        <w:rPr>
          <w:rFonts w:hint="eastAsia" w:ascii="仿宋" w:hAnsi="仿宋" w:eastAsia="仿宋"/>
          <w:sz w:val="32"/>
          <w:szCs w:val="32"/>
        </w:rPr>
        <w:t>人民政府主要职责为：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eastAsia="zh-CN"/>
        </w:rPr>
        <w:t>孙庄乡</w:t>
      </w:r>
      <w:r>
        <w:rPr>
          <w:rFonts w:hint="eastAsia" w:ascii="仿宋" w:hAnsi="仿宋" w:eastAsia="仿宋"/>
          <w:sz w:val="32"/>
          <w:szCs w:val="32"/>
        </w:rPr>
        <w:t>农业综合服务中心主要职责为：负责配合农口部门（农、林、牧、水）做好农业技术服务和技术推广工作，动物防疫工作；加强农田水利基本建设，增强农业抗御自然灾害的能力。做好农村一事一议项目管理。</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孙庄乡</w:t>
      </w:r>
      <w:r>
        <w:rPr>
          <w:rFonts w:hint="eastAsia" w:ascii="仿宋" w:hAnsi="仿宋" w:eastAsia="仿宋"/>
          <w:sz w:val="32"/>
          <w:szCs w:val="32"/>
        </w:rPr>
        <w:t>卫生和计划生育服务中心主要职责：配合食品药品监督管理的协调、督导，做好新型农村合作医疗等卫生方面工作，负责计划生育技术服务及人口生育管理，负责育龄妇女普查、妇女病防治、四术及协会等项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孙庄乡</w:t>
      </w:r>
      <w:r>
        <w:rPr>
          <w:rFonts w:hint="eastAsia" w:ascii="仿宋" w:hAnsi="仿宋" w:eastAsia="仿宋"/>
          <w:sz w:val="32"/>
          <w:szCs w:val="32"/>
        </w:rPr>
        <w:t>文化服务中心主要职责：负责群众文化娱乐、体育活动、广播电视村村通等工作。</w:t>
      </w:r>
    </w:p>
    <w:p>
      <w:pPr>
        <w:keepNext/>
        <w:keepLines/>
        <w:numPr>
          <w:ilvl w:val="0"/>
          <w:numId w:val="1"/>
        </w:numPr>
        <w:spacing w:line="580" w:lineRule="exact"/>
        <w:jc w:val="left"/>
        <w:outlineLvl w:val="0"/>
        <w:rPr>
          <w:rFonts w:hint="eastAsia" w:ascii="黑体" w:hAnsi="Calibri" w:eastAsia="黑体" w:cs="黑体"/>
          <w:kern w:val="0"/>
          <w:sz w:val="32"/>
          <w:szCs w:val="32"/>
        </w:rPr>
      </w:pPr>
      <w:r>
        <w:rPr>
          <w:rFonts w:hint="eastAsia" w:ascii="黑体" w:hAnsi="Calibri" w:eastAsia="黑体" w:cs="黑体"/>
          <w:kern w:val="0"/>
          <w:sz w:val="32"/>
          <w:szCs w:val="32"/>
        </w:rPr>
        <w:t>机构设置</w:t>
      </w:r>
    </w:p>
    <w:p>
      <w:pPr>
        <w:adjustRightInd w:val="0"/>
        <w:snapToGrid w:val="0"/>
        <w:spacing w:line="560" w:lineRule="exact"/>
        <w:rPr>
          <w:rFonts w:hint="eastAsia" w:ascii="仿宋" w:hAnsi="仿宋" w:eastAsia="仿宋"/>
          <w:sz w:val="32"/>
          <w:szCs w:val="32"/>
          <w:lang w:eastAsia="zh-CN"/>
        </w:rPr>
      </w:pPr>
      <w:r>
        <w:rPr>
          <w:rFonts w:hint="eastAsia" w:ascii="仿宋" w:hAnsi="仿宋" w:eastAsia="仿宋"/>
          <w:sz w:val="32"/>
          <w:szCs w:val="32"/>
          <w:lang w:eastAsia="zh-CN"/>
        </w:rPr>
        <w:t>（一）部门概况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根据《井陉县孙庄乡人民政府职能配置、内设机构和人员编制规定》，井陉县孙庄乡人民政府的主要职责是：落实国家政策，严格依法行政，发挥经济管理职能，加强政策引导，制定发民规划，服务市场主体和营造发展环境，搞好市场监管，大国促进社会事业发展，发展乡村经济、文化和社会事业，提供公共服务，维护社会稳定，构建社会主义和谐社会。</w:t>
      </w:r>
    </w:p>
    <w:p>
      <w:pPr>
        <w:ind w:firstLine="3533" w:firstLineChars="1100"/>
        <w:jc w:val="both"/>
        <w:rPr>
          <w:rFonts w:hint="eastAsia" w:cs="方正仿宋简体" w:asciiTheme="minorEastAsia" w:hAnsiTheme="minorEastAsia"/>
          <w:b/>
          <w:bCs/>
          <w:sz w:val="32"/>
          <w:szCs w:val="32"/>
          <w:lang w:eastAsia="zh-CN"/>
        </w:rPr>
      </w:pPr>
      <w:r>
        <w:rPr>
          <w:rFonts w:hint="eastAsia" w:cs="方正仿宋简体" w:asciiTheme="minorEastAsia" w:hAnsiTheme="minorEastAsia"/>
          <w:b/>
          <w:bCs/>
          <w:sz w:val="32"/>
          <w:szCs w:val="32"/>
          <w:lang w:eastAsia="zh-CN"/>
        </w:rPr>
        <w:t>部门机构设置情况</w:t>
      </w:r>
    </w:p>
    <w:tbl>
      <w:tblPr>
        <w:tblStyle w:val="7"/>
        <w:tblpPr w:leftFromText="180" w:rightFromText="180" w:vertAnchor="text" w:horzAnchor="page" w:tblpXSpec="center" w:tblpY="96"/>
        <w:tblOverlap w:val="never"/>
        <w:tblW w:w="471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372"/>
        <w:gridCol w:w="1503"/>
        <w:gridCol w:w="1223"/>
        <w:gridCol w:w="24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tblHeader/>
          <w:jc w:val="center"/>
        </w:trPr>
        <w:tc>
          <w:tcPr>
            <w:tcW w:w="1975" w:type="pct"/>
            <w:noWrap w:val="0"/>
            <w:vAlign w:val="center"/>
          </w:tcPr>
          <w:p>
            <w:pPr>
              <w:jc w:val="center"/>
              <w:rPr>
                <w:rFonts w:hint="eastAsia"/>
                <w:b/>
                <w:bCs/>
                <w:lang w:eastAsia="zh-CN"/>
              </w:rPr>
            </w:pPr>
            <w:r>
              <w:rPr>
                <w:rFonts w:hint="eastAsia"/>
                <w:b/>
                <w:bCs/>
                <w:lang w:eastAsia="zh-CN"/>
              </w:rPr>
              <w:t>单位名称</w:t>
            </w:r>
          </w:p>
        </w:tc>
        <w:tc>
          <w:tcPr>
            <w:tcW w:w="880" w:type="pct"/>
            <w:noWrap w:val="0"/>
            <w:vAlign w:val="center"/>
          </w:tcPr>
          <w:p>
            <w:pPr>
              <w:jc w:val="center"/>
              <w:rPr>
                <w:rFonts w:hint="eastAsia"/>
                <w:b/>
                <w:bCs/>
                <w:lang w:eastAsia="zh-CN"/>
              </w:rPr>
            </w:pPr>
            <w:r>
              <w:rPr>
                <w:rFonts w:hint="eastAsia"/>
                <w:b/>
                <w:bCs/>
                <w:lang w:eastAsia="zh-CN"/>
              </w:rPr>
              <w:t>单位性质</w:t>
            </w:r>
          </w:p>
        </w:tc>
        <w:tc>
          <w:tcPr>
            <w:tcW w:w="716" w:type="pct"/>
            <w:noWrap w:val="0"/>
            <w:vAlign w:val="center"/>
          </w:tcPr>
          <w:p>
            <w:pPr>
              <w:jc w:val="center"/>
              <w:rPr>
                <w:rFonts w:hint="eastAsia"/>
                <w:b/>
                <w:bCs/>
                <w:lang w:eastAsia="zh-CN"/>
              </w:rPr>
            </w:pPr>
            <w:r>
              <w:rPr>
                <w:rFonts w:hint="eastAsia"/>
                <w:b/>
                <w:bCs/>
                <w:lang w:eastAsia="zh-CN"/>
              </w:rPr>
              <w:t>单位规格</w:t>
            </w:r>
          </w:p>
        </w:tc>
        <w:tc>
          <w:tcPr>
            <w:tcW w:w="1427" w:type="pct"/>
            <w:noWrap w:val="0"/>
            <w:vAlign w:val="center"/>
          </w:tcPr>
          <w:p>
            <w:pPr>
              <w:jc w:val="center"/>
              <w:rPr>
                <w:rFonts w:hint="eastAsia"/>
                <w:b/>
                <w:bCs/>
                <w:lang w:eastAsia="zh-CN"/>
              </w:rPr>
            </w:pPr>
            <w:r>
              <w:rPr>
                <w:rFonts w:hint="eastAsia"/>
                <w:b/>
                <w:bCs/>
                <w:lang w:eastAsia="zh-CN"/>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eastAsia="宋体" w:cs="方正仿宋简体" w:asciiTheme="minorEastAsia" w:hAnsiTheme="minorEastAsia"/>
                <w:sz w:val="18"/>
                <w:szCs w:val="18"/>
                <w:lang w:eastAsia="zh-CN"/>
              </w:rPr>
              <w:t>孙庄</w:t>
            </w:r>
            <w:r>
              <w:rPr>
                <w:rFonts w:hint="eastAsia" w:cs="方正仿宋简体" w:asciiTheme="minorEastAsia" w:hAnsiTheme="minorEastAsia"/>
                <w:sz w:val="18"/>
                <w:szCs w:val="18"/>
                <w:lang w:eastAsia="zh-CN"/>
              </w:rPr>
              <w:t>乡人民政府本级</w:t>
            </w:r>
          </w:p>
        </w:tc>
        <w:tc>
          <w:tcPr>
            <w:tcW w:w="880"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行政</w:t>
            </w:r>
          </w:p>
        </w:tc>
        <w:tc>
          <w:tcPr>
            <w:tcW w:w="716"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正科级</w:t>
            </w:r>
          </w:p>
        </w:tc>
        <w:tc>
          <w:tcPr>
            <w:tcW w:w="1427"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eastAsia="宋体" w:cs="方正仿宋简体" w:asciiTheme="minorEastAsia" w:hAnsiTheme="minorEastAsia"/>
                <w:sz w:val="18"/>
                <w:szCs w:val="18"/>
                <w:lang w:eastAsia="zh-CN"/>
              </w:rPr>
              <w:t>孙庄</w:t>
            </w:r>
            <w:r>
              <w:rPr>
                <w:rFonts w:hint="eastAsia" w:cs="方正仿宋简体" w:asciiTheme="minorEastAsia" w:hAnsiTheme="minorEastAsia"/>
                <w:sz w:val="18"/>
                <w:szCs w:val="18"/>
                <w:lang w:eastAsia="zh-CN"/>
              </w:rPr>
              <w:t>乡综合行政执法队</w:t>
            </w:r>
          </w:p>
        </w:tc>
        <w:tc>
          <w:tcPr>
            <w:tcW w:w="880"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eastAsia="宋体" w:cs="方正仿宋简体" w:asciiTheme="minorEastAsia" w:hAnsiTheme="minorEastAsia"/>
                <w:sz w:val="18"/>
                <w:szCs w:val="18"/>
                <w:lang w:eastAsia="zh-CN"/>
              </w:rPr>
              <w:t>孙庄</w:t>
            </w:r>
            <w:r>
              <w:rPr>
                <w:rFonts w:hint="eastAsia" w:cs="方正仿宋简体" w:asciiTheme="minorEastAsia" w:hAnsiTheme="minorEastAsia"/>
                <w:sz w:val="18"/>
                <w:szCs w:val="18"/>
                <w:lang w:eastAsia="zh-CN"/>
              </w:rPr>
              <w:t>乡行政综合服务中心</w:t>
            </w:r>
          </w:p>
        </w:tc>
        <w:tc>
          <w:tcPr>
            <w:tcW w:w="880"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6" w:hRule="exact"/>
          <w:jc w:val="center"/>
        </w:trPr>
        <w:tc>
          <w:tcPr>
            <w:tcW w:w="1975"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w:t>
            </w:r>
            <w:r>
              <w:rPr>
                <w:rFonts w:hint="eastAsia" w:eastAsia="宋体" w:cs="方正仿宋简体" w:asciiTheme="minorEastAsia" w:hAnsiTheme="minorEastAsia"/>
                <w:sz w:val="18"/>
                <w:szCs w:val="18"/>
                <w:lang w:eastAsia="zh-CN"/>
              </w:rPr>
              <w:t>孙庄</w:t>
            </w:r>
            <w:r>
              <w:rPr>
                <w:rFonts w:hint="eastAsia" w:cs="方正仿宋简体" w:asciiTheme="minorEastAsia" w:hAnsiTheme="minorEastAsia"/>
                <w:sz w:val="18"/>
                <w:szCs w:val="18"/>
                <w:lang w:eastAsia="zh-CN"/>
              </w:rPr>
              <w:t>乡农业综合服务中心</w:t>
            </w:r>
          </w:p>
        </w:tc>
        <w:tc>
          <w:tcPr>
            <w:tcW w:w="880"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bl>
    <w:p>
      <w:pPr>
        <w:adjustRightInd w:val="0"/>
        <w:snapToGrid w:val="0"/>
        <w:spacing w:line="560" w:lineRule="exact"/>
        <w:rPr>
          <w:rFonts w:hint="eastAsia" w:ascii="仿宋" w:hAnsi="仿宋" w:eastAsia="仿宋"/>
          <w:sz w:val="32"/>
          <w:szCs w:val="32"/>
          <w:lang w:eastAsia="zh-CN"/>
        </w:rPr>
      </w:pPr>
      <w:r>
        <w:rPr>
          <w:rFonts w:hint="eastAsia" w:ascii="仿宋" w:hAnsi="仿宋" w:eastAsia="仿宋"/>
          <w:sz w:val="32"/>
          <w:szCs w:val="32"/>
          <w:lang w:eastAsia="zh-CN"/>
        </w:rPr>
        <w:t>（二）部门收支预决算情况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2025年度我部门预算收入总计为874.32万元，与2024年754.52万元相比增加119.8万元，总收入增加15.8%，主要因2025年我部门项目资金增加。</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2025年度我部门决算支出为874.32万元，与上年度754.52万元相比增加119.8万元，增长15.8%。主要因本年我部门今年较上年项目支出增加。</w:t>
      </w:r>
    </w:p>
    <w:p>
      <w:pPr>
        <w:adjustRightInd w:val="0"/>
        <w:snapToGrid w:val="0"/>
        <w:spacing w:line="560" w:lineRule="exact"/>
        <w:rPr>
          <w:rFonts w:hint="eastAsia" w:ascii="仿宋" w:hAnsi="仿宋" w:eastAsia="仿宋"/>
          <w:sz w:val="32"/>
          <w:szCs w:val="32"/>
          <w:lang w:eastAsia="zh-CN"/>
        </w:rPr>
      </w:pPr>
      <w:r>
        <w:rPr>
          <w:rFonts w:hint="eastAsia" w:ascii="仿宋" w:hAnsi="仿宋" w:eastAsia="仿宋"/>
          <w:sz w:val="32"/>
          <w:szCs w:val="32"/>
          <w:lang w:eastAsia="zh-CN"/>
        </w:rPr>
        <w:t>（三）部门整体支出绩效目标、指标</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承担城乡建设、生态环境、文化市场、农业农村、安全生产、民族宗教等领域行政执法工作。配合县直相关部门做好授权、委托事项之外的其他领域行政执法工作。</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乡财政预决算，负责乡政府预算单位的财务管理和核算，负责村级资金核拨和监督管理等相关工作。</w:t>
      </w:r>
    </w:p>
    <w:p>
      <w:pPr>
        <w:autoSpaceDE w:val="0"/>
        <w:autoSpaceDN w:val="0"/>
        <w:adjustRightInd w:val="0"/>
        <w:ind w:firstLine="480" w:firstLineChars="150"/>
        <w:jc w:val="left"/>
        <w:rPr>
          <w:rFonts w:hint="eastAsia" w:ascii="仿宋" w:hAnsi="仿宋" w:eastAsia="仿宋" w:cs="仿宋"/>
          <w:sz w:val="32"/>
          <w:szCs w:val="32"/>
        </w:rPr>
      </w:pPr>
      <w:r>
        <w:rPr>
          <w:rFonts w:hint="eastAsia" w:ascii="仿宋" w:hAnsi="仿宋" w:eastAsia="仿宋"/>
          <w:sz w:val="32"/>
          <w:szCs w:val="32"/>
          <w:lang w:eastAsia="zh-CN"/>
        </w:rPr>
        <w:t xml:space="preserve"> 负责配合农口部门（农、林、牧、水）做好农业技术服务和技术推广工作，动物防疫工作；加强农田水利基本建设，增强农业抗御自然灾害的能力。做好农村一事一议项目管理。</w:t>
      </w:r>
      <w:r>
        <w:rPr>
          <w:rFonts w:hint="eastAsia" w:ascii="仿宋" w:hAnsi="仿宋" w:eastAsia="仿宋" w:cs="仿宋"/>
          <w:sz w:val="32"/>
          <w:szCs w:val="32"/>
        </w:rPr>
        <w:t>健全各项制度机制，全面精准摸底完善建档立卡，建立镇村信息平台；落实安置和帮扶措施，做好困难军人的救助、社保、和就业创业工作；建立常态走访慰问机制。</w:t>
      </w:r>
    </w:p>
    <w:p>
      <w:pPr>
        <w:numPr>
          <w:ilvl w:val="0"/>
          <w:numId w:val="2"/>
        </w:numPr>
        <w:adjustRightInd w:val="0"/>
        <w:snapToGrid w:val="0"/>
        <w:spacing w:line="560" w:lineRule="exact"/>
        <w:rPr>
          <w:rFonts w:hint="eastAsia" w:ascii="黑体" w:hAnsi="黑体" w:eastAsia="黑体"/>
          <w:sz w:val="32"/>
          <w:szCs w:val="32"/>
        </w:rPr>
      </w:pPr>
      <w:r>
        <w:rPr>
          <w:rFonts w:hint="eastAsia" w:ascii="黑体" w:hAnsi="黑体" w:eastAsia="黑体"/>
          <w:sz w:val="32"/>
          <w:szCs w:val="32"/>
        </w:rPr>
        <w:t>自评工作开展情况</w:t>
      </w:r>
    </w:p>
    <w:p>
      <w:pPr>
        <w:autoSpaceDE w:val="0"/>
        <w:autoSpaceDN w:val="0"/>
        <w:adjustRightInd w:val="0"/>
        <w:jc w:val="left"/>
        <w:rPr>
          <w:rFonts w:hint="eastAsia" w:ascii="仿宋" w:hAnsi="仿宋" w:eastAsia="仿宋"/>
          <w:sz w:val="32"/>
          <w:szCs w:val="32"/>
          <w:lang w:eastAsia="zh-CN"/>
        </w:rPr>
      </w:pPr>
      <w:r>
        <w:rPr>
          <w:rFonts w:hint="eastAsia" w:ascii="仿宋" w:hAnsi="仿宋" w:eastAsia="仿宋"/>
          <w:sz w:val="32"/>
          <w:szCs w:val="32"/>
          <w:lang w:eastAsia="zh-CN"/>
        </w:rPr>
        <w:t>（一）自评的组织工作</w:t>
      </w:r>
    </w:p>
    <w:p>
      <w:pPr>
        <w:autoSpaceDE w:val="0"/>
        <w:autoSpaceDN w:val="0"/>
        <w:adjustRightInd w:val="0"/>
        <w:ind w:firstLine="480" w:firstLineChars="150"/>
        <w:jc w:val="left"/>
        <w:rPr>
          <w:rFonts w:hint="eastAsia" w:ascii="仿宋" w:hAnsi="仿宋" w:eastAsia="仿宋"/>
          <w:sz w:val="32"/>
          <w:szCs w:val="32"/>
          <w:lang w:eastAsia="zh-CN"/>
        </w:rPr>
      </w:pPr>
      <w:r>
        <w:rPr>
          <w:rFonts w:hint="eastAsia" w:ascii="仿宋" w:hAnsi="仿宋" w:eastAsia="仿宋"/>
          <w:sz w:val="32"/>
          <w:szCs w:val="32"/>
          <w:lang w:eastAsia="zh-CN"/>
        </w:rPr>
        <w:t>根据评价工作要求，全面收集评价所需基础信息资料（包括被评价单位的基本概况、财政资金的使用情况和绩效自评资料等），对资料进行分类整理、审查和分析。到项目实施现场勘察、核实所掌握的有关信息资料，满足评价工作需要。按照工作方案确定的评价指标体系、评价标准和评价方法，依据所收集的资料，对评价对象的绩效情况进行量、定性分析和综合评价，形成评价结论。</w:t>
      </w:r>
    </w:p>
    <w:p>
      <w:pPr>
        <w:autoSpaceDE w:val="0"/>
        <w:autoSpaceDN w:val="0"/>
        <w:adjustRightInd w:val="0"/>
        <w:jc w:val="left"/>
        <w:rPr>
          <w:rFonts w:hint="eastAsia" w:ascii="仿宋" w:hAnsi="仿宋" w:eastAsia="仿宋"/>
          <w:sz w:val="32"/>
          <w:szCs w:val="32"/>
          <w:lang w:eastAsia="zh-CN"/>
        </w:rPr>
      </w:pPr>
      <w:r>
        <w:rPr>
          <w:rFonts w:hint="eastAsia" w:ascii="仿宋" w:hAnsi="仿宋" w:eastAsia="仿宋"/>
          <w:sz w:val="32"/>
          <w:szCs w:val="32"/>
          <w:lang w:eastAsia="zh-CN"/>
        </w:rPr>
        <w:t>（二）自评的方法和过程</w:t>
      </w:r>
    </w:p>
    <w:p>
      <w:pPr>
        <w:autoSpaceDE w:val="0"/>
        <w:autoSpaceDN w:val="0"/>
        <w:adjustRightInd w:val="0"/>
        <w:ind w:firstLine="480" w:firstLineChars="150"/>
        <w:jc w:val="left"/>
        <w:rPr>
          <w:rFonts w:hint="eastAsia" w:ascii="仿宋" w:hAnsi="仿宋" w:eastAsia="仿宋"/>
          <w:sz w:val="32"/>
          <w:szCs w:val="32"/>
          <w:lang w:eastAsia="zh-CN"/>
        </w:rPr>
      </w:pPr>
      <w:r>
        <w:rPr>
          <w:rFonts w:hint="eastAsia" w:ascii="仿宋" w:hAnsi="仿宋" w:eastAsia="仿宋"/>
          <w:sz w:val="32"/>
          <w:szCs w:val="32"/>
          <w:lang w:eastAsia="zh-CN"/>
        </w:rPr>
        <w:t>1、成立自评工作领导小组，明确自评小组责任，根据相关法律、法规及方针政策、规章制度、预算批复时确定的绩效目标及指标，县级预算部门年度预算执行情况、年度决算报告等相关材料制定自评管理方法，制定评分机制。</w:t>
      </w:r>
    </w:p>
    <w:p>
      <w:pPr>
        <w:autoSpaceDE w:val="0"/>
        <w:autoSpaceDN w:val="0"/>
        <w:adjustRightInd w:val="0"/>
        <w:ind w:firstLine="480" w:firstLineChars="150"/>
        <w:jc w:val="left"/>
        <w:rPr>
          <w:rFonts w:hint="eastAsia" w:ascii="仿宋" w:hAnsi="仿宋" w:eastAsia="仿宋"/>
          <w:sz w:val="32"/>
          <w:szCs w:val="32"/>
          <w:lang w:eastAsia="zh-CN"/>
        </w:rPr>
      </w:pPr>
      <w:r>
        <w:rPr>
          <w:rFonts w:hint="eastAsia" w:ascii="仿宋" w:hAnsi="仿宋" w:eastAsia="仿宋"/>
          <w:sz w:val="32"/>
          <w:szCs w:val="32"/>
          <w:lang w:eastAsia="zh-CN"/>
        </w:rPr>
        <w:t>2、绩效信息收集。年度预算执行完成后，及时组织本部门和所属单位全面收集、系统整理预算项目绩效完成信息，确认各项绩效指标实际完成值或实现程度。</w:t>
      </w:r>
    </w:p>
    <w:p>
      <w:pPr>
        <w:autoSpaceDE w:val="0"/>
        <w:autoSpaceDN w:val="0"/>
        <w:adjustRightInd w:val="0"/>
        <w:ind w:firstLine="480" w:firstLineChars="150"/>
        <w:jc w:val="left"/>
        <w:rPr>
          <w:rFonts w:hint="eastAsia" w:ascii="仿宋" w:hAnsi="仿宋" w:eastAsia="仿宋"/>
          <w:sz w:val="32"/>
          <w:szCs w:val="32"/>
          <w:lang w:eastAsia="zh-CN"/>
        </w:rPr>
      </w:pPr>
      <w:r>
        <w:rPr>
          <w:rFonts w:hint="eastAsia" w:ascii="仿宋" w:hAnsi="仿宋" w:eastAsia="仿宋"/>
          <w:sz w:val="32"/>
          <w:szCs w:val="32"/>
          <w:lang w:eastAsia="zh-CN"/>
        </w:rPr>
        <w:t>3、绩效自评打分。将绩效指标实际完成值（实现程度）与年初设定的预期值相比较，逐项评定每项指标得分，汇总形成预算项目绩效自评得分。</w:t>
      </w:r>
    </w:p>
    <w:p>
      <w:pPr>
        <w:autoSpaceDE w:val="0"/>
        <w:autoSpaceDN w:val="0"/>
        <w:adjustRightInd w:val="0"/>
        <w:ind w:firstLine="480" w:firstLineChars="150"/>
        <w:jc w:val="left"/>
        <w:rPr>
          <w:rFonts w:hint="eastAsia" w:ascii="仿宋" w:hAnsi="仿宋" w:eastAsia="仿宋"/>
          <w:sz w:val="32"/>
          <w:szCs w:val="32"/>
          <w:lang w:eastAsia="zh-CN"/>
        </w:rPr>
      </w:pPr>
      <w:r>
        <w:rPr>
          <w:rFonts w:hint="eastAsia" w:ascii="仿宋" w:hAnsi="仿宋" w:eastAsia="仿宋"/>
          <w:sz w:val="32"/>
          <w:szCs w:val="32"/>
          <w:lang w:eastAsia="zh-CN"/>
        </w:rPr>
        <w:t>4、绩效自评表填写。按照绩效自评表（见附件1）的格式和要求，逐项填写每项绩效指标得分、预算项目绩效自评得分，并简要分析绩效存在问题及原因、提出改进措施。</w:t>
      </w:r>
    </w:p>
    <w:p>
      <w:pPr>
        <w:autoSpaceDE w:val="0"/>
        <w:autoSpaceDN w:val="0"/>
        <w:adjustRightInd w:val="0"/>
        <w:ind w:firstLine="480" w:firstLineChars="150"/>
        <w:jc w:val="left"/>
        <w:rPr>
          <w:rFonts w:hint="eastAsia" w:ascii="仿宋" w:hAnsi="仿宋" w:eastAsia="仿宋"/>
          <w:sz w:val="32"/>
          <w:szCs w:val="32"/>
          <w:lang w:eastAsia="zh-CN"/>
        </w:rPr>
      </w:pPr>
      <w:r>
        <w:rPr>
          <w:rFonts w:hint="eastAsia" w:ascii="仿宋" w:hAnsi="仿宋" w:eastAsia="仿宋"/>
          <w:sz w:val="32"/>
          <w:szCs w:val="32"/>
          <w:lang w:eastAsia="zh-CN"/>
        </w:rPr>
        <w:t xml:space="preserve"> 5、自评工作总结。绩效自评工作完成后，及时进行总结，形成专题报告。</w:t>
      </w:r>
    </w:p>
    <w:p>
      <w:pPr>
        <w:autoSpaceDE w:val="0"/>
        <w:autoSpaceDN w:val="0"/>
        <w:adjustRightInd w:val="0"/>
        <w:jc w:val="left"/>
        <w:rPr>
          <w:rFonts w:hint="eastAsia" w:ascii="仿宋" w:hAnsi="仿宋" w:eastAsia="仿宋"/>
          <w:sz w:val="32"/>
          <w:szCs w:val="32"/>
          <w:lang w:eastAsia="zh-CN"/>
        </w:rPr>
      </w:pPr>
      <w:bookmarkStart w:id="0" w:name="_GoBack"/>
      <w:bookmarkEnd w:id="0"/>
      <w:r>
        <w:rPr>
          <w:rFonts w:hint="eastAsia" w:ascii="仿宋" w:hAnsi="仿宋" w:eastAsia="仿宋"/>
          <w:sz w:val="32"/>
          <w:szCs w:val="32"/>
          <w:lang w:eastAsia="zh-CN"/>
        </w:rPr>
        <w:t>（三）建立绩效评价指标体系</w:t>
      </w:r>
    </w:p>
    <w:p>
      <w:pPr>
        <w:autoSpaceDE w:val="0"/>
        <w:autoSpaceDN w:val="0"/>
        <w:adjustRightInd w:val="0"/>
        <w:ind w:firstLine="480" w:firstLineChars="150"/>
        <w:jc w:val="left"/>
        <w:rPr>
          <w:rFonts w:hint="eastAsia" w:ascii="仿宋" w:hAnsi="仿宋" w:eastAsia="仿宋"/>
          <w:sz w:val="32"/>
          <w:szCs w:val="32"/>
          <w:lang w:val="en-US" w:eastAsia="zh-CN"/>
        </w:rPr>
      </w:pPr>
      <w:r>
        <w:rPr>
          <w:rFonts w:hint="eastAsia" w:ascii="仿宋" w:hAnsi="仿宋" w:eastAsia="仿宋"/>
          <w:sz w:val="32"/>
          <w:szCs w:val="32"/>
          <w:lang w:eastAsia="zh-CN"/>
        </w:rPr>
        <w:t>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pPr>
        <w:numPr>
          <w:ilvl w:val="0"/>
          <w:numId w:val="0"/>
        </w:numPr>
        <w:spacing w:line="560" w:lineRule="exact"/>
        <w:ind w:leftChars="0"/>
        <w:rPr>
          <w:rFonts w:hint="eastAsia" w:ascii="黑体" w:hAnsi="黑体" w:eastAsia="黑体"/>
          <w:sz w:val="32"/>
          <w:szCs w:val="32"/>
        </w:rPr>
      </w:pPr>
      <w:r>
        <w:rPr>
          <w:rFonts w:hint="eastAsia" w:ascii="黑体" w:hAnsi="黑体" w:eastAsia="黑体"/>
          <w:sz w:val="32"/>
          <w:szCs w:val="32"/>
          <w:lang w:eastAsia="zh-CN"/>
        </w:rPr>
        <w:t>三．</w:t>
      </w:r>
      <w:r>
        <w:rPr>
          <w:rFonts w:hint="eastAsia" w:ascii="黑体" w:hAnsi="黑体" w:eastAsia="黑体"/>
          <w:sz w:val="32"/>
          <w:szCs w:val="32"/>
        </w:rPr>
        <w:t>部门整体支出绩效目标实现情况及指标分析</w:t>
      </w:r>
    </w:p>
    <w:tbl>
      <w:tblPr>
        <w:tblStyle w:val="7"/>
        <w:tblW w:w="9040" w:type="dxa"/>
        <w:tblInd w:w="108" w:type="dxa"/>
        <w:tblLayout w:type="fixed"/>
        <w:tblCellMar>
          <w:top w:w="0" w:type="dxa"/>
          <w:left w:w="108" w:type="dxa"/>
          <w:bottom w:w="0" w:type="dxa"/>
          <w:right w:w="108" w:type="dxa"/>
        </w:tblCellMar>
      </w:tblPr>
      <w:tblGrid>
        <w:gridCol w:w="641"/>
        <w:gridCol w:w="1585"/>
        <w:gridCol w:w="2550"/>
        <w:gridCol w:w="1410"/>
        <w:gridCol w:w="1457"/>
        <w:gridCol w:w="1397"/>
      </w:tblGrid>
      <w:tr>
        <w:tblPrEx>
          <w:tblCellMar>
            <w:top w:w="0" w:type="dxa"/>
            <w:left w:w="108" w:type="dxa"/>
            <w:bottom w:w="0" w:type="dxa"/>
            <w:right w:w="108" w:type="dxa"/>
          </w:tblCellMar>
        </w:tblPrEx>
        <w:trPr>
          <w:trHeight w:val="450" w:hRule="atLeast"/>
        </w:trPr>
        <w:tc>
          <w:tcPr>
            <w:tcW w:w="9040" w:type="dxa"/>
            <w:gridSpan w:val="6"/>
            <w:tcBorders>
              <w:top w:val="nil"/>
              <w:left w:val="nil"/>
              <w:bottom w:val="nil"/>
              <w:right w:val="nil"/>
            </w:tcBorders>
            <w:shd w:val="clear" w:color="auto" w:fill="auto"/>
            <w:noWrap/>
            <w:vAlign w:val="center"/>
          </w:tcPr>
          <w:p>
            <w:pPr>
              <w:widowControl/>
              <w:jc w:val="center"/>
              <w:rPr>
                <w:rFonts w:ascii="等线" w:hAnsi="宋体" w:eastAsia="等线" w:cs="宋体"/>
                <w:b/>
                <w:bCs/>
                <w:color w:val="000000"/>
                <w:kern w:val="0"/>
                <w:sz w:val="36"/>
                <w:szCs w:val="36"/>
              </w:rPr>
            </w:pPr>
            <w:r>
              <w:rPr>
                <w:rFonts w:hint="eastAsia" w:ascii="等线" w:hAnsi="宋体" w:eastAsia="等线" w:cs="宋体"/>
                <w:b/>
                <w:bCs/>
                <w:color w:val="000000"/>
                <w:kern w:val="0"/>
                <w:sz w:val="36"/>
                <w:szCs w:val="36"/>
              </w:rPr>
              <w:t>20</w:t>
            </w:r>
            <w:r>
              <w:rPr>
                <w:rFonts w:hint="eastAsia" w:ascii="等线" w:hAnsi="宋体" w:eastAsia="等线" w:cs="宋体"/>
                <w:b/>
                <w:bCs/>
                <w:color w:val="000000"/>
                <w:kern w:val="0"/>
                <w:sz w:val="36"/>
                <w:szCs w:val="36"/>
                <w:lang w:val="en-US" w:eastAsia="zh-CN"/>
              </w:rPr>
              <w:t>25</w:t>
            </w:r>
            <w:r>
              <w:rPr>
                <w:rFonts w:hint="eastAsia" w:ascii="等线" w:hAnsi="宋体" w:eastAsia="等线" w:cs="宋体"/>
                <w:b/>
                <w:bCs/>
                <w:color w:val="000000"/>
                <w:kern w:val="0"/>
                <w:sz w:val="36"/>
                <w:szCs w:val="36"/>
              </w:rPr>
              <w:t>年</w:t>
            </w:r>
            <w:r>
              <w:rPr>
                <w:rFonts w:hint="eastAsia" w:ascii="等线" w:hAnsi="宋体" w:eastAsia="等线" w:cs="宋体"/>
                <w:b/>
                <w:bCs/>
                <w:color w:val="000000"/>
                <w:kern w:val="0"/>
                <w:sz w:val="36"/>
                <w:szCs w:val="36"/>
                <w:lang w:eastAsia="zh-CN"/>
              </w:rPr>
              <w:t>孙庄</w:t>
            </w:r>
            <w:r>
              <w:rPr>
                <w:rFonts w:ascii="等线" w:hAnsi="宋体" w:eastAsia="等线" w:cs="宋体"/>
                <w:b/>
                <w:bCs/>
                <w:color w:val="000000"/>
                <w:kern w:val="0"/>
                <w:sz w:val="36"/>
                <w:szCs w:val="36"/>
              </w:rPr>
              <w:t>乡</w:t>
            </w:r>
            <w:r>
              <w:rPr>
                <w:rFonts w:hint="eastAsia" w:ascii="等线" w:hAnsi="宋体" w:eastAsia="等线" w:cs="宋体"/>
                <w:b/>
                <w:bCs/>
                <w:color w:val="000000"/>
                <w:kern w:val="0"/>
                <w:sz w:val="36"/>
                <w:szCs w:val="36"/>
              </w:rPr>
              <w:t>项目目标绩效情况表</w:t>
            </w:r>
          </w:p>
        </w:tc>
      </w:tr>
      <w:tr>
        <w:tblPrEx>
          <w:tblCellMar>
            <w:top w:w="0" w:type="dxa"/>
            <w:left w:w="108" w:type="dxa"/>
            <w:bottom w:w="0" w:type="dxa"/>
            <w:right w:w="108" w:type="dxa"/>
          </w:tblCellMar>
        </w:tblPrEx>
        <w:trPr>
          <w:trHeight w:val="270" w:hRule="atLeast"/>
        </w:trPr>
        <w:tc>
          <w:tcPr>
            <w:tcW w:w="641" w:type="dxa"/>
            <w:tcBorders>
              <w:top w:val="nil"/>
              <w:left w:val="nil"/>
              <w:bottom w:val="nil"/>
              <w:right w:val="nil"/>
            </w:tcBorders>
            <w:shd w:val="clear" w:color="auto" w:fill="auto"/>
            <w:noWrap/>
            <w:vAlign w:val="bottom"/>
          </w:tcPr>
          <w:p>
            <w:pPr>
              <w:widowControl/>
              <w:jc w:val="center"/>
              <w:rPr>
                <w:rFonts w:hint="eastAsia" w:ascii="等线" w:hAnsi="宋体" w:eastAsia="等线" w:cs="宋体"/>
                <w:b/>
                <w:bCs/>
                <w:color w:val="000000"/>
                <w:kern w:val="0"/>
                <w:sz w:val="36"/>
                <w:szCs w:val="36"/>
              </w:rPr>
            </w:pPr>
          </w:p>
        </w:tc>
        <w:tc>
          <w:tcPr>
            <w:tcW w:w="1585" w:type="dxa"/>
            <w:tcBorders>
              <w:top w:val="nil"/>
              <w:left w:val="nil"/>
              <w:bottom w:val="nil"/>
              <w:right w:val="nil"/>
            </w:tcBorders>
            <w:shd w:val="clear" w:color="auto" w:fill="auto"/>
            <w:noWrap/>
            <w:vAlign w:val="bottom"/>
          </w:tcPr>
          <w:p>
            <w:pPr>
              <w:widowControl/>
              <w:jc w:val="left"/>
              <w:rPr>
                <w:rFonts w:ascii="Times New Roman" w:hAnsi="Times New Roman" w:eastAsia="Times New Roman" w:cs="Times New Roman"/>
                <w:kern w:val="0"/>
                <w:sz w:val="20"/>
                <w:szCs w:val="20"/>
              </w:rPr>
            </w:pPr>
          </w:p>
        </w:tc>
        <w:tc>
          <w:tcPr>
            <w:tcW w:w="2550" w:type="dxa"/>
            <w:tcBorders>
              <w:top w:val="nil"/>
              <w:left w:val="nil"/>
              <w:bottom w:val="nil"/>
              <w:right w:val="nil"/>
            </w:tcBorders>
            <w:shd w:val="clear" w:color="auto" w:fill="auto"/>
            <w:noWrap/>
            <w:vAlign w:val="bottom"/>
          </w:tcPr>
          <w:p>
            <w:pPr>
              <w:widowControl/>
              <w:jc w:val="left"/>
              <w:rPr>
                <w:rFonts w:ascii="Times New Roman" w:hAnsi="Times New Roman" w:eastAsia="Times New Roman" w:cs="Times New Roman"/>
                <w:kern w:val="0"/>
                <w:sz w:val="20"/>
                <w:szCs w:val="20"/>
              </w:rPr>
            </w:pPr>
          </w:p>
        </w:tc>
        <w:tc>
          <w:tcPr>
            <w:tcW w:w="1410" w:type="dxa"/>
            <w:tcBorders>
              <w:top w:val="nil"/>
              <w:left w:val="nil"/>
              <w:bottom w:val="nil"/>
              <w:right w:val="nil"/>
            </w:tcBorders>
            <w:shd w:val="clear" w:color="auto" w:fill="auto"/>
            <w:noWrap/>
            <w:vAlign w:val="bottom"/>
          </w:tcPr>
          <w:p>
            <w:pPr>
              <w:widowControl/>
              <w:jc w:val="left"/>
              <w:rPr>
                <w:rFonts w:ascii="Times New Roman" w:hAnsi="Times New Roman" w:eastAsia="Times New Roman" w:cs="Times New Roman"/>
                <w:kern w:val="0"/>
                <w:sz w:val="20"/>
                <w:szCs w:val="20"/>
              </w:rPr>
            </w:pPr>
          </w:p>
        </w:tc>
        <w:tc>
          <w:tcPr>
            <w:tcW w:w="2854" w:type="dxa"/>
            <w:gridSpan w:val="2"/>
            <w:tcBorders>
              <w:top w:val="nil"/>
              <w:left w:val="nil"/>
              <w:bottom w:val="nil"/>
              <w:right w:val="nil"/>
            </w:tcBorders>
            <w:shd w:val="clear" w:color="auto" w:fill="auto"/>
            <w:noWrap/>
            <w:vAlign w:val="bottom"/>
          </w:tcPr>
          <w:p>
            <w:pPr>
              <w:widowControl/>
              <w:jc w:val="center"/>
              <w:rPr>
                <w:rFonts w:ascii="等线" w:hAnsi="宋体" w:eastAsia="等线" w:cs="宋体"/>
                <w:color w:val="000000"/>
                <w:kern w:val="0"/>
                <w:sz w:val="22"/>
              </w:rPr>
            </w:pPr>
            <w:r>
              <w:rPr>
                <w:rFonts w:hint="eastAsia" w:ascii="等线" w:hAnsi="宋体" w:eastAsia="等线" w:cs="宋体"/>
                <w:color w:val="000000"/>
                <w:kern w:val="0"/>
                <w:sz w:val="22"/>
              </w:rPr>
              <w:t>单位：</w:t>
            </w:r>
            <w:r>
              <w:rPr>
                <w:rFonts w:hint="eastAsia" w:ascii="等线" w:hAnsi="宋体" w:eastAsia="等线" w:cs="宋体"/>
                <w:color w:val="000000"/>
                <w:kern w:val="0"/>
                <w:sz w:val="22"/>
                <w:lang w:eastAsia="zh-CN"/>
              </w:rPr>
              <w:t>万</w:t>
            </w:r>
            <w:r>
              <w:rPr>
                <w:rFonts w:hint="eastAsia" w:ascii="等线" w:hAnsi="宋体" w:eastAsia="等线" w:cs="宋体"/>
                <w:color w:val="000000"/>
                <w:kern w:val="0"/>
                <w:sz w:val="22"/>
              </w:rPr>
              <w:t>元</w:t>
            </w:r>
          </w:p>
        </w:tc>
      </w:tr>
      <w:tr>
        <w:tblPrEx>
          <w:tblCellMar>
            <w:top w:w="0" w:type="dxa"/>
            <w:left w:w="108" w:type="dxa"/>
            <w:bottom w:w="0" w:type="dxa"/>
            <w:right w:w="108" w:type="dxa"/>
          </w:tblCellMar>
        </w:tblPrEx>
        <w:trPr>
          <w:trHeight w:val="312" w:hRule="atLeast"/>
        </w:trPr>
        <w:tc>
          <w:tcPr>
            <w:tcW w:w="64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158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预算单位</w:t>
            </w:r>
          </w:p>
        </w:tc>
        <w:tc>
          <w:tcPr>
            <w:tcW w:w="2550" w:type="dxa"/>
            <w:vMerge w:val="restart"/>
            <w:tcBorders>
              <w:top w:val="single" w:color="auto" w:sz="4" w:space="0"/>
              <w:left w:val="single" w:color="auto" w:sz="4" w:space="0"/>
              <w:bottom w:val="single" w:color="000000" w:sz="4" w:space="0"/>
              <w:right w:val="nil"/>
            </w:tcBorders>
            <w:shd w:val="clear" w:color="auto" w:fill="auto"/>
            <w:noWrap/>
            <w:vAlign w:val="center"/>
          </w:tcPr>
          <w:p>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项目名称</w:t>
            </w:r>
          </w:p>
        </w:tc>
        <w:tc>
          <w:tcPr>
            <w:tcW w:w="1410"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财政拨款</w:t>
            </w:r>
          </w:p>
        </w:tc>
        <w:tc>
          <w:tcPr>
            <w:tcW w:w="145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单位实际支出</w:t>
            </w:r>
          </w:p>
        </w:tc>
        <w:tc>
          <w:tcPr>
            <w:tcW w:w="1397" w:type="dxa"/>
            <w:vMerge w:val="restart"/>
            <w:tcBorders>
              <w:top w:val="single" w:color="auto" w:sz="4" w:space="0"/>
              <w:left w:val="nil"/>
              <w:bottom w:val="single" w:color="000000" w:sz="4" w:space="0"/>
              <w:right w:val="single" w:color="auto" w:sz="4" w:space="0"/>
            </w:tcBorders>
            <w:shd w:val="clear" w:color="auto" w:fill="auto"/>
            <w:noWrap/>
            <w:vAlign w:val="center"/>
          </w:tcPr>
          <w:p>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支出进度%</w:t>
            </w:r>
          </w:p>
        </w:tc>
      </w:tr>
      <w:tr>
        <w:trPr>
          <w:trHeight w:val="796" w:hRule="atLeast"/>
        </w:trPr>
        <w:tc>
          <w:tcPr>
            <w:tcW w:w="64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b/>
                <w:bCs/>
                <w:color w:val="000000"/>
                <w:kern w:val="0"/>
                <w:sz w:val="24"/>
                <w:szCs w:val="24"/>
              </w:rPr>
            </w:pPr>
          </w:p>
        </w:tc>
        <w:tc>
          <w:tcPr>
            <w:tcW w:w="158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b/>
                <w:bCs/>
                <w:color w:val="000000"/>
                <w:kern w:val="0"/>
                <w:sz w:val="24"/>
                <w:szCs w:val="24"/>
              </w:rPr>
            </w:pPr>
          </w:p>
        </w:tc>
        <w:tc>
          <w:tcPr>
            <w:tcW w:w="2550" w:type="dxa"/>
            <w:vMerge w:val="continue"/>
            <w:tcBorders>
              <w:top w:val="single" w:color="auto" w:sz="4" w:space="0"/>
              <w:left w:val="single" w:color="auto" w:sz="4" w:space="0"/>
              <w:bottom w:val="single" w:color="000000" w:sz="4" w:space="0"/>
              <w:right w:val="nil"/>
            </w:tcBorders>
            <w:vAlign w:val="center"/>
          </w:tcPr>
          <w:p>
            <w:pPr>
              <w:widowControl/>
              <w:jc w:val="left"/>
              <w:rPr>
                <w:rFonts w:ascii="宋体" w:hAnsi="宋体" w:eastAsia="宋体" w:cs="宋体"/>
                <w:b/>
                <w:bCs/>
                <w:color w:val="000000"/>
                <w:kern w:val="0"/>
                <w:sz w:val="24"/>
                <w:szCs w:val="24"/>
              </w:rPr>
            </w:pPr>
          </w:p>
        </w:tc>
        <w:tc>
          <w:tcPr>
            <w:tcW w:w="141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b/>
                <w:bCs/>
                <w:color w:val="000000"/>
                <w:kern w:val="0"/>
                <w:sz w:val="24"/>
                <w:szCs w:val="24"/>
              </w:rPr>
            </w:pPr>
          </w:p>
        </w:tc>
        <w:tc>
          <w:tcPr>
            <w:tcW w:w="145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eastAsia="宋体" w:cs="宋体"/>
                <w:b/>
                <w:bCs/>
                <w:color w:val="000000"/>
                <w:kern w:val="0"/>
                <w:sz w:val="24"/>
                <w:szCs w:val="24"/>
              </w:rPr>
            </w:pPr>
          </w:p>
        </w:tc>
        <w:tc>
          <w:tcPr>
            <w:tcW w:w="1397" w:type="dxa"/>
            <w:vMerge w:val="continue"/>
            <w:tcBorders>
              <w:top w:val="single" w:color="auto" w:sz="4" w:space="0"/>
              <w:left w:val="nil"/>
              <w:bottom w:val="single" w:color="000000" w:sz="4" w:space="0"/>
              <w:right w:val="single" w:color="auto" w:sz="4" w:space="0"/>
            </w:tcBorders>
            <w:vAlign w:val="center"/>
          </w:tcPr>
          <w:p>
            <w:pPr>
              <w:widowControl/>
              <w:jc w:val="left"/>
              <w:rPr>
                <w:rFonts w:ascii="宋体" w:hAnsi="宋体" w:eastAsia="宋体" w:cs="宋体"/>
                <w:b/>
                <w:bCs/>
                <w:color w:val="000000"/>
                <w:kern w:val="0"/>
                <w:sz w:val="24"/>
                <w:szCs w:val="24"/>
              </w:rPr>
            </w:pPr>
          </w:p>
        </w:tc>
      </w:tr>
      <w:tr>
        <w:tblPrEx>
          <w:tblCellMar>
            <w:top w:w="0" w:type="dxa"/>
            <w:left w:w="108" w:type="dxa"/>
            <w:bottom w:w="0" w:type="dxa"/>
            <w:right w:w="108" w:type="dxa"/>
          </w:tblCellMar>
        </w:tblPrEx>
        <w:trPr>
          <w:trHeight w:val="444"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1</w:t>
            </w:r>
          </w:p>
        </w:tc>
        <w:tc>
          <w:tcPr>
            <w:tcW w:w="1585"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2025年交通道路占地补偿款</w:t>
            </w:r>
          </w:p>
        </w:tc>
        <w:tc>
          <w:tcPr>
            <w:tcW w:w="141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12.575418</w:t>
            </w:r>
          </w:p>
        </w:tc>
        <w:tc>
          <w:tcPr>
            <w:tcW w:w="1457"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b/>
                <w:bCs/>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12.575418</w:t>
            </w:r>
          </w:p>
        </w:tc>
        <w:tc>
          <w:tcPr>
            <w:tcW w:w="1397" w:type="dxa"/>
            <w:tcBorders>
              <w:top w:val="nil"/>
              <w:left w:val="nil"/>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1585"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孙庄乡2025年劳务派遣人员经费</w:t>
            </w:r>
          </w:p>
        </w:tc>
        <w:tc>
          <w:tcPr>
            <w:tcW w:w="141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18.565816</w:t>
            </w:r>
          </w:p>
        </w:tc>
        <w:tc>
          <w:tcPr>
            <w:tcW w:w="1457"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18.565816</w:t>
            </w:r>
          </w:p>
        </w:tc>
        <w:tc>
          <w:tcPr>
            <w:tcW w:w="1397" w:type="dxa"/>
            <w:tcBorders>
              <w:top w:val="nil"/>
              <w:left w:val="nil"/>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p>
        </w:tc>
        <w:tc>
          <w:tcPr>
            <w:tcW w:w="1585"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基层武装经费</w:t>
            </w:r>
          </w:p>
        </w:tc>
        <w:tc>
          <w:tcPr>
            <w:tcW w:w="141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w:t>
            </w:r>
          </w:p>
        </w:tc>
        <w:tc>
          <w:tcPr>
            <w:tcW w:w="1457"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w:t>
            </w:r>
          </w:p>
        </w:tc>
        <w:tc>
          <w:tcPr>
            <w:tcW w:w="1397" w:type="dxa"/>
            <w:tcBorders>
              <w:top w:val="nil"/>
              <w:left w:val="nil"/>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rPr>
            </w:pPr>
            <w:r>
              <w:rPr>
                <w:rFonts w:hint="eastAsia" w:ascii="宋体" w:hAnsi="宋体" w:cs="宋体"/>
                <w:kern w:val="0"/>
                <w:sz w:val="18"/>
                <w:szCs w:val="18"/>
                <w:lang w:val="en-US" w:eastAsia="zh-CN"/>
              </w:rPr>
              <w:t>0</w:t>
            </w:r>
          </w:p>
        </w:tc>
      </w:tr>
      <w:tr>
        <w:trPr>
          <w:trHeight w:val="24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1585"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维持机关基本运转经费</w:t>
            </w:r>
          </w:p>
        </w:tc>
        <w:tc>
          <w:tcPr>
            <w:tcW w:w="141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12.999931</w:t>
            </w:r>
          </w:p>
        </w:tc>
        <w:tc>
          <w:tcPr>
            <w:tcW w:w="1457"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12.999931</w:t>
            </w:r>
          </w:p>
        </w:tc>
        <w:tc>
          <w:tcPr>
            <w:tcW w:w="1397" w:type="dxa"/>
            <w:tcBorders>
              <w:top w:val="nil"/>
              <w:left w:val="nil"/>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1585"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办公楼取暖经费</w:t>
            </w:r>
          </w:p>
        </w:tc>
        <w:tc>
          <w:tcPr>
            <w:tcW w:w="141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5</w:t>
            </w:r>
          </w:p>
        </w:tc>
        <w:tc>
          <w:tcPr>
            <w:tcW w:w="1457"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5</w:t>
            </w:r>
          </w:p>
        </w:tc>
        <w:tc>
          <w:tcPr>
            <w:tcW w:w="1397" w:type="dxa"/>
            <w:tcBorders>
              <w:top w:val="nil"/>
              <w:left w:val="nil"/>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6</w:t>
            </w:r>
          </w:p>
        </w:tc>
        <w:tc>
          <w:tcPr>
            <w:tcW w:w="1585"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机关基本运转经费</w:t>
            </w:r>
          </w:p>
        </w:tc>
        <w:tc>
          <w:tcPr>
            <w:tcW w:w="1410"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457" w:type="dxa"/>
            <w:tcBorders>
              <w:top w:val="nil"/>
              <w:left w:val="nil"/>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397" w:type="dxa"/>
            <w:tcBorders>
              <w:top w:val="nil"/>
              <w:left w:val="nil"/>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7</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办公经费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0.817</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0.817</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rPr>
            </w:pPr>
            <w:r>
              <w:rPr>
                <w:rFonts w:hint="eastAsia" w:ascii="宋体" w:hAnsi="宋体" w:eastAsia="宋体" w:cs="宋体"/>
                <w:kern w:val="0"/>
                <w:sz w:val="18"/>
                <w:szCs w:val="18"/>
                <w:lang w:val="en-US" w:eastAsia="zh-CN"/>
              </w:rPr>
              <w:t>100</w:t>
            </w:r>
          </w:p>
        </w:tc>
      </w:tr>
      <w:tr>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8</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孙庄乡2025年三支一扶志愿者生活补贴</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0.9036</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0.9036</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278"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9</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团委工作经费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1.999</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1.999</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10</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信访稳定经费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11</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乡镇文化站免费开放运转经费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优化生育经费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color w:val="auto"/>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13</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环境整治经费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9.4456</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9.4456</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14</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农村道路维修</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3.2</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3.2</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15</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旅发大会两次绿化租地费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35.85614</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35.85614</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rPr>
          <w:trHeight w:val="1009"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16</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绵蔓河占地补偿款</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30.855032</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30.855032</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17</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绿化经费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111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18</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护林防火经费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114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19</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eastAsia="zh-CN"/>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冀财教[2024]149号提前下达2025年省级公共图书馆、美术馆、文化馆（站）免费开放补助资金预算的通知</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lang w:val="en-US" w:eastAsia="zh-CN"/>
              </w:rPr>
            </w:pPr>
            <w:r>
              <w:rPr>
                <w:rFonts w:hint="eastAsia" w:ascii="宋体" w:hAnsi="宋体" w:eastAsia="宋体" w:cs="宋体"/>
                <w:color w:val="000000"/>
                <w:kern w:val="0"/>
                <w:sz w:val="24"/>
                <w:szCs w:val="24"/>
                <w:lang w:val="en-US" w:eastAsia="zh-CN"/>
              </w:rPr>
              <w:t>20</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冀财社[2024]161号关于提前下达2025年中央财政困难群众救助补助资金预算的通知</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0.2</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0.2</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left"/>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1243"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21</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kern w:val="0"/>
                <w:sz w:val="16"/>
                <w:szCs w:val="16"/>
                <w:lang w:val="en-US" w:eastAsia="zh-CN" w:bidi="ar-SA"/>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冀财农[2024]109号关于提前下达2025年省级农村综合改革转移支付预算的通知（农村公益事业建设奖补）</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27.989715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27.989715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1049"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lang w:val="en-US" w:eastAsia="zh-CN"/>
              </w:rPr>
            </w:pPr>
            <w:r>
              <w:rPr>
                <w:rFonts w:hint="eastAsia" w:ascii="宋体" w:hAnsi="宋体" w:eastAsia="宋体" w:cs="宋体"/>
                <w:color w:val="000000"/>
                <w:kern w:val="0"/>
                <w:sz w:val="24"/>
                <w:szCs w:val="24"/>
                <w:lang w:val="en-US" w:eastAsia="zh-CN"/>
              </w:rPr>
              <w:t>22</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kern w:val="0"/>
                <w:sz w:val="16"/>
                <w:szCs w:val="16"/>
                <w:lang w:val="en-US" w:eastAsia="zh-CN" w:bidi="ar-SA"/>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冀财农[2024]93号关于提前下达2025年中央农村综合改革转移支付预算的通知（农村公益事业建设奖补）</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24.988037</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24.988037</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tblPrEx>
          <w:tblCellMar>
            <w:top w:w="0" w:type="dxa"/>
            <w:left w:w="108" w:type="dxa"/>
            <w:bottom w:w="0" w:type="dxa"/>
            <w:right w:w="108" w:type="dxa"/>
          </w:tblCellMar>
        </w:tblPrEx>
        <w:trPr>
          <w:trHeight w:val="97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23</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kern w:val="0"/>
                <w:sz w:val="16"/>
                <w:szCs w:val="16"/>
                <w:lang w:val="en-US" w:eastAsia="zh-CN" w:bidi="ar-SA"/>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孙庄乡人民政府偿还政府拖欠企业账款项目（第一批）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26.40283</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26.40283</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24</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kern w:val="0"/>
                <w:sz w:val="16"/>
                <w:szCs w:val="16"/>
                <w:lang w:val="en-US" w:eastAsia="zh-CN" w:bidi="ar-SA"/>
              </w:rPr>
            </w:pPr>
            <w:r>
              <w:rPr>
                <w:rFonts w:hint="eastAsia" w:ascii="宋体" w:hAnsi="宋体" w:eastAsia="宋体" w:cs="宋体"/>
                <w:i w:val="0"/>
                <w:iCs w:val="0"/>
                <w:color w:val="000000"/>
                <w:kern w:val="0"/>
                <w:sz w:val="21"/>
                <w:szCs w:val="21"/>
                <w:u w:val="none"/>
                <w:lang w:val="en-US" w:eastAsia="zh-CN" w:bidi="ar"/>
              </w:rPr>
              <w:t>井陉县孙庄乡人民政府</w:t>
            </w: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井陉县孙庄乡偿还政府拖欠企业账款项目（第三批）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20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25</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井陉县孙庄乡人民政府偿还拖欠企业账款项目（第六批）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17.8414</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17.8414</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26</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井陉县孙庄乡人民政府偿还政府拖欠企业账款项目（第十批）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6.5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6.5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27</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冀财农[2025]58号关于下达2025中央农村综合改革转移支付预算的通知（农村公益事业财政奖补第二批）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32.91846</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32.91846</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28</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井陉县孙庄乡人民政府偿还政府拖欠企业账款项目（第十三批）</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50</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29</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孙庄乡弃渣清运监管资金</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30</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石财行[2025]26号关于下达2025年市级解决特殊疑难信访问题资金的通知</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tblPrEx>
          <w:tblCellMar>
            <w:top w:w="0" w:type="dxa"/>
            <w:left w:w="108" w:type="dxa"/>
            <w:bottom w:w="0" w:type="dxa"/>
            <w:right w:w="108" w:type="dxa"/>
          </w:tblCellMar>
        </w:tblPrEx>
        <w:trPr>
          <w:trHeight w:val="1104"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31</w:t>
            </w:r>
          </w:p>
        </w:tc>
        <w:tc>
          <w:tcPr>
            <w:tcW w:w="158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宋体" w:eastAsia="宋体" w:cs="宋体"/>
                <w:i w:val="0"/>
                <w:iCs w:val="0"/>
                <w:color w:val="000000"/>
                <w:kern w:val="0"/>
                <w:sz w:val="21"/>
                <w:szCs w:val="21"/>
                <w:u w:val="none"/>
                <w:lang w:val="en-US" w:eastAsia="zh-CN" w:bidi="ar"/>
              </w:rPr>
            </w:pPr>
          </w:p>
        </w:tc>
        <w:tc>
          <w:tcPr>
            <w:tcW w:w="255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冀财教[2025]44号2025年中央支持地方公共文化服务体系建设补助资金</w:t>
            </w:r>
          </w:p>
        </w:tc>
        <w:tc>
          <w:tcPr>
            <w:tcW w:w="1410"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457" w:type="dxa"/>
            <w:tcBorders>
              <w:top w:val="single" w:color="auto" w:sz="4" w:space="0"/>
              <w:left w:val="single" w:color="auto" w:sz="4" w:space="0"/>
              <w:bottom w:val="single" w:color="auto" w:sz="4" w:space="0"/>
              <w:right w:val="single" w:color="auto"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bl>
    <w:p>
      <w:pPr>
        <w:widowControl w:val="0"/>
        <w:wordWrap/>
        <w:spacing w:line="560" w:lineRule="exact"/>
        <w:ind w:right="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为95分</w:t>
      </w:r>
      <w:r>
        <w:rPr>
          <w:rFonts w:hint="eastAsia" w:ascii="仿宋" w:hAnsi="仿宋" w:eastAsia="仿宋"/>
          <w:sz w:val="32"/>
          <w:szCs w:val="32"/>
        </w:rPr>
        <w:t>，满分100分，得出综合绩效评价等级为优秀。</w:t>
      </w:r>
      <w:r>
        <w:rPr>
          <w:rFonts w:hint="eastAsia" w:ascii="仿宋" w:hAnsi="仿宋" w:eastAsia="仿宋"/>
          <w:sz w:val="32"/>
          <w:szCs w:val="32"/>
          <w:lang w:val="en-US" w:eastAsia="zh-CN"/>
        </w:rPr>
        <w:t xml:space="preserve"> </w:t>
      </w:r>
    </w:p>
    <w:p>
      <w:pPr>
        <w:widowControl w:val="0"/>
        <w:wordWrap/>
        <w:spacing w:line="560" w:lineRule="exact"/>
        <w:ind w:right="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right="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4"/>
        <w:ind w:firstLine="640" w:firstLineChars="200"/>
        <w:rPr>
          <w:rFonts w:hint="eastAsia"/>
        </w:rPr>
      </w:pPr>
      <w:r>
        <w:rPr>
          <w:rFonts w:hint="eastAsia" w:ascii="方正仿宋简体" w:hAnsi="方正仿宋简体" w:eastAsia="方正仿宋简体" w:cs="方正仿宋简体"/>
          <w:sz w:val="32"/>
          <w:szCs w:val="32"/>
        </w:rPr>
        <w:t>主要项目的工作量较大，资金仍然不足，</w:t>
      </w:r>
      <w:r>
        <w:rPr>
          <w:rFonts w:ascii="方正仿宋简体" w:hAnsi="方正仿宋简体" w:eastAsia="方正仿宋简体" w:cs="方正仿宋简体"/>
          <w:sz w:val="32"/>
          <w:szCs w:val="32"/>
        </w:rPr>
        <w:t>项目资金保障、施工标准</w:t>
      </w:r>
      <w:r>
        <w:rPr>
          <w:rFonts w:hint="eastAsia" w:ascii="方正仿宋简体" w:hAnsi="方正仿宋简体" w:eastAsia="方正仿宋简体" w:cs="方正仿宋简体"/>
          <w:sz w:val="32"/>
          <w:szCs w:val="32"/>
        </w:rPr>
        <w:t>需进一步完善</w:t>
      </w:r>
      <w:r>
        <w:rPr>
          <w:rFonts w:ascii="方正仿宋简体" w:hAnsi="方正仿宋简体" w:eastAsia="方正仿宋简体" w:cs="方正仿宋简体"/>
          <w:sz w:val="32"/>
          <w:szCs w:val="32"/>
        </w:rPr>
        <w:t>。</w:t>
      </w:r>
    </w:p>
    <w:p>
      <w:pPr>
        <w:widowControl w:val="0"/>
        <w:numPr>
          <w:ilvl w:val="0"/>
          <w:numId w:val="0"/>
        </w:numPr>
        <w:wordWrap/>
        <w:spacing w:line="560" w:lineRule="exact"/>
        <w:ind w:right="0" w:rightChars="0"/>
        <w:textAlignment w:val="auto"/>
        <w:outlineLvl w:val="9"/>
        <w:rPr>
          <w:rFonts w:hint="eastAsia" w:ascii="仿宋" w:hAnsi="仿宋" w:eastAsia="仿宋"/>
          <w:b/>
          <w:bCs/>
          <w:sz w:val="32"/>
          <w:szCs w:val="32"/>
        </w:rPr>
      </w:pPr>
      <w:r>
        <w:rPr>
          <w:rFonts w:hint="eastAsia" w:ascii="仿宋" w:hAnsi="仿宋" w:eastAsia="仿宋"/>
          <w:b/>
          <w:bCs/>
          <w:sz w:val="32"/>
          <w:szCs w:val="32"/>
          <w:lang w:eastAsia="zh-CN"/>
        </w:rPr>
        <w:t>（二）</w:t>
      </w:r>
      <w:r>
        <w:rPr>
          <w:rFonts w:hint="eastAsia" w:ascii="仿宋" w:hAnsi="仿宋" w:eastAsia="仿宋"/>
          <w:b/>
          <w:bCs/>
          <w:sz w:val="32"/>
          <w:szCs w:val="32"/>
        </w:rPr>
        <w:t>针对问题提出具体的改进措施或建议</w:t>
      </w:r>
    </w:p>
    <w:p>
      <w:pPr>
        <w:pStyle w:val="4"/>
        <w:rPr>
          <w:rFonts w:ascii="方正仿宋简体" w:hAnsi="方正仿宋简体" w:eastAsia="方正仿宋简体" w:cs="方正仿宋简体"/>
          <w:sz w:val="32"/>
          <w:szCs w:val="32"/>
        </w:rPr>
      </w:pPr>
      <w:r>
        <w:rPr>
          <w:rFonts w:hint="eastAsia" w:ascii="仿宋" w:hAnsi="仿宋" w:eastAsia="仿宋"/>
          <w:b/>
          <w:bCs/>
          <w:sz w:val="32"/>
          <w:szCs w:val="32"/>
          <w:lang w:val="en-US" w:eastAsia="zh-CN"/>
        </w:rPr>
        <w:t xml:space="preserve">    </w:t>
      </w:r>
      <w:r>
        <w:rPr>
          <w:rFonts w:ascii="方正仿宋简体" w:hAnsi="方正仿宋简体" w:eastAsia="方正仿宋简体" w:cs="方正仿宋简体"/>
          <w:sz w:val="32"/>
          <w:szCs w:val="32"/>
        </w:rPr>
        <w:t>建议</w:t>
      </w:r>
      <w:r>
        <w:rPr>
          <w:rFonts w:hint="eastAsia" w:ascii="方正仿宋简体" w:hAnsi="方正仿宋简体" w:eastAsia="方正仿宋简体" w:cs="方正仿宋简体"/>
          <w:sz w:val="32"/>
          <w:szCs w:val="32"/>
        </w:rPr>
        <w:t>相关部门规定</w:t>
      </w:r>
      <w:r>
        <w:rPr>
          <w:rFonts w:ascii="方正仿宋简体" w:hAnsi="方正仿宋简体" w:eastAsia="方正仿宋简体" w:cs="方正仿宋简体"/>
          <w:sz w:val="32"/>
          <w:szCs w:val="32"/>
        </w:rPr>
        <w:t>出台统一规范标准，提高效率，</w:t>
      </w:r>
      <w:r>
        <w:rPr>
          <w:rFonts w:hint="eastAsia" w:ascii="方正仿宋简体" w:hAnsi="方正仿宋简体" w:eastAsia="方正仿宋简体" w:cs="方正仿宋简体"/>
          <w:sz w:val="32"/>
          <w:szCs w:val="32"/>
        </w:rPr>
        <w:t>与各部门形成合力</w:t>
      </w:r>
      <w:r>
        <w:rPr>
          <w:rFonts w:ascii="方正仿宋简体" w:hAnsi="方正仿宋简体" w:eastAsia="方正仿宋简体" w:cs="方正仿宋简体"/>
          <w:sz w:val="32"/>
          <w:szCs w:val="32"/>
        </w:rPr>
        <w:t>，使项目手续办理中节约时间，从而推动项目的实施进度。</w:t>
      </w:r>
    </w:p>
    <w:p>
      <w:pPr>
        <w:spacing w:line="360" w:lineRule="auto"/>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93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3696"/>
        <w:gridCol w:w="2554"/>
        <w:gridCol w:w="18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2" w:type="dxa"/>
          </w:tcPr>
          <w:p>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姓名</w:t>
            </w:r>
          </w:p>
        </w:tc>
        <w:tc>
          <w:tcPr>
            <w:tcW w:w="3696" w:type="dxa"/>
          </w:tcPr>
          <w:p>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工作单位</w:t>
            </w:r>
          </w:p>
        </w:tc>
        <w:tc>
          <w:tcPr>
            <w:tcW w:w="2554" w:type="dxa"/>
          </w:tcPr>
          <w:p>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职务</w:t>
            </w:r>
          </w:p>
        </w:tc>
        <w:tc>
          <w:tcPr>
            <w:tcW w:w="1865" w:type="dxa"/>
          </w:tcPr>
          <w:p>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jc w:val="center"/>
        </w:trPr>
        <w:tc>
          <w:tcPr>
            <w:tcW w:w="1232" w:type="dxa"/>
          </w:tcPr>
          <w:p>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范九龙</w:t>
            </w:r>
          </w:p>
        </w:tc>
        <w:tc>
          <w:tcPr>
            <w:tcW w:w="3696" w:type="dxa"/>
          </w:tcPr>
          <w:p>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eastAsia="zh-CN"/>
              </w:rPr>
              <w:t>孙庄</w:t>
            </w:r>
            <w:r>
              <w:rPr>
                <w:rFonts w:hint="eastAsia" w:cs="仿宋" w:asciiTheme="minorEastAsia" w:hAnsiTheme="minorEastAsia"/>
                <w:sz w:val="32"/>
                <w:szCs w:val="32"/>
              </w:rPr>
              <w:t>乡</w:t>
            </w:r>
            <w:r>
              <w:rPr>
                <w:rFonts w:cs="仿宋" w:asciiTheme="minorEastAsia" w:hAnsiTheme="minorEastAsia"/>
                <w:sz w:val="32"/>
                <w:szCs w:val="32"/>
              </w:rPr>
              <w:t>人民政府</w:t>
            </w:r>
          </w:p>
        </w:tc>
        <w:tc>
          <w:tcPr>
            <w:tcW w:w="2554" w:type="dxa"/>
          </w:tcPr>
          <w:p>
            <w:pPr>
              <w:autoSpaceDE w:val="0"/>
              <w:autoSpaceDN w:val="0"/>
              <w:adjustRightInd w:val="0"/>
              <w:spacing w:line="240" w:lineRule="atLeast"/>
              <w:ind w:firstLine="640" w:firstLineChars="200"/>
              <w:jc w:val="both"/>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财务主管</w:t>
            </w:r>
          </w:p>
        </w:tc>
        <w:tc>
          <w:tcPr>
            <w:tcW w:w="1865" w:type="dxa"/>
          </w:tcPr>
          <w:p>
            <w:pPr>
              <w:autoSpaceDE w:val="0"/>
              <w:autoSpaceDN w:val="0"/>
              <w:adjustRightInd w:val="0"/>
              <w:spacing w:line="240" w:lineRule="atLeast"/>
              <w:rPr>
                <w:rFonts w:cs="仿宋" w:asciiTheme="minorEastAsia" w:hAnsiTheme="minor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1232" w:type="dxa"/>
          </w:tcPr>
          <w:p>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张婕</w:t>
            </w:r>
          </w:p>
        </w:tc>
        <w:tc>
          <w:tcPr>
            <w:tcW w:w="3696" w:type="dxa"/>
          </w:tcPr>
          <w:p>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eastAsia="zh-CN"/>
              </w:rPr>
              <w:t>孙庄</w:t>
            </w:r>
            <w:r>
              <w:rPr>
                <w:rFonts w:hint="eastAsia" w:cs="仿宋" w:asciiTheme="minorEastAsia" w:hAnsiTheme="minorEastAsia"/>
                <w:sz w:val="32"/>
                <w:szCs w:val="32"/>
              </w:rPr>
              <w:t>乡</w:t>
            </w:r>
            <w:r>
              <w:rPr>
                <w:rFonts w:cs="仿宋" w:asciiTheme="minorEastAsia" w:hAnsiTheme="minorEastAsia"/>
                <w:sz w:val="32"/>
                <w:szCs w:val="32"/>
              </w:rPr>
              <w:t>人民政府</w:t>
            </w:r>
          </w:p>
        </w:tc>
        <w:tc>
          <w:tcPr>
            <w:tcW w:w="2554" w:type="dxa"/>
          </w:tcPr>
          <w:p>
            <w:pPr>
              <w:autoSpaceDE w:val="0"/>
              <w:autoSpaceDN w:val="0"/>
              <w:adjustRightInd w:val="0"/>
              <w:spacing w:line="240" w:lineRule="atLeast"/>
              <w:ind w:firstLine="800" w:firstLineChars="250"/>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会计</w:t>
            </w:r>
          </w:p>
        </w:tc>
        <w:tc>
          <w:tcPr>
            <w:tcW w:w="1865" w:type="dxa"/>
          </w:tcPr>
          <w:p>
            <w:pPr>
              <w:autoSpaceDE w:val="0"/>
              <w:autoSpaceDN w:val="0"/>
              <w:adjustRightInd w:val="0"/>
              <w:spacing w:line="240" w:lineRule="atLeast"/>
              <w:rPr>
                <w:rFonts w:cs="仿宋" w:asciiTheme="minorEastAsia" w:hAnsiTheme="minor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1232" w:type="dxa"/>
          </w:tcPr>
          <w:p>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闫敏</w:t>
            </w:r>
          </w:p>
        </w:tc>
        <w:tc>
          <w:tcPr>
            <w:tcW w:w="3696" w:type="dxa"/>
          </w:tcPr>
          <w:p>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eastAsia="zh-CN"/>
              </w:rPr>
              <w:t>孙庄</w:t>
            </w:r>
            <w:r>
              <w:rPr>
                <w:rFonts w:hint="eastAsia" w:cs="仿宋" w:asciiTheme="minorEastAsia" w:hAnsiTheme="minorEastAsia"/>
                <w:sz w:val="32"/>
                <w:szCs w:val="32"/>
              </w:rPr>
              <w:t>乡</w:t>
            </w:r>
            <w:r>
              <w:rPr>
                <w:rFonts w:cs="仿宋" w:asciiTheme="minorEastAsia" w:hAnsiTheme="minorEastAsia"/>
                <w:sz w:val="32"/>
                <w:szCs w:val="32"/>
              </w:rPr>
              <w:t>人民政府</w:t>
            </w:r>
          </w:p>
        </w:tc>
        <w:tc>
          <w:tcPr>
            <w:tcW w:w="2554" w:type="dxa"/>
          </w:tcPr>
          <w:p>
            <w:pPr>
              <w:autoSpaceDE w:val="0"/>
              <w:autoSpaceDN w:val="0"/>
              <w:adjustRightInd w:val="0"/>
              <w:spacing w:line="240" w:lineRule="atLeast"/>
              <w:ind w:firstLine="800" w:firstLineChars="250"/>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出纳</w:t>
            </w:r>
          </w:p>
        </w:tc>
        <w:tc>
          <w:tcPr>
            <w:tcW w:w="1865" w:type="dxa"/>
          </w:tcPr>
          <w:p>
            <w:pPr>
              <w:autoSpaceDE w:val="0"/>
              <w:autoSpaceDN w:val="0"/>
              <w:adjustRightInd w:val="0"/>
              <w:spacing w:line="240" w:lineRule="atLeast"/>
              <w:rPr>
                <w:rFonts w:cs="仿宋" w:asciiTheme="minorEastAsia" w:hAnsiTheme="minorEastAsia"/>
                <w:sz w:val="32"/>
                <w:szCs w:val="32"/>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仿宋简体">
    <w:altName w:val="方正仿宋_GBK"/>
    <w:panose1 w:val="02000000000000000000"/>
    <w:charset w:val="86"/>
    <w:family w:val="auto"/>
    <w:pitch w:val="default"/>
    <w:sig w:usb0="00000000" w:usb1="00000000" w:usb2="00000012" w:usb3="00000000" w:csb0="00040001" w:csb1="00000000"/>
  </w:font>
  <w:font w:name="等线">
    <w:altName w:val="华文中宋"/>
    <w:panose1 w:val="00000000000000000000"/>
    <w:charset w:val="86"/>
    <w:family w:val="roma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WAAAAZHJzL1BLAQIUABQAAAAIAIdO4kDOqXm5zwAAAAUBAAAPAAAAAAAAAAEAIAAAADgAAABk&#10;cnMvZG93bnJldi54bWxQSwECFAAUAAAACACHTuJAy2adD8ABAACdAwAADgAAAAAAAAABACAAAAA0&#10;AQAAZHJzL2Uyb0RvYy54bWxQSwUGAAAAAAYABgBZAQAAZ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F79921"/>
    <w:multiLevelType w:val="singleLevel"/>
    <w:tmpl w:val="DAF79921"/>
    <w:lvl w:ilvl="0" w:tentative="0">
      <w:start w:val="2"/>
      <w:numFmt w:val="chineseCounting"/>
      <w:suff w:val="nothing"/>
      <w:lvlText w:val="%1、"/>
      <w:lvlJc w:val="left"/>
      <w:rPr>
        <w:rFonts w:hint="eastAsia"/>
      </w:rPr>
    </w:lvl>
  </w:abstractNum>
  <w:abstractNum w:abstractNumId="1">
    <w:nsid w:val="4141BB30"/>
    <w:multiLevelType w:val="singleLevel"/>
    <w:tmpl w:val="4141BB30"/>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B71C30"/>
    <w:rsid w:val="5FDF5D38"/>
    <w:rsid w:val="66AF0CE5"/>
    <w:rsid w:val="6AA27932"/>
    <w:rsid w:val="6AC537CF"/>
    <w:rsid w:val="6E5B14A6"/>
    <w:rsid w:val="711B255E"/>
    <w:rsid w:val="7BB51E06"/>
    <w:rsid w:val="7C387F7C"/>
    <w:rsid w:val="7EAFE00C"/>
    <w:rsid w:val="7F3F878B"/>
    <w:rsid w:val="7F7F73B1"/>
    <w:rsid w:val="7FE83423"/>
    <w:rsid w:val="7FF7655D"/>
    <w:rsid w:val="BB9B3772"/>
    <w:rsid w:val="BBFF9EEF"/>
    <w:rsid w:val="EB6E134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黑体"/>
      <w:kern w:val="2"/>
      <w:sz w:val="21"/>
      <w:szCs w:val="22"/>
      <w:lang w:val="en-US" w:eastAsia="zh-CN" w:bidi="ar-SA"/>
    </w:rPr>
  </w:style>
  <w:style w:type="paragraph" w:styleId="4">
    <w:name w:val="Body Text"/>
    <w:basedOn w:val="1"/>
    <w:qFormat/>
    <w:uiPriority w:val="0"/>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2</TotalTime>
  <ScaleCrop>false</ScaleCrop>
  <LinksUpToDate>false</LinksUpToDate>
  <CharactersWithSpaces>669</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2020-02-06T03:46:00Z</dcterms:created>
  <dc:creator>欣欣大人</dc:creator>
  <cp:lastModifiedBy>uos</cp:lastModifiedBy>
  <cp:lastPrinted>2024-03-08T07:40:00Z</cp:lastPrinted>
  <dcterms:modified xsi:type="dcterms:W3CDTF">2026-04-28T15:36:12Z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807859DDDB204D7484EDDFBB4E9D1D2E</vt:lpwstr>
  </property>
</Properties>
</file>