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井陉县住房和城乡建设局</w:t>
      </w:r>
      <w:r>
        <w:rPr>
          <w:rFonts w:hint="eastAsia" w:ascii="方正小标宋简体" w:hAnsi="方正小标宋简体" w:eastAsia="方正小标宋简体" w:cs="方正小标宋简体"/>
          <w:b w:val="0"/>
          <w:bCs w:val="0"/>
          <w:sz w:val="44"/>
          <w:szCs w:val="44"/>
        </w:rPr>
        <w:t>部门</w:t>
      </w: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年度整体支出绩效自评报告</w:t>
      </w:r>
    </w:p>
    <w:p>
      <w:pPr>
        <w:pStyle w:val="2"/>
      </w:pP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ascii="仿宋" w:hAnsi="仿宋" w:eastAsia="仿宋"/>
          <w:sz w:val="32"/>
          <w:szCs w:val="32"/>
        </w:rPr>
      </w:pPr>
      <w:r>
        <w:rPr>
          <w:rFonts w:hint="eastAsia" w:ascii="方正仿宋简体" w:hAnsi="方正仿宋简体" w:eastAsia="方正仿宋简体" w:cs="方正仿宋简体"/>
          <w:sz w:val="32"/>
          <w:szCs w:val="32"/>
        </w:rPr>
        <w:t>贯彻落实市委市政府《关于全面落实预算绩效管理的实施意见》（石发﹝2019﹞8号）文件精神，遵循“科学性、规范性、客观性和公正性”的原则，对</w:t>
      </w:r>
      <w:r>
        <w:rPr>
          <w:rFonts w:hint="eastAsia" w:ascii="方正仿宋简体" w:hAnsi="方正仿宋简体" w:eastAsia="方正仿宋简体" w:cs="方正仿宋简体"/>
          <w:sz w:val="32"/>
          <w:szCs w:val="32"/>
          <w:lang w:eastAsia="zh-CN"/>
        </w:rPr>
        <w:t>井陉县住房和城乡建设局</w:t>
      </w:r>
      <w:r>
        <w:rPr>
          <w:rFonts w:hint="eastAsia" w:ascii="方正仿宋简体" w:hAnsi="方正仿宋简体" w:eastAsia="方正仿宋简体" w:cs="方正仿宋简体"/>
          <w:sz w:val="32"/>
          <w:szCs w:val="32"/>
        </w:rPr>
        <w:t>部门202</w:t>
      </w:r>
      <w:r>
        <w:rPr>
          <w:rFonts w:hint="eastAsia" w:ascii="方正仿宋简体" w:hAnsi="方正仿宋简体" w:eastAsia="方正仿宋简体" w:cs="方正仿宋简体"/>
          <w:sz w:val="32"/>
          <w:szCs w:val="32"/>
          <w:lang w:val="en-US" w:eastAsia="zh-CN"/>
        </w:rPr>
        <w:t>5</w:t>
      </w:r>
      <w:r>
        <w:rPr>
          <w:rFonts w:hint="eastAsia" w:ascii="方正仿宋简体" w:hAnsi="方正仿宋简体" w:eastAsia="方正仿宋简体" w:cs="方正仿宋简体"/>
          <w:sz w:val="32"/>
          <w:szCs w:val="32"/>
        </w:rPr>
        <w:t>年整体支出情况实施了财政支出绩效自评价，形成本评价报告。</w:t>
      </w:r>
    </w:p>
    <w:p>
      <w:pPr>
        <w:keepNext w:val="0"/>
        <w:keepLines w:val="0"/>
        <w:pageBreakBefore w:val="0"/>
        <w:kinsoku/>
        <w:wordWrap/>
        <w:overflowPunct/>
        <w:topLinePunct w:val="0"/>
        <w:autoSpaceDE/>
        <w:autoSpaceDN/>
        <w:bidi w:val="0"/>
        <w:adjustRightInd w:val="0"/>
        <w:snapToGrid w:val="0"/>
        <w:spacing w:afterAutospacing="0" w:line="560" w:lineRule="exact"/>
        <w:ind w:left="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1．主要职能：</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（一）贯彻执行国家和省、市住房城乡建设工作的方针、政策和法律、法规。</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（二）负责城镇低收入家庭住房保障工作。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（三）负责推进住房制度改革。</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（四）负责全县房地产市场的监督管理。</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（五）负责建筑市场的监督管理。</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（六）负责城市建设工作。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（七）负责编制城市绿地系统规划并组织实施。</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（八）指导监督园林绿化工程建设招标工作。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（九）参与苗圃、花木市场的规划、建设和管理；负责城区园林植物病虫害的预测预报及防治工作。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（十）负责城市园林绿化管理工作。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（十一）指导村镇建设工作。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（十二）负责建筑工程质量安全监督。</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（十三） 负责推进建筑节能工作。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（十四）拟订物业行业发展规划并组织实施。</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（十五）负责拟订国有土地上房屋征收、城市危房管理办法并组织实施。</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（十六） 拟订地下综合管廊中长期建设计划，制定地下综合管廊运营、维护管理办法和配套政策；指导综合管廊运营和维护管理工作。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七）负责住房城乡建设行业的对外经济技术合作和引进、利用外资工作，指导建筑施工、房地产开发、勘察设计和物业管理等相关企业开拓国内外市场，负责协调建设企业参与对外工程承包、建筑劳务合作，指导全县建筑劳务输出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（十八）负责住房城乡建设行业人才队伍建设。</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（十九）负责各类房屋建筑及其附属设施和县城市政、环境卫生、园林绿化、污水处理等基础设施建设工程的抗震设防监督管理。</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（二十） 负责城市建设档案监督管理工作。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（二十一） 负责直管公有住房的资产、售房款和售后维修资金的管理工作。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（二十二） 会同有关部门，做好城市建设行业涉及本部门的相关专业规划的编制和实施工作。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（二十三）负责住房城乡建设行业信息采集、整理、统计、分析、发布等工作。</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（二十四）完成县委、县政府交办的其他任务。</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与县城管综合行政执法局之间的职责分工：县住建局作为行政主管部门，负责加强日常巡查，强化源头监管，通过制定政策、指导监督等方式，预防和减少违法行为的发生，发现职责范围内违法行为的，应当及时劝阻、制止，并依法下达责令停止违法行为通知书；需由城管综合行政执法局进行处罚或采取强制措施的，及时移送相关材料。县城管综合行政执法局负责实施行政处罚或强制措施，相关部门移送的材料可以作为实施处罚和强制措施的证据使用。（依据为《石家庄市城市管理综合执法条例》第16条）</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2.组织机构情况及人员：井陉县住房和城乡建设局本级为全额拨款行政单位。下属事业单位财务独立核算，井陉县建筑工程质量监督监测站、井陉县房产服务所均为公益一类，财政补助事业单位。</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color w:val="auto"/>
          <w:sz w:val="32"/>
          <w:szCs w:val="32"/>
        </w:rPr>
      </w:pPr>
      <w:r>
        <w:rPr>
          <w:rFonts w:hint="eastAsia" w:ascii="方正仿宋简体" w:hAnsi="方正仿宋简体" w:eastAsia="方正仿宋简体" w:cs="方正仿宋简体"/>
          <w:color w:val="auto"/>
          <w:sz w:val="32"/>
          <w:szCs w:val="32"/>
        </w:rPr>
        <w:t>202</w:t>
      </w:r>
      <w:r>
        <w:rPr>
          <w:rFonts w:hint="eastAsia" w:ascii="方正仿宋简体" w:hAnsi="方正仿宋简体" w:eastAsia="方正仿宋简体" w:cs="方正仿宋简体"/>
          <w:color w:val="auto"/>
          <w:sz w:val="32"/>
          <w:szCs w:val="32"/>
          <w:lang w:val="en-US" w:eastAsia="zh-CN"/>
        </w:rPr>
        <w:t>5</w:t>
      </w:r>
      <w:r>
        <w:rPr>
          <w:rFonts w:hint="eastAsia" w:ascii="方正仿宋简体" w:hAnsi="方正仿宋简体" w:eastAsia="方正仿宋简体" w:cs="方正仿宋简体"/>
          <w:color w:val="auto"/>
          <w:sz w:val="32"/>
          <w:szCs w:val="32"/>
        </w:rPr>
        <w:t>年度井陉县住房和城乡建设局，202</w:t>
      </w:r>
      <w:r>
        <w:rPr>
          <w:rFonts w:hint="eastAsia" w:ascii="方正仿宋简体" w:hAnsi="方正仿宋简体" w:eastAsia="方正仿宋简体" w:cs="方正仿宋简体"/>
          <w:color w:val="auto"/>
          <w:sz w:val="32"/>
          <w:szCs w:val="32"/>
          <w:lang w:val="en-US" w:eastAsia="zh-CN"/>
        </w:rPr>
        <w:t>5</w:t>
      </w:r>
      <w:r>
        <w:rPr>
          <w:rFonts w:hint="eastAsia" w:ascii="方正仿宋简体" w:hAnsi="方正仿宋简体" w:eastAsia="方正仿宋简体" w:cs="方正仿宋简体"/>
          <w:color w:val="auto"/>
          <w:sz w:val="32"/>
          <w:szCs w:val="32"/>
        </w:rPr>
        <w:t>年年末实有人数行政人员</w:t>
      </w:r>
      <w:r>
        <w:rPr>
          <w:rFonts w:hint="eastAsia" w:ascii="方正仿宋简体" w:hAnsi="方正仿宋简体" w:eastAsia="方正仿宋简体" w:cs="方正仿宋简体"/>
          <w:color w:val="auto"/>
          <w:sz w:val="32"/>
          <w:szCs w:val="32"/>
          <w:lang w:val="en-US" w:eastAsia="zh-CN"/>
        </w:rPr>
        <w:t>7</w:t>
      </w:r>
      <w:r>
        <w:rPr>
          <w:rFonts w:hint="eastAsia" w:ascii="方正仿宋简体" w:hAnsi="方正仿宋简体" w:eastAsia="方正仿宋简体" w:cs="方正仿宋简体"/>
          <w:color w:val="auto"/>
          <w:sz w:val="32"/>
          <w:szCs w:val="32"/>
        </w:rPr>
        <w:t>人</w:t>
      </w:r>
      <w:r>
        <w:rPr>
          <w:rFonts w:hint="eastAsia" w:ascii="方正仿宋简体" w:hAnsi="方正仿宋简体" w:eastAsia="方正仿宋简体" w:cs="方正仿宋简体"/>
          <w:color w:val="auto"/>
          <w:sz w:val="32"/>
          <w:szCs w:val="32"/>
          <w:lang w:eastAsia="zh-CN"/>
        </w:rPr>
        <w:t>，退休人员</w:t>
      </w:r>
      <w:r>
        <w:rPr>
          <w:rFonts w:hint="eastAsia" w:ascii="方正仿宋简体" w:hAnsi="方正仿宋简体" w:eastAsia="方正仿宋简体" w:cs="方正仿宋简体"/>
          <w:color w:val="auto"/>
          <w:sz w:val="32"/>
          <w:szCs w:val="32"/>
          <w:lang w:val="en-US" w:eastAsia="zh-CN"/>
        </w:rPr>
        <w:t>14人</w:t>
      </w:r>
      <w:r>
        <w:rPr>
          <w:rFonts w:hint="eastAsia" w:ascii="方正仿宋简体" w:hAnsi="方正仿宋简体" w:eastAsia="方正仿宋简体" w:cs="方正仿宋简体"/>
          <w:color w:val="auto"/>
          <w:sz w:val="32"/>
          <w:szCs w:val="32"/>
        </w:rPr>
        <w:t>。井陉县房产服务所202</w:t>
      </w:r>
      <w:r>
        <w:rPr>
          <w:rFonts w:hint="eastAsia" w:ascii="方正仿宋简体" w:hAnsi="方正仿宋简体" w:eastAsia="方正仿宋简体" w:cs="方正仿宋简体"/>
          <w:color w:val="auto"/>
          <w:sz w:val="32"/>
          <w:szCs w:val="32"/>
          <w:lang w:val="en-US" w:eastAsia="zh-CN"/>
        </w:rPr>
        <w:t>5</w:t>
      </w:r>
      <w:r>
        <w:rPr>
          <w:rFonts w:hint="eastAsia" w:ascii="方正仿宋简体" w:hAnsi="方正仿宋简体" w:eastAsia="方正仿宋简体" w:cs="方正仿宋简体"/>
          <w:color w:val="auto"/>
          <w:sz w:val="32"/>
          <w:szCs w:val="32"/>
        </w:rPr>
        <w:t>年末在职职工</w:t>
      </w:r>
      <w:r>
        <w:rPr>
          <w:rFonts w:hint="eastAsia" w:ascii="方正仿宋简体" w:hAnsi="方正仿宋简体" w:eastAsia="方正仿宋简体" w:cs="方正仿宋简体"/>
          <w:color w:val="auto"/>
          <w:sz w:val="32"/>
          <w:szCs w:val="32"/>
          <w:lang w:val="en-US" w:eastAsia="zh-CN"/>
        </w:rPr>
        <w:t>25</w:t>
      </w:r>
      <w:r>
        <w:rPr>
          <w:rFonts w:hint="eastAsia" w:ascii="方正仿宋简体" w:hAnsi="方正仿宋简体" w:eastAsia="方正仿宋简体" w:cs="方正仿宋简体"/>
          <w:color w:val="auto"/>
          <w:sz w:val="32"/>
          <w:szCs w:val="32"/>
        </w:rPr>
        <w:t>人，退休人员</w:t>
      </w:r>
      <w:r>
        <w:rPr>
          <w:rFonts w:hint="eastAsia" w:ascii="方正仿宋简体" w:hAnsi="方正仿宋简体" w:eastAsia="方正仿宋简体" w:cs="方正仿宋简体"/>
          <w:color w:val="auto"/>
          <w:sz w:val="32"/>
          <w:szCs w:val="32"/>
          <w:lang w:val="en-US" w:eastAsia="zh-CN"/>
        </w:rPr>
        <w:t>30</w:t>
      </w:r>
      <w:r>
        <w:rPr>
          <w:rFonts w:hint="eastAsia" w:ascii="方正仿宋简体" w:hAnsi="方正仿宋简体" w:eastAsia="方正仿宋简体" w:cs="方正仿宋简体"/>
          <w:color w:val="auto"/>
          <w:sz w:val="32"/>
          <w:szCs w:val="32"/>
        </w:rPr>
        <w:t>人。井陉县建筑工程质量监督检测站年末在职人数</w:t>
      </w:r>
      <w:r>
        <w:rPr>
          <w:rFonts w:hint="eastAsia" w:ascii="方正仿宋简体" w:hAnsi="方正仿宋简体" w:eastAsia="方正仿宋简体" w:cs="方正仿宋简体"/>
          <w:color w:val="auto"/>
          <w:sz w:val="32"/>
          <w:szCs w:val="32"/>
          <w:lang w:val="en-US" w:eastAsia="zh-CN"/>
        </w:rPr>
        <w:t>21</w:t>
      </w:r>
      <w:r>
        <w:rPr>
          <w:rFonts w:hint="eastAsia" w:ascii="方正仿宋简体" w:hAnsi="方正仿宋简体" w:eastAsia="方正仿宋简体" w:cs="方正仿宋简体"/>
          <w:color w:val="auto"/>
          <w:sz w:val="32"/>
          <w:szCs w:val="32"/>
        </w:rPr>
        <w:t>人</w:t>
      </w:r>
      <w:r>
        <w:rPr>
          <w:rFonts w:hint="eastAsia" w:ascii="方正仿宋简体" w:hAnsi="方正仿宋简体" w:eastAsia="方正仿宋简体" w:cs="方正仿宋简体"/>
          <w:color w:val="auto"/>
          <w:sz w:val="32"/>
          <w:szCs w:val="32"/>
          <w:lang w:eastAsia="zh-CN"/>
        </w:rPr>
        <w:t>，退休人员</w:t>
      </w:r>
      <w:r>
        <w:rPr>
          <w:rFonts w:hint="eastAsia" w:ascii="方正仿宋简体" w:hAnsi="方正仿宋简体" w:eastAsia="方正仿宋简体" w:cs="方正仿宋简体"/>
          <w:color w:val="auto"/>
          <w:sz w:val="32"/>
          <w:szCs w:val="32"/>
          <w:lang w:val="en-US" w:eastAsia="zh-CN"/>
        </w:rPr>
        <w:t>12人</w:t>
      </w:r>
      <w:r>
        <w:rPr>
          <w:rFonts w:hint="eastAsia" w:ascii="方正仿宋简体" w:hAnsi="方正仿宋简体" w:eastAsia="方正仿宋简体" w:cs="方正仿宋简体"/>
          <w:color w:val="auto"/>
          <w:sz w:val="32"/>
          <w:szCs w:val="32"/>
        </w:rPr>
        <w:t>。</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方正仿宋简体" w:hAnsi="方正仿宋简体" w:eastAsia="方正仿宋简体" w:cs="方正仿宋简体"/>
          <w:color w:val="auto"/>
          <w:sz w:val="32"/>
          <w:szCs w:val="32"/>
        </w:rPr>
      </w:pPr>
      <w:r>
        <w:rPr>
          <w:rFonts w:hint="eastAsia" w:ascii="方正仿宋简体" w:hAnsi="方正仿宋简体" w:eastAsia="方正仿宋简体" w:cs="方正仿宋简体"/>
          <w:color w:val="auto"/>
          <w:sz w:val="32"/>
          <w:szCs w:val="32"/>
        </w:rPr>
        <w:t>资产情况：部门固定资产原值为</w:t>
      </w:r>
      <w:r>
        <w:rPr>
          <w:rFonts w:hint="eastAsia" w:ascii="方正仿宋简体" w:hAnsi="方正仿宋简体" w:eastAsia="方正仿宋简体" w:cs="方正仿宋简体"/>
          <w:color w:val="auto"/>
          <w:sz w:val="32"/>
          <w:szCs w:val="32"/>
          <w:lang w:val="en-US" w:eastAsia="zh-CN"/>
        </w:rPr>
        <w:t>1036.307847</w:t>
      </w:r>
      <w:r>
        <w:rPr>
          <w:rFonts w:hint="eastAsia" w:ascii="方正仿宋简体" w:hAnsi="方正仿宋简体" w:eastAsia="方正仿宋简体" w:cs="方正仿宋简体"/>
          <w:color w:val="auto"/>
          <w:sz w:val="32"/>
          <w:szCs w:val="32"/>
        </w:rPr>
        <w:t>万元</w:t>
      </w:r>
      <w:r>
        <w:rPr>
          <w:rFonts w:hint="eastAsia" w:ascii="方正仿宋简体" w:hAnsi="方正仿宋简体" w:eastAsia="方正仿宋简体" w:cs="方正仿宋简体"/>
          <w:color w:val="auto"/>
          <w:sz w:val="32"/>
          <w:szCs w:val="32"/>
          <w:lang w:eastAsia="zh-CN"/>
        </w:rPr>
        <w:t>。</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pStyle w:val="3"/>
        <w:widowControl w:val="0"/>
        <w:spacing w:before="0" w:beforeAutospacing="0" w:after="0" w:afterAutospacing="0" w:line="600" w:lineRule="exact"/>
        <w:ind w:firstLine="640" w:firstLineChars="200"/>
        <w:jc w:val="both"/>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当年收入支出预算执行基本情况：2025年度收、支总计（含结转和结余）11622.348665万元。</w:t>
      </w:r>
    </w:p>
    <w:p>
      <w:pPr>
        <w:snapToGrid w:val="0"/>
        <w:spacing w:line="600" w:lineRule="exact"/>
        <w:ind w:firstLine="640" w:firstLineChars="20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本年度一般公共预算财政拨款收入2343.713941万元，本年度一般公共预算财政拨款支出2343.713941万元，预算执行率100%；我部门本年度政府性基金预算财政拨款收入9204.634724万元，本年度政府性基金预算财政拨款支出9204.634724万元，预算执行率100%；我部门本年度非财政拨款（其他收入）收入74万元，我部门本年度非财政拨款（其他收入）支出74万元，预算执行率100%。</w:t>
      </w:r>
    </w:p>
    <w:p>
      <w:pPr>
        <w:snapToGrid w:val="0"/>
        <w:spacing w:line="600" w:lineRule="exact"/>
        <w:ind w:firstLine="640" w:firstLineChars="20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2025年度一般公共预算财政拨款收入10173.049095万元，本年度一般公共预算财政拨款支出10173.049095万元，预算执行率100%；我部门本年度政府性基金预算财政拨款收入1573.415857万元，本年度政府性基金预算财政拨款支出1573.415857万元，预算执行率100%。</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napToGrid w:val="0"/>
        <w:spacing w:line="600" w:lineRule="exact"/>
        <w:ind w:firstLine="640" w:firstLineChars="20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贯彻执行国家和省市有关住房保障和城乡建设方面的分针、政策和法律、法规、规章；组织制定县城建设、工程建设、城镇建设、建筑业、房地产业、勘察设计业及市政公用事业的近期发展和中长期发展规划，并负责组织实施和进行行业监督管理；制定行业规范性文件，并组织实施；负责行业诚信体系；负责城市基础设施建设及管理工作；负责市政基础设施建设资本运营和投融资管理工作；负责城市维护建设资金的安排、使用和管理，编制年度计划并监督实施；负责城区防汛工作；负责推进城市化建设工作；探索城乡统筹发展模式，推动城乡一体化进程；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负责全县建筑市场监督管理；负责建筑业和装饰装修市场准入、工程招投标、工程造价、建筑设计、工程监理、工程质量、工程安全生产、文明施工及工程项目竣工验收备案的管理监督工作；负责建筑材料、设备使用备案的管理；负责建筑市场稽查和施工许可证的审核发放工作；组织协调建设企业参与县外工程承包、建筑劳务合作；负责全县房地产开发行业的监督管理开发行业的监督管理工作；负责编制城镇住房建设和城市建设综合开发中长期规划和年度计划并监督实施，负责房地产开发市场准入和清出、房地产市场监督管理和稽查工作。负责房地产开发企业资质管理及申报工作；负责对房产服务机构、房产评估机构、测绘机构的经营活动进行检查、监督和管理；负责房改、主管公房及维修基金的管理；归口管理全县的房屋评估拆迁工作；负责危险房屋监督管理及鉴定工作。指导和管理县城的市政设施、公用事业、园林绿化、环境卫生工作；指导现场规划区内地下水的开发利用和保护;指导和管理城市环境综合整治和城建监察；负责全县供热、燃气、液化气行业管理。负责各类房屋建筑及其附属设施和城市市政设施建设工程的防震设防监督管理工作；指导全县建筑节能、墙体材料革新、粉煤灰综合利用工作；负责全县住房保障和城乡建设档案工作。负责县保障性住房规划和年度计划的拟定，并组织实施；负责保障性住房的构建、管理以及保障对象的备案；负责廉租住房租赁补贴发放管理；负责各类房屋产权的登记、变更、抵押及房产交易管理工作；负责县城危楼住宅改造的行踪管理、旧住宅小区改善工作；负责物业管理行政执法工作、规范物业管理市场。管理机关和直属事业单位的人事、机构编制工作；负责指导本系统职工队伍的培训和教育工作。承办县委、县政府及上级住建行政主管部门交办的其他事项。</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afterAutospacing="0" w:line="560" w:lineRule="exact"/>
        <w:ind w:left="0"/>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spacing w:afterAutospacing="0" w:line="560" w:lineRule="exact"/>
        <w:ind w:left="0" w:firstLine="640" w:firstLineChars="200"/>
        <w:jc w:val="left"/>
        <w:textAlignment w:val="auto"/>
        <w:rPr>
          <w:rFonts w:ascii="仿宋" w:hAnsi="仿宋" w:eastAsia="仿宋"/>
          <w:sz w:val="32"/>
          <w:szCs w:val="32"/>
        </w:rPr>
      </w:pPr>
      <w:r>
        <w:rPr>
          <w:rFonts w:hint="eastAsia" w:ascii="仿宋" w:hAnsi="仿宋" w:eastAsia="仿宋" w:cs="仿宋"/>
          <w:sz w:val="32"/>
          <w:szCs w:val="32"/>
          <w:lang w:val="en-US" w:eastAsia="zh-CN"/>
        </w:rPr>
        <w:t>绩效评价小组通过搜集相应资料，了解了项目相关的政策、具体实施过程和项目的实际完成情况。同时在与项目实施单位充分沟通的基础上进行项目资料收集、整理和分析工作；在项目实施单位相关人员的共同参与下，绩效评价小组对本项目的预期产出和效益进行现场核实，最终确定本项目的完成效果。</w:t>
      </w:r>
    </w:p>
    <w:p>
      <w:pPr>
        <w:keepNext w:val="0"/>
        <w:keepLines w:val="0"/>
        <w:pageBreakBefore w:val="0"/>
        <w:numPr>
          <w:ilvl w:val="0"/>
          <w:numId w:val="1"/>
        </w:numPr>
        <w:kinsoku/>
        <w:wordWrap/>
        <w:overflowPunct/>
        <w:topLinePunct w:val="0"/>
        <w:autoSpaceDE/>
        <w:autoSpaceDN/>
        <w:bidi w:val="0"/>
        <w:spacing w:afterAutospacing="0" w:line="560" w:lineRule="exact"/>
        <w:ind w:left="0"/>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napToGrid w:val="0"/>
        <w:spacing w:line="600" w:lineRule="exact"/>
        <w:ind w:firstLine="640" w:firstLineChars="20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本次绩效评价按评价要求，采用目标预定与实施效果比较法、资料研究、抽查和询问等方法，审核并计算各项指标得分，对每个项目进行绩效评价。采用这种方法能够客观、公正、准确、全面地反映项目的实际情况。</w:t>
      </w:r>
    </w:p>
    <w:p>
      <w:pPr>
        <w:keepNext w:val="0"/>
        <w:keepLines w:val="0"/>
        <w:pageBreakBefore w:val="0"/>
        <w:kinsoku/>
        <w:wordWrap/>
        <w:overflowPunct/>
        <w:topLinePunct w:val="0"/>
        <w:autoSpaceDE/>
        <w:autoSpaceDN/>
        <w:bidi w:val="0"/>
        <w:spacing w:afterAutospacing="0" w:line="560" w:lineRule="exact"/>
        <w:ind w:left="0" w:firstLine="643" w:firstLineChars="200"/>
        <w:textAlignment w:val="baseline"/>
        <w:rPr>
          <w:rFonts w:hint="eastAsia" w:ascii="方正仿宋简体" w:hAnsi="方正仿宋简体" w:eastAsia="方正仿宋简体" w:cs="方正仿宋简体"/>
          <w:kern w:val="2"/>
          <w:sz w:val="32"/>
          <w:szCs w:val="32"/>
          <w:lang w:val="en-US" w:eastAsia="zh-CN" w:bidi="ar-SA"/>
        </w:rPr>
      </w:pPr>
      <w:r>
        <w:rPr>
          <w:rFonts w:hint="eastAsia" w:ascii="仿宋_GB2312" w:hAnsi="宋体" w:eastAsia="仿宋_GB2312"/>
          <w:b/>
          <w:bCs/>
          <w:color w:val="000000"/>
          <w:sz w:val="32"/>
          <w:szCs w:val="32"/>
          <w:u w:color="000000"/>
        </w:rPr>
        <w:t>1.目标比较法。</w:t>
      </w:r>
      <w:r>
        <w:rPr>
          <w:rFonts w:hint="eastAsia" w:ascii="方正仿宋简体" w:hAnsi="方正仿宋简体" w:eastAsia="方正仿宋简体" w:cs="方正仿宋简体"/>
          <w:kern w:val="2"/>
          <w:sz w:val="32"/>
          <w:szCs w:val="32"/>
          <w:lang w:val="en-US" w:eastAsia="zh-CN" w:bidi="ar-SA"/>
        </w:rPr>
        <w:t>主要是对该项目的实际完成情况与其制定的绩效目标进行比较，分析预计目标的完成程度。</w:t>
      </w:r>
    </w:p>
    <w:p>
      <w:pPr>
        <w:keepNext w:val="0"/>
        <w:keepLines w:val="0"/>
        <w:pageBreakBefore w:val="0"/>
        <w:kinsoku/>
        <w:wordWrap/>
        <w:overflowPunct/>
        <w:topLinePunct w:val="0"/>
        <w:autoSpaceDE/>
        <w:autoSpaceDN/>
        <w:bidi w:val="0"/>
        <w:spacing w:afterAutospacing="0" w:line="560" w:lineRule="exact"/>
        <w:ind w:left="0" w:firstLine="643" w:firstLineChars="200"/>
        <w:textAlignment w:val="baseline"/>
        <w:rPr>
          <w:rFonts w:hint="eastAsia" w:ascii="方正仿宋简体" w:hAnsi="方正仿宋简体" w:eastAsia="方正仿宋简体" w:cs="方正仿宋简体"/>
          <w:kern w:val="2"/>
          <w:sz w:val="32"/>
          <w:szCs w:val="32"/>
          <w:lang w:val="en-US" w:eastAsia="zh-CN" w:bidi="ar-SA"/>
        </w:rPr>
      </w:pPr>
      <w:r>
        <w:rPr>
          <w:rFonts w:hint="eastAsia" w:ascii="仿宋_GB2312" w:hAnsi="宋体" w:eastAsia="仿宋_GB2312"/>
          <w:b/>
          <w:bCs/>
          <w:color w:val="000000"/>
          <w:sz w:val="32"/>
          <w:szCs w:val="32"/>
          <w:u w:color="000000"/>
        </w:rPr>
        <w:t>2.资料研究。</w:t>
      </w:r>
      <w:r>
        <w:rPr>
          <w:rFonts w:hint="eastAsia" w:ascii="方正仿宋简体" w:hAnsi="方正仿宋简体" w:eastAsia="方正仿宋简体" w:cs="方正仿宋简体"/>
          <w:kern w:val="2"/>
          <w:sz w:val="32"/>
          <w:szCs w:val="32"/>
          <w:lang w:val="en-US" w:eastAsia="zh-CN" w:bidi="ar-SA"/>
        </w:rPr>
        <w:t>查看工程项目资料，查看各专项资金下达计划、资金管理要求、财务资料等，对各项工程的完工情况和管理指标进行评价。</w:t>
      </w:r>
    </w:p>
    <w:p>
      <w:pPr>
        <w:keepNext w:val="0"/>
        <w:keepLines w:val="0"/>
        <w:pageBreakBefore w:val="0"/>
        <w:kinsoku/>
        <w:wordWrap/>
        <w:overflowPunct/>
        <w:topLinePunct w:val="0"/>
        <w:autoSpaceDE/>
        <w:autoSpaceDN/>
        <w:bidi w:val="0"/>
        <w:spacing w:afterAutospacing="0" w:line="560" w:lineRule="exact"/>
        <w:ind w:left="0" w:firstLine="643" w:firstLineChars="200"/>
        <w:rPr>
          <w:rFonts w:hint="eastAsia" w:ascii="方正仿宋简体" w:hAnsi="方正仿宋简体" w:eastAsia="方正仿宋简体" w:cs="方正仿宋简体"/>
          <w:kern w:val="2"/>
          <w:sz w:val="32"/>
          <w:szCs w:val="32"/>
          <w:lang w:val="en-US" w:eastAsia="zh-CN" w:bidi="ar-SA"/>
        </w:rPr>
      </w:pPr>
      <w:r>
        <w:rPr>
          <w:rFonts w:hint="eastAsia" w:ascii="仿宋" w:hAnsi="仿宋" w:eastAsia="仿宋" w:cs="仿宋"/>
          <w:b/>
          <w:bCs/>
          <w:color w:val="000000"/>
          <w:sz w:val="32"/>
          <w:szCs w:val="32"/>
          <w:u w:color="000000"/>
        </w:rPr>
        <w:t>3、抽查法。</w:t>
      </w:r>
      <w:r>
        <w:rPr>
          <w:rFonts w:hint="eastAsia" w:ascii="方正仿宋简体" w:hAnsi="方正仿宋简体" w:eastAsia="方正仿宋简体" w:cs="方正仿宋简体"/>
          <w:kern w:val="2"/>
          <w:sz w:val="32"/>
          <w:szCs w:val="32"/>
          <w:lang w:val="en-US" w:eastAsia="zh-CN" w:bidi="ar-SA"/>
        </w:rPr>
        <w:t>对该工程项目相关的会计凭证、账簿和决算表，选择有代表性的、金额大的一部分进行检查，分析资金使用合规性及真实性。</w:t>
      </w:r>
    </w:p>
    <w:p>
      <w:pPr>
        <w:keepNext w:val="0"/>
        <w:keepLines w:val="0"/>
        <w:pageBreakBefore w:val="0"/>
        <w:kinsoku/>
        <w:wordWrap/>
        <w:overflowPunct/>
        <w:topLinePunct w:val="0"/>
        <w:autoSpaceDE/>
        <w:autoSpaceDN/>
        <w:bidi w:val="0"/>
        <w:spacing w:afterAutospacing="0" w:line="560" w:lineRule="exact"/>
        <w:ind w:left="0" w:firstLine="640" w:firstLineChars="200"/>
        <w:textAlignment w:val="baseline"/>
        <w:rPr>
          <w:rFonts w:hint="eastAsia" w:ascii="方正仿宋简体" w:hAnsi="方正仿宋简体" w:eastAsia="方正仿宋简体" w:cs="方正仿宋简体"/>
          <w:kern w:val="2"/>
          <w:sz w:val="32"/>
          <w:szCs w:val="32"/>
          <w:lang w:val="en-US" w:eastAsia="zh-CN" w:bidi="ar-SA"/>
        </w:rPr>
      </w:pPr>
      <w:r>
        <w:rPr>
          <w:rFonts w:hint="eastAsia" w:ascii="仿宋" w:hAnsi="仿宋" w:eastAsia="仿宋" w:cs="仿宋"/>
          <w:color w:val="000000"/>
          <w:sz w:val="32"/>
          <w:szCs w:val="32"/>
          <w:u w:color="000000"/>
        </w:rPr>
        <w:t>4、</w:t>
      </w:r>
      <w:r>
        <w:rPr>
          <w:rFonts w:hint="eastAsia" w:ascii="仿宋" w:hAnsi="仿宋" w:eastAsia="仿宋" w:cs="仿宋"/>
          <w:b/>
          <w:bCs/>
          <w:color w:val="000000"/>
          <w:sz w:val="32"/>
          <w:szCs w:val="32"/>
          <w:u w:color="000000"/>
        </w:rPr>
        <w:t>询问。</w:t>
      </w:r>
      <w:r>
        <w:rPr>
          <w:rFonts w:hint="eastAsia" w:ascii="方正仿宋简体" w:hAnsi="方正仿宋简体" w:eastAsia="方正仿宋简体" w:cs="方正仿宋简体"/>
          <w:kern w:val="2"/>
          <w:sz w:val="32"/>
          <w:szCs w:val="32"/>
          <w:lang w:val="en-US" w:eastAsia="zh-CN" w:bidi="ar-SA"/>
        </w:rPr>
        <w:t>询问对象为各个项目管理人员等相关工作人员。通过询问，收集项目管理工作中的相关信息，以便于部门绩效评价工作顺利开展。</w:t>
      </w:r>
    </w:p>
    <w:p>
      <w:pPr>
        <w:keepNext w:val="0"/>
        <w:keepLines w:val="0"/>
        <w:pageBreakBefore w:val="0"/>
        <w:kinsoku/>
        <w:wordWrap/>
        <w:overflowPunct/>
        <w:topLinePunct w:val="0"/>
        <w:autoSpaceDE/>
        <w:autoSpaceDN/>
        <w:bidi w:val="0"/>
        <w:spacing w:afterAutospacing="0" w:line="560" w:lineRule="exact"/>
        <w:ind w:left="0"/>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2"/>
        </w:numPr>
        <w:kinsoku/>
        <w:wordWrap/>
        <w:overflowPunct/>
        <w:topLinePunct w:val="0"/>
        <w:autoSpaceDE/>
        <w:autoSpaceDN/>
        <w:bidi w:val="0"/>
        <w:spacing w:afterAutospacing="0"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autoSpaceDN/>
        <w:bidi w:val="0"/>
        <w:snapToGrid w:val="0"/>
        <w:spacing w:afterAutospacing="0" w:line="560" w:lineRule="exact"/>
        <w:ind w:left="0" w:firstLine="643" w:firstLineChars="200"/>
        <w:rPr>
          <w:rFonts w:hint="eastAsia" w:ascii="方正仿宋简体" w:hAnsi="方正仿宋简体" w:eastAsia="方正仿宋简体" w:cs="方正仿宋简体"/>
          <w:kern w:val="2"/>
          <w:sz w:val="32"/>
          <w:szCs w:val="32"/>
          <w:lang w:val="en-US" w:eastAsia="zh-CN" w:bidi="ar-SA"/>
        </w:rPr>
      </w:pPr>
      <w:r>
        <w:rPr>
          <w:rFonts w:hint="eastAsia" w:ascii="楷体_GB2312" w:hAnsi="楷体_GB2312" w:eastAsia="楷体_GB2312" w:cs="楷体_GB2312"/>
          <w:b/>
          <w:bCs/>
          <w:i w:val="0"/>
          <w:iCs w:val="0"/>
          <w:caps w:val="0"/>
          <w:color w:val="auto"/>
          <w:spacing w:val="0"/>
          <w:sz w:val="32"/>
          <w:szCs w:val="32"/>
          <w:lang w:val="en-US" w:eastAsia="zh-CN"/>
        </w:rPr>
        <w:t>保障房管理规范高效。</w:t>
      </w:r>
      <w:r>
        <w:rPr>
          <w:rFonts w:hint="eastAsia" w:ascii="方正仿宋简体" w:hAnsi="方正仿宋简体" w:eastAsia="方正仿宋简体" w:cs="方正仿宋简体"/>
          <w:kern w:val="2"/>
          <w:sz w:val="32"/>
          <w:szCs w:val="32"/>
          <w:lang w:val="en-US" w:eastAsia="zh-CN" w:bidi="ar-SA"/>
        </w:rPr>
        <w:t>截至目前，全县住房保障体系覆盖544户家庭，其中实物配租527户、住房租赁补贴17户，全年发放补贴3.024万元，收取保障房租金154.44万元；人才公寓保障101户，收取租金28.35万元，两类租金合计182.79万元。投用井新花园、桃洼街两个人才公寓小区，累计服务人才180余名，2025年为32名优秀人才办理配租入住，为人才引进提供住房支撑</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60" w:lineRule="exact"/>
        <w:ind w:left="0" w:leftChars="0" w:firstLine="643" w:firstLineChars="200"/>
        <w:jc w:val="both"/>
        <w:textAlignment w:val="auto"/>
        <w:rPr>
          <w:rFonts w:hint="eastAsia" w:ascii="方正仿宋简体" w:hAnsi="方正仿宋简体" w:eastAsia="方正仿宋简体" w:cs="方正仿宋简体"/>
          <w:kern w:val="2"/>
          <w:sz w:val="32"/>
          <w:szCs w:val="32"/>
          <w:lang w:val="en-US" w:eastAsia="zh-CN" w:bidi="ar-SA"/>
        </w:rPr>
      </w:pPr>
      <w:r>
        <w:rPr>
          <w:rFonts w:hint="eastAsia" w:ascii="楷体_GB2312" w:hAnsi="楷体_GB2312" w:eastAsia="楷体_GB2312" w:cs="楷体_GB2312"/>
          <w:b/>
          <w:bCs/>
          <w:i w:val="0"/>
          <w:iCs w:val="0"/>
          <w:caps w:val="0"/>
          <w:color w:val="auto"/>
          <w:spacing w:val="0"/>
          <w:sz w:val="32"/>
          <w:szCs w:val="32"/>
          <w:lang w:val="en-US" w:eastAsia="zh-CN"/>
        </w:rPr>
        <w:t>绿地扩容提质。</w:t>
      </w:r>
      <w:r>
        <w:rPr>
          <w:rFonts w:hint="eastAsia" w:ascii="方正仿宋简体" w:hAnsi="方正仿宋简体" w:eastAsia="方正仿宋简体" w:cs="方正仿宋简体"/>
          <w:kern w:val="2"/>
          <w:sz w:val="32"/>
          <w:szCs w:val="32"/>
          <w:lang w:val="en-US" w:eastAsia="zh-CN" w:bidi="ar-SA"/>
        </w:rPr>
        <w:t>今年以来，我局统筹推进公园绿地建设与裸露地块整治，投资2700万，新建安居园、文汇园、金融公园、新区1号路防护绿地、石河路防护绿地，新增绿化面积4.1379万平方米。</w:t>
      </w:r>
    </w:p>
    <w:p>
      <w:pPr>
        <w:keepNext w:val="0"/>
        <w:keepLines w:val="0"/>
        <w:pageBreakBefore w:val="0"/>
        <w:widowControl w:val="0"/>
        <w:kinsoku/>
        <w:wordWrap/>
        <w:overflowPunct/>
        <w:topLinePunct w:val="0"/>
        <w:autoSpaceDE/>
        <w:autoSpaceDN/>
        <w:bidi w:val="0"/>
        <w:adjustRightInd/>
        <w:snapToGrid/>
        <w:spacing w:afterAutospacing="0" w:line="560" w:lineRule="exact"/>
        <w:ind w:left="0" w:leftChars="0" w:firstLine="643" w:firstLineChars="200"/>
        <w:jc w:val="both"/>
        <w:textAlignment w:val="auto"/>
        <w:rPr>
          <w:rFonts w:hint="eastAsia" w:ascii="方正仿宋简体" w:hAnsi="方正仿宋简体" w:eastAsia="方正仿宋简体" w:cs="方正仿宋简体"/>
          <w:color w:val="auto"/>
          <w:sz w:val="32"/>
          <w:szCs w:val="32"/>
          <w:lang w:eastAsia="zh-CN"/>
        </w:rPr>
      </w:pPr>
      <w:r>
        <w:rPr>
          <w:rFonts w:hint="eastAsia" w:ascii="楷体_GB2312" w:hAnsi="楷体_GB2312" w:eastAsia="楷体_GB2312" w:cs="楷体_GB2312"/>
          <w:b/>
          <w:bCs/>
          <w:i w:val="0"/>
          <w:iCs w:val="0"/>
          <w:caps w:val="0"/>
          <w:color w:val="auto"/>
          <w:spacing w:val="0"/>
          <w:sz w:val="32"/>
          <w:szCs w:val="32"/>
          <w:lang w:val="en-US" w:eastAsia="zh-CN"/>
        </w:rPr>
        <w:t>欢喜岭天桥建成通行。</w:t>
      </w:r>
      <w:r>
        <w:rPr>
          <w:rFonts w:hint="eastAsia" w:ascii="方正仿宋简体" w:hAnsi="方正仿宋简体" w:eastAsia="方正仿宋简体" w:cs="方正仿宋简体"/>
          <w:kern w:val="2"/>
          <w:sz w:val="32"/>
          <w:szCs w:val="32"/>
          <w:lang w:val="en-US" w:eastAsia="zh-CN" w:bidi="ar-SA"/>
        </w:rPr>
        <w:t>总投资575.34万元，主桥长38米，宽5米，桥下净高5米，单侧设置人行梯道和非机动车坡道，宽均为3米，配套建设人行、非机动车专用通行道路，5月开工，9月竣工通行，建成后彻底解决了欢喜岭周边每天5000余人次的出行安全问题，保障了周边业主和居民的出行安全。</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3"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楷体_GB2312" w:hAnsi="楷体_GB2312" w:eastAsia="楷体_GB2312" w:cs="楷体_GB2312"/>
          <w:b/>
          <w:bCs/>
          <w:i w:val="0"/>
          <w:iCs w:val="0"/>
          <w:caps w:val="0"/>
          <w:color w:val="auto"/>
          <w:spacing w:val="0"/>
          <w:sz w:val="32"/>
          <w:szCs w:val="32"/>
          <w:lang w:val="en-US" w:eastAsia="zh-CN"/>
        </w:rPr>
        <w:t>井陉新区部分地下管网新建项目稳步推进。</w:t>
      </w:r>
      <w:r>
        <w:rPr>
          <w:rFonts w:hint="eastAsia" w:ascii="方正仿宋简体" w:hAnsi="方正仿宋简体" w:eastAsia="方正仿宋简体" w:cs="方正仿宋简体"/>
          <w:kern w:val="2"/>
          <w:sz w:val="32"/>
          <w:szCs w:val="32"/>
          <w:lang w:val="en-US" w:eastAsia="zh-CN" w:bidi="ar-SA"/>
        </w:rPr>
        <w:t>总投资8105万元，新建雨水管网7020米，配套建设检查井174座、雨水调蓄池、安全监测设施等。于2025年9月30日开始进场施工，目前已铺设雨水管道481米，砌筑雨水检查井18座；铺设污水管道1150米，砌筑污水检查井24座，渠道修复260米。</w:t>
      </w:r>
    </w:p>
    <w:p>
      <w:pPr>
        <w:keepNext w:val="0"/>
        <w:keepLines w:val="0"/>
        <w:pageBreakBefore w:val="0"/>
        <w:kinsoku/>
        <w:wordWrap/>
        <w:overflowPunct/>
        <w:topLinePunct w:val="0"/>
        <w:autoSpaceDE/>
        <w:autoSpaceDN/>
        <w:bidi w:val="0"/>
        <w:spacing w:afterAutospacing="0" w:line="560" w:lineRule="exact"/>
        <w:ind w:left="0"/>
        <w:rPr>
          <w:rFonts w:hint="eastAsia" w:ascii="楷体" w:hAnsi="楷体" w:eastAsia="楷体" w:cs="楷体_GB2312"/>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 xml:space="preserve"> （二）分项绩效目标实现情况及指标分析</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1、住房保障及公积金管理</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目标：确保完成国家下达我县保障性安居工程建设责任目标。全面加快棚户区改造，鼓励和引导各地推行货币化安置和政府购买棚改服务工作。稳妥推进保障房并轨，进一步健全分配管理机制，做到准入标准科学、审核程序规范、分配过程公开、退出管理严格。</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绩效指标：住房质量达标率、社会效益稳定水平、服务对象满意率。</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2、城乡建设管理</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绩效目标：城市基础设施系统更加完善，综合功能明显增强，环境更加优美，城市管理更加精细，城市更加宜居、舒适。</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绩效指标：生态效益达标率、城市基础设施建设工作修缮率、县城居民满意度。</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3、建筑业、房地产市场监管</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绩效目标：指导、规范建筑市场、工程造价管理及建筑工程招投标管理，完善市场准入，健全市场规则，加强市场监管，开展安全隐患排查整治活动，维护了建筑市场平安稳定促进水平、质量、信誉的提高。</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绩效指标：市场准入规范率、市场监管率、建筑工程质量达标率。</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4、住建政务管理</w:t>
      </w:r>
    </w:p>
    <w:p>
      <w:pPr>
        <w:pStyle w:val="9"/>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绩效目标：建设信息化管理，搭建县市信息资源共享平台，实现县市住房城乡建设信息资源规划和共享， 完善行业信息系统建设相关标准规范编制和数据整理；优化完善健全数字建筑市场机关办公自动化系统，确保政务正常开展。</w:t>
      </w:r>
    </w:p>
    <w:p>
      <w:pPr>
        <w:pStyle w:val="9"/>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kern w:val="2"/>
          <w:sz w:val="32"/>
          <w:szCs w:val="32"/>
          <w:lang w:val="en-US" w:eastAsia="zh-CN" w:bidi="ar-SA"/>
        </w:rPr>
        <w:t>绩效指标：节约成本率、年度工作完成率、群众满意度。</w:t>
      </w:r>
    </w:p>
    <w:p>
      <w:pPr>
        <w:keepNext w:val="0"/>
        <w:keepLines w:val="0"/>
        <w:pageBreakBefore w:val="0"/>
        <w:kinsoku/>
        <w:wordWrap/>
        <w:overflowPunct/>
        <w:topLinePunct w:val="0"/>
        <w:autoSpaceDE/>
        <w:autoSpaceDN/>
        <w:bidi w:val="0"/>
        <w:spacing w:afterAutospacing="0" w:line="560" w:lineRule="exact"/>
        <w:ind w:left="0"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color w:val="auto"/>
          <w:kern w:val="2"/>
          <w:sz w:val="32"/>
          <w:szCs w:val="32"/>
          <w:lang w:val="en-US" w:eastAsia="zh-CN" w:bidi="ar-SA"/>
        </w:rPr>
      </w:pPr>
      <w:bookmarkStart w:id="0" w:name="_GoBack"/>
      <w:r>
        <w:rPr>
          <w:rFonts w:hint="eastAsia" w:ascii="方正仿宋简体" w:hAnsi="方正仿宋简体" w:eastAsia="方正仿宋简体" w:cs="方正仿宋简体"/>
          <w:color w:val="auto"/>
          <w:kern w:val="2"/>
          <w:sz w:val="32"/>
          <w:szCs w:val="32"/>
          <w:lang w:val="en-US" w:eastAsia="zh-CN" w:bidi="ar-SA"/>
        </w:rPr>
        <w:t>根据部门职责定位和各项工作履职情况进行综合评价，给出总得分，满分100分，得出综合绩效评价等级。部门整体支出综合绩效评价分为4个等级：得分≥85分为优秀（部门项目40个）；75≤得分＜85分为良好（部门项目7个）；60≤得分＜75分为一般（部门项目2个）；得分＜60分为较差（部门项目1个）。</w:t>
      </w:r>
    </w:p>
    <w:bookmarkEnd w:id="0"/>
    <w:p>
      <w:pPr>
        <w:keepNext w:val="0"/>
        <w:keepLines w:val="0"/>
        <w:pageBreakBefore w:val="0"/>
        <w:kinsoku/>
        <w:wordWrap/>
        <w:overflowPunct/>
        <w:topLinePunct w:val="0"/>
        <w:autoSpaceDE/>
        <w:autoSpaceDN/>
        <w:bidi w:val="0"/>
        <w:spacing w:afterAutospacing="0" w:line="560" w:lineRule="exact"/>
        <w:ind w:left="0" w:firstLine="640" w:firstLineChars="200"/>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kinsoku/>
        <w:wordWrap/>
        <w:overflowPunct/>
        <w:topLinePunct w:val="0"/>
        <w:autoSpaceDE/>
        <w:autoSpaceDN/>
        <w:bidi w:val="0"/>
        <w:spacing w:afterAutospacing="0" w:line="560" w:lineRule="exact"/>
        <w:ind w:left="0"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1、绩效目标不完整，绩效指标不够细化量化</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2、未制定相应的考核机制</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3、管理制度有待完善</w:t>
      </w:r>
    </w:p>
    <w:p>
      <w:pPr>
        <w:keepNext w:val="0"/>
        <w:keepLines w:val="0"/>
        <w:pageBreakBefore w:val="0"/>
        <w:kinsoku/>
        <w:wordWrap/>
        <w:overflowPunct/>
        <w:topLinePunct w:val="0"/>
        <w:autoSpaceDE/>
        <w:autoSpaceDN/>
        <w:bidi w:val="0"/>
        <w:spacing w:afterAutospacing="0" w:line="560" w:lineRule="exact"/>
        <w:ind w:left="0"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1、科学设定绩效目标，细化量化绩效指标</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2、制定监督考核机制，提升项目结果的应用效果</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3、加强管理制度的制定和执行</w:t>
      </w:r>
    </w:p>
    <w:p>
      <w:pPr>
        <w:keepNext w:val="0"/>
        <w:keepLines w:val="0"/>
        <w:pageBreakBefore w:val="0"/>
        <w:widowControl w:val="0"/>
        <w:kinsoku/>
        <w:wordWrap/>
        <w:overflowPunct/>
        <w:topLinePunct w:val="0"/>
        <w:autoSpaceDE/>
        <w:autoSpaceDN/>
        <w:bidi w:val="0"/>
        <w:adjustRightInd/>
        <w:snapToGrid/>
        <w:spacing w:afterAutospacing="0" w:line="560" w:lineRule="exact"/>
        <w:ind w:left="0" w:firstLine="640" w:firstLineChars="200"/>
        <w:textAlignment w:val="auto"/>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4、组织各相关部门积极协调，推进项目早日竣工</w:t>
      </w:r>
    </w:p>
    <w:p>
      <w:pPr>
        <w:keepNext w:val="0"/>
        <w:keepLines w:val="0"/>
        <w:pageBreakBefore w:val="0"/>
        <w:kinsoku/>
        <w:wordWrap/>
        <w:overflowPunct/>
        <w:topLinePunct w:val="0"/>
        <w:autoSpaceDE/>
        <w:autoSpaceDN/>
        <w:bidi w:val="0"/>
        <w:adjustRightInd w:val="0"/>
        <w:snapToGrid w:val="0"/>
        <w:spacing w:afterAutospacing="0" w:line="560" w:lineRule="exact"/>
        <w:ind w:left="0"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2"/>
        <w:keepNext w:val="0"/>
        <w:keepLines w:val="0"/>
        <w:pageBreakBefore w:val="0"/>
        <w:kinsoku/>
        <w:wordWrap/>
        <w:overflowPunct/>
        <w:topLinePunct w:val="0"/>
        <w:autoSpaceDE/>
        <w:autoSpaceDN/>
        <w:bidi w:val="0"/>
        <w:spacing w:afterAutospacing="0" w:line="560" w:lineRule="exact"/>
        <w:ind w:left="0" w:firstLine="1280" w:firstLineChars="40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sz w:val="32"/>
          <w:szCs w:val="32"/>
        </w:rPr>
        <w:t xml:space="preserve"> </w:t>
      </w:r>
      <w:r>
        <w:rPr>
          <w:rFonts w:hint="eastAsia" w:ascii="方正仿宋简体" w:hAnsi="方正仿宋简体" w:eastAsia="方正仿宋简体" w:cs="方正仿宋简体"/>
          <w:kern w:val="2"/>
          <w:sz w:val="32"/>
          <w:szCs w:val="32"/>
          <w:lang w:val="en-US" w:eastAsia="zh-CN" w:bidi="ar-SA"/>
        </w:rPr>
        <w:t>韩润生  井陉县住房和城乡建设局副局长</w:t>
      </w:r>
    </w:p>
    <w:p>
      <w:pPr>
        <w:pStyle w:val="2"/>
        <w:keepNext w:val="0"/>
        <w:keepLines w:val="0"/>
        <w:pageBreakBefore w:val="0"/>
        <w:kinsoku/>
        <w:wordWrap/>
        <w:overflowPunct/>
        <w:topLinePunct w:val="0"/>
        <w:autoSpaceDE/>
        <w:autoSpaceDN/>
        <w:bidi w:val="0"/>
        <w:spacing w:afterAutospacing="0" w:line="560" w:lineRule="exact"/>
        <w:ind w:left="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 xml:space="preserve">     赵  烁  井陉县住房和城乡建设局办公室主任</w:t>
      </w:r>
    </w:p>
    <w:p>
      <w:pPr>
        <w:pStyle w:val="2"/>
        <w:keepNext w:val="0"/>
        <w:keepLines w:val="0"/>
        <w:pageBreakBefore w:val="0"/>
        <w:kinsoku/>
        <w:wordWrap/>
        <w:overflowPunct/>
        <w:topLinePunct w:val="0"/>
        <w:autoSpaceDE/>
        <w:autoSpaceDN/>
        <w:bidi w:val="0"/>
        <w:spacing w:afterAutospacing="0" w:line="560" w:lineRule="exact"/>
        <w:ind w:left="0" w:firstLine="64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 xml:space="preserve">     吕建忠  井陉县住房和城乡建设局工程科科长</w:t>
      </w:r>
    </w:p>
    <w:p>
      <w:pPr>
        <w:pStyle w:val="2"/>
        <w:keepNext w:val="0"/>
        <w:keepLines w:val="0"/>
        <w:pageBreakBefore w:val="0"/>
        <w:kinsoku/>
        <w:wordWrap/>
        <w:overflowPunct/>
        <w:topLinePunct w:val="0"/>
        <w:autoSpaceDE/>
        <w:autoSpaceDN/>
        <w:bidi w:val="0"/>
        <w:spacing w:afterAutospacing="0" w:line="560" w:lineRule="exact"/>
        <w:ind w:left="0" w:firstLine="64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 xml:space="preserve">     张玉平   井陉县住房和城乡建设局计财科科长</w:t>
      </w:r>
    </w:p>
    <w:p>
      <w:pPr>
        <w:pStyle w:val="2"/>
        <w:keepNext w:val="0"/>
        <w:keepLines w:val="0"/>
        <w:pageBreakBefore w:val="0"/>
        <w:kinsoku/>
        <w:wordWrap/>
        <w:overflowPunct/>
        <w:topLinePunct w:val="0"/>
        <w:autoSpaceDE/>
        <w:autoSpaceDN/>
        <w:bidi w:val="0"/>
        <w:spacing w:afterAutospacing="0" w:line="560" w:lineRule="exact"/>
        <w:ind w:left="0" w:firstLine="640"/>
        <w:rPr>
          <w:rFonts w:hint="eastAsia" w:ascii="方正仿宋简体" w:hAnsi="方正仿宋简体" w:eastAsia="方正仿宋简体" w:cs="方正仿宋简体"/>
          <w:kern w:val="2"/>
          <w:sz w:val="32"/>
          <w:szCs w:val="32"/>
          <w:lang w:val="en-US" w:eastAsia="zh-CN" w:bidi="ar-SA"/>
        </w:rPr>
      </w:pPr>
      <w:r>
        <w:rPr>
          <w:rFonts w:hint="eastAsia" w:ascii="方正仿宋简体" w:hAnsi="方正仿宋简体" w:eastAsia="方正仿宋简体" w:cs="方正仿宋简体"/>
          <w:kern w:val="2"/>
          <w:sz w:val="32"/>
          <w:szCs w:val="32"/>
          <w:lang w:val="en-US" w:eastAsia="zh-CN" w:bidi="ar-SA"/>
        </w:rPr>
        <w:t xml:space="preserve">     武彦霞   井陉县住房和城乡建设局计财科副科长</w:t>
      </w:r>
    </w:p>
    <w:p>
      <w:pPr>
        <w:spacing w:line="560" w:lineRule="exact"/>
        <w:rPr>
          <w:rFonts w:hint="eastAsia" w:ascii="方正仿宋简体" w:hAnsi="方正仿宋简体" w:eastAsia="方正仿宋简体" w:cs="方正仿宋简体"/>
          <w:kern w:val="2"/>
          <w:sz w:val="32"/>
          <w:szCs w:val="32"/>
          <w:lang w:val="en-US" w:eastAsia="zh-CN" w:bidi="ar-SA"/>
        </w:rPr>
      </w:pPr>
    </w:p>
    <w:sectPr>
      <w:footerReference r:id="rId3" w:type="default"/>
      <w:pgSz w:w="11906" w:h="16838"/>
      <w:pgMar w:top="1587" w:right="1587" w:bottom="1587"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120C22"/>
    <w:rsid w:val="046F331E"/>
    <w:rsid w:val="07956271"/>
    <w:rsid w:val="09721397"/>
    <w:rsid w:val="0BB63BED"/>
    <w:rsid w:val="0CFC5D7A"/>
    <w:rsid w:val="0EB97A43"/>
    <w:rsid w:val="0EBD2122"/>
    <w:rsid w:val="0F214EAE"/>
    <w:rsid w:val="0FF51743"/>
    <w:rsid w:val="11B71E6A"/>
    <w:rsid w:val="11C9304D"/>
    <w:rsid w:val="144B521C"/>
    <w:rsid w:val="1AAF0063"/>
    <w:rsid w:val="1BE140DE"/>
    <w:rsid w:val="1CEE3AEE"/>
    <w:rsid w:val="248C197D"/>
    <w:rsid w:val="252959AF"/>
    <w:rsid w:val="277A6671"/>
    <w:rsid w:val="292D35B7"/>
    <w:rsid w:val="2C8C1DC6"/>
    <w:rsid w:val="2F4C5CA6"/>
    <w:rsid w:val="31151E97"/>
    <w:rsid w:val="33EB6CFF"/>
    <w:rsid w:val="35A12947"/>
    <w:rsid w:val="36D87EF1"/>
    <w:rsid w:val="37387040"/>
    <w:rsid w:val="3B0548E0"/>
    <w:rsid w:val="3B625C0A"/>
    <w:rsid w:val="3CEE1963"/>
    <w:rsid w:val="42F34106"/>
    <w:rsid w:val="436B78D3"/>
    <w:rsid w:val="48B60C1B"/>
    <w:rsid w:val="4C9C27FE"/>
    <w:rsid w:val="4F895647"/>
    <w:rsid w:val="512260B4"/>
    <w:rsid w:val="52BD6ACB"/>
    <w:rsid w:val="52CB6ABD"/>
    <w:rsid w:val="55537534"/>
    <w:rsid w:val="561A74F1"/>
    <w:rsid w:val="597244E8"/>
    <w:rsid w:val="5AC44BAF"/>
    <w:rsid w:val="5CE322BF"/>
    <w:rsid w:val="5EB71C30"/>
    <w:rsid w:val="621F0112"/>
    <w:rsid w:val="66AF0CE5"/>
    <w:rsid w:val="688D6B12"/>
    <w:rsid w:val="6AA27932"/>
    <w:rsid w:val="6AC537CF"/>
    <w:rsid w:val="6E5B14A6"/>
    <w:rsid w:val="6E653103"/>
    <w:rsid w:val="711B255E"/>
    <w:rsid w:val="711F44CF"/>
    <w:rsid w:val="7909391B"/>
    <w:rsid w:val="7BB51E06"/>
    <w:rsid w:val="7C387F7C"/>
    <w:rsid w:val="7DFE01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Body Text"/>
    <w:basedOn w:val="1"/>
    <w:qFormat/>
    <w:uiPriority w:val="0"/>
    <w:pPr>
      <w:widowControl/>
      <w:spacing w:before="100" w:beforeAutospacing="1" w:after="100" w:afterAutospacing="1"/>
      <w:jc w:val="left"/>
    </w:pPr>
    <w:rPr>
      <w:rFonts w:ascii="宋体" w:hAnsi="宋体" w:cs="宋体"/>
      <w:kern w:val="0"/>
      <w:sz w:val="24"/>
    </w:rPr>
  </w:style>
  <w:style w:type="paragraph" w:styleId="4">
    <w:name w:val="Plain Text"/>
    <w:basedOn w:val="1"/>
    <w:qFormat/>
    <w:uiPriority w:val="0"/>
    <w:rPr>
      <w:rFonts w:ascii="宋体" w:hAnsi="Courier New"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2026-04-02T05:51:43Z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y fmtid="{D5CDD505-2E9C-101B-9397-08002B2CF9AE}" pid="3" name="ICV">
    <vt:lpwstr>807859DDDB204D7484EDDFBB4E9D1D2E</vt:lpwstr>
  </property>
</Properties>
</file>