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ind w:left="0" w:leftChars="0" w:right="0"/>
        <w:jc w:val="center"/>
        <w:textAlignment w:val="auto"/>
        <w:outlineLvl w:val="9"/>
        <w:rPr>
          <w:rFonts w:hint="eastAsia" w:ascii="宋体" w:hAnsi="宋体" w:cs="宋体"/>
          <w:b/>
          <w:bCs/>
          <w:sz w:val="44"/>
          <w:szCs w:val="44"/>
          <w:lang w:val="en-US" w:eastAsia="zh-CN"/>
        </w:rPr>
      </w:pPr>
      <w:r>
        <w:rPr>
          <w:rFonts w:hint="eastAsia" w:ascii="宋体" w:hAnsi="宋体" w:cs="宋体"/>
          <w:b/>
          <w:bCs/>
          <w:sz w:val="44"/>
          <w:szCs w:val="44"/>
          <w:lang w:val="en-US" w:eastAsia="zh-CN"/>
        </w:rPr>
        <w:t>井陉县南王庄乡人民政府</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ascii="华文楷体" w:eastAsia="华文楷体"/>
          <w:sz w:val="32"/>
          <w:szCs w:val="32"/>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bookmarkStart w:id="0" w:name="OLE_LINK1"/>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val="en-US" w:eastAsia="zh-CN"/>
        </w:rPr>
        <w:t>井陉县南王庄乡人民政</w:t>
      </w:r>
      <w:bookmarkStart w:id="1" w:name="_GoBack"/>
      <w:bookmarkEnd w:id="1"/>
      <w:r>
        <w:rPr>
          <w:rFonts w:hint="eastAsia" w:ascii="仿宋" w:hAnsi="仿宋" w:eastAsia="仿宋"/>
          <w:sz w:val="32"/>
          <w:szCs w:val="32"/>
          <w:lang w:val="en-US" w:eastAsia="zh-CN"/>
        </w:rPr>
        <w:t>府</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w:t>
      </w:r>
      <w:bookmarkEnd w:id="0"/>
      <w:r>
        <w:rPr>
          <w:rFonts w:hint="eastAsia" w:ascii="仿宋" w:hAnsi="仿宋" w:eastAsia="仿宋"/>
          <w:sz w:val="32"/>
          <w:szCs w:val="32"/>
        </w:rPr>
        <w:t>，形成本评价报告。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keepNext w:val="0"/>
        <w:keepLines w:val="0"/>
        <w:pageBreakBefore w:val="0"/>
        <w:kinsoku/>
        <w:wordWrap/>
        <w:overflowPunct/>
        <w:topLinePunct w:val="0"/>
        <w:autoSpaceDE/>
        <w:autoSpaceDN/>
        <w:bidi w:val="0"/>
        <w:adjustRightInd/>
        <w:snapToGrid w:val="0"/>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1．主要职能</w:t>
      </w:r>
    </w:p>
    <w:p>
      <w:pPr>
        <w:keepNext w:val="0"/>
        <w:keepLines w:val="0"/>
        <w:pageBreakBefore w:val="0"/>
        <w:kinsoku/>
        <w:wordWrap/>
        <w:overflowPunct/>
        <w:topLinePunct w:val="0"/>
        <w:autoSpaceDE/>
        <w:autoSpaceDN/>
        <w:bidi w:val="0"/>
        <w:adjustRightInd/>
        <w:snapToGrid w:val="0"/>
        <w:spacing w:line="56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南王庄乡人民政府主要职责为：</w:t>
      </w:r>
    </w:p>
    <w:p>
      <w:pPr>
        <w:keepNext w:val="0"/>
        <w:keepLines w:val="0"/>
        <w:pageBreakBefore w:val="0"/>
        <w:kinsoku/>
        <w:wordWrap/>
        <w:overflowPunct/>
        <w:topLinePunct w:val="0"/>
        <w:autoSpaceDE/>
        <w:autoSpaceDN/>
        <w:bidi w:val="0"/>
        <w:adjustRightInd/>
        <w:snapToGrid w:val="0"/>
        <w:spacing w:line="56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pPr>
        <w:keepNext w:val="0"/>
        <w:keepLines w:val="0"/>
        <w:pageBreakBefore w:val="0"/>
        <w:kinsoku/>
        <w:wordWrap/>
        <w:overflowPunct/>
        <w:topLinePunct w:val="0"/>
        <w:autoSpaceDE/>
        <w:autoSpaceDN/>
        <w:bidi w:val="0"/>
        <w:adjustRightInd/>
        <w:snapToGrid w:val="0"/>
        <w:spacing w:line="56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(二)讨论和决定本乡经济建设、政治建设、文化建设、社会建设、生态文明建设和党的建设以及乡村振兴中的重大问题。</w:t>
      </w:r>
    </w:p>
    <w:p>
      <w:pPr>
        <w:keepNext w:val="0"/>
        <w:keepLines w:val="0"/>
        <w:pageBreakBefore w:val="0"/>
        <w:kinsoku/>
        <w:wordWrap/>
        <w:overflowPunct/>
        <w:topLinePunct w:val="0"/>
        <w:autoSpaceDE/>
        <w:autoSpaceDN/>
        <w:bidi w:val="0"/>
        <w:adjustRightInd/>
        <w:snapToGrid w:val="0"/>
        <w:spacing w:line="56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(三)组织召开本级人民代表大会，充分行使重大事项决定权、监督权和任免权，做好人大代表工作，联系选民、反映群众意见和要求。</w:t>
      </w:r>
    </w:p>
    <w:p>
      <w:pPr>
        <w:keepNext w:val="0"/>
        <w:keepLines w:val="0"/>
        <w:pageBreakBefore w:val="0"/>
        <w:kinsoku/>
        <w:wordWrap/>
        <w:overflowPunct/>
        <w:topLinePunct w:val="0"/>
        <w:autoSpaceDE/>
        <w:autoSpaceDN/>
        <w:bidi w:val="0"/>
        <w:adjustRightInd/>
        <w:snapToGrid w:val="0"/>
        <w:spacing w:line="56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keepNext w:val="0"/>
        <w:keepLines w:val="0"/>
        <w:pageBreakBefore w:val="0"/>
        <w:kinsoku/>
        <w:wordWrap/>
        <w:overflowPunct/>
        <w:topLinePunct w:val="0"/>
        <w:autoSpaceDE/>
        <w:autoSpaceDN/>
        <w:bidi w:val="0"/>
        <w:adjustRightInd/>
        <w:snapToGrid w:val="0"/>
        <w:spacing w:line="56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五)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pPr>
        <w:keepNext w:val="0"/>
        <w:keepLines w:val="0"/>
        <w:pageBreakBefore w:val="0"/>
        <w:kinsoku/>
        <w:wordWrap/>
        <w:overflowPunct/>
        <w:topLinePunct w:val="0"/>
        <w:autoSpaceDE/>
        <w:autoSpaceDN/>
        <w:bidi w:val="0"/>
        <w:adjustRightInd/>
        <w:snapToGrid w:val="0"/>
        <w:spacing w:line="56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(六)加强乡党委自身建设和村党组织建设,以及其他隶属乡党委的党组织建设，抓好发展党员工作，加强党员队伍建设。维护和执行党的纪律，监督党员干部和其他任何工作人员严格遵守国家法律法规。</w:t>
      </w:r>
    </w:p>
    <w:p>
      <w:pPr>
        <w:keepNext w:val="0"/>
        <w:keepLines w:val="0"/>
        <w:pageBreakBefore w:val="0"/>
        <w:kinsoku/>
        <w:wordWrap/>
        <w:overflowPunct/>
        <w:topLinePunct w:val="0"/>
        <w:autoSpaceDE/>
        <w:autoSpaceDN/>
        <w:bidi w:val="0"/>
        <w:adjustRightInd/>
        <w:snapToGrid w:val="0"/>
        <w:spacing w:line="56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(七)按照干部管理权限，负责对干部的教育、培训、选拔、考核和监督工作。协助管理上级有关部门驻乡单位的干部。做好人才服务工作。</w:t>
      </w:r>
    </w:p>
    <w:p>
      <w:pPr>
        <w:keepNext w:val="0"/>
        <w:keepLines w:val="0"/>
        <w:pageBreakBefore w:val="0"/>
        <w:kinsoku/>
        <w:wordWrap/>
        <w:overflowPunct/>
        <w:topLinePunct w:val="0"/>
        <w:autoSpaceDE/>
        <w:autoSpaceDN/>
        <w:bidi w:val="0"/>
        <w:adjustRightInd/>
        <w:snapToGrid w:val="0"/>
        <w:spacing w:line="56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keepNext w:val="0"/>
        <w:keepLines w:val="0"/>
        <w:pageBreakBefore w:val="0"/>
        <w:kinsoku/>
        <w:wordWrap/>
        <w:overflowPunct/>
        <w:topLinePunct w:val="0"/>
        <w:autoSpaceDE/>
        <w:autoSpaceDN/>
        <w:bidi w:val="0"/>
        <w:adjustRightInd/>
        <w:snapToGrid w:val="0"/>
        <w:spacing w:line="56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pPr>
        <w:keepNext w:val="0"/>
        <w:keepLines w:val="0"/>
        <w:pageBreakBefore w:val="0"/>
        <w:kinsoku/>
        <w:wordWrap/>
        <w:overflowPunct/>
        <w:topLinePunct w:val="0"/>
        <w:autoSpaceDE/>
        <w:autoSpaceDN/>
        <w:bidi w:val="0"/>
        <w:adjustRightInd/>
        <w:snapToGrid w:val="0"/>
        <w:spacing w:line="56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(十)承办上级党委、人大、政府交办的其他事项。</w:t>
      </w:r>
    </w:p>
    <w:p>
      <w:pPr>
        <w:keepNext w:val="0"/>
        <w:keepLines w:val="0"/>
        <w:pageBreakBefore w:val="0"/>
        <w:kinsoku/>
        <w:wordWrap/>
        <w:overflowPunct/>
        <w:topLinePunct w:val="0"/>
        <w:autoSpaceDE/>
        <w:autoSpaceDN/>
        <w:bidi w:val="0"/>
        <w:adjustRightInd/>
        <w:snapToGrid w:val="0"/>
        <w:spacing w:line="56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综合行政执法队主要职责为：</w:t>
      </w:r>
    </w:p>
    <w:p>
      <w:pPr>
        <w:keepNext w:val="0"/>
        <w:keepLines w:val="0"/>
        <w:pageBreakBefore w:val="0"/>
        <w:kinsoku/>
        <w:wordWrap/>
        <w:overflowPunct/>
        <w:topLinePunct w:val="0"/>
        <w:autoSpaceDE/>
        <w:autoSpaceDN/>
        <w:bidi w:val="0"/>
        <w:adjustRightInd/>
        <w:snapToGrid w:val="0"/>
        <w:spacing w:line="56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根据有关法律法规和上级部门授权、委托，承担城乡建设、生态环境、文化市场、农业农村、安全生产、民族宗教等领域行政执法工作。配合县直相关部门做好授权、委托事项之外的其它领域行政执法工作。</w:t>
      </w:r>
    </w:p>
    <w:p>
      <w:pPr>
        <w:keepNext w:val="0"/>
        <w:keepLines w:val="0"/>
        <w:pageBreakBefore w:val="0"/>
        <w:kinsoku/>
        <w:wordWrap/>
        <w:overflowPunct/>
        <w:topLinePunct w:val="0"/>
        <w:autoSpaceDE/>
        <w:autoSpaceDN/>
        <w:bidi w:val="0"/>
        <w:adjustRightInd/>
        <w:snapToGrid w:val="0"/>
        <w:spacing w:line="56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行政综合服务中心主要职责为：</w:t>
      </w:r>
    </w:p>
    <w:p>
      <w:pPr>
        <w:keepNext w:val="0"/>
        <w:keepLines w:val="0"/>
        <w:pageBreakBefore w:val="0"/>
        <w:kinsoku/>
        <w:wordWrap/>
        <w:overflowPunct/>
        <w:topLinePunct w:val="0"/>
        <w:autoSpaceDE/>
        <w:autoSpaceDN/>
        <w:bidi w:val="0"/>
        <w:adjustRightInd/>
        <w:snapToGrid w:val="0"/>
        <w:spacing w:line="56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负责行政审批服务事项的受理、办理工作，提供政策和业务咨询; 指导村(社区)便民服务点建设。</w:t>
      </w:r>
    </w:p>
    <w:p>
      <w:pPr>
        <w:keepNext w:val="0"/>
        <w:keepLines w:val="0"/>
        <w:pageBreakBefore w:val="0"/>
        <w:kinsoku/>
        <w:wordWrap/>
        <w:overflowPunct/>
        <w:topLinePunct w:val="0"/>
        <w:autoSpaceDE/>
        <w:autoSpaceDN/>
        <w:bidi w:val="0"/>
        <w:adjustRightInd/>
        <w:snapToGrid w:val="0"/>
        <w:spacing w:line="56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负责开展群众文化艺术娱乐、体育活动，负责文化市场进行监督、巡查工作，负责文物普查、保护和开发利用工作，指导村(社区)文化室建设、文体设施规划建设。</w:t>
      </w:r>
    </w:p>
    <w:p>
      <w:pPr>
        <w:keepNext w:val="0"/>
        <w:keepLines w:val="0"/>
        <w:pageBreakBefore w:val="0"/>
        <w:kinsoku/>
        <w:wordWrap/>
        <w:overflowPunct/>
        <w:topLinePunct w:val="0"/>
        <w:autoSpaceDE/>
        <w:autoSpaceDN/>
        <w:bidi w:val="0"/>
        <w:adjustRightInd/>
        <w:snapToGrid w:val="0"/>
        <w:spacing w:line="56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负责编制乡财政预决算,负责乡政府预算单位的财务管理和核算，负责村级资金核拨和监督管理等相关工作。</w:t>
      </w:r>
    </w:p>
    <w:p>
      <w:pPr>
        <w:keepNext w:val="0"/>
        <w:keepLines w:val="0"/>
        <w:pageBreakBefore w:val="0"/>
        <w:kinsoku/>
        <w:wordWrap/>
        <w:overflowPunct/>
        <w:topLinePunct w:val="0"/>
        <w:autoSpaceDE/>
        <w:autoSpaceDN/>
        <w:bidi w:val="0"/>
        <w:adjustRightInd/>
        <w:snapToGrid w:val="0"/>
        <w:spacing w:line="56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农业综合服务中心主要职责为：</w:t>
      </w:r>
    </w:p>
    <w:p>
      <w:pPr>
        <w:keepNext w:val="0"/>
        <w:keepLines w:val="0"/>
        <w:pageBreakBefore w:val="0"/>
        <w:kinsoku/>
        <w:wordWrap/>
        <w:overflowPunct/>
        <w:topLinePunct w:val="0"/>
        <w:autoSpaceDE/>
        <w:autoSpaceDN/>
        <w:bidi w:val="0"/>
        <w:adjustRightInd/>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cs="Times New Roman"/>
          <w:sz w:val="32"/>
          <w:szCs w:val="32"/>
          <w:lang w:val="en-US" w:eastAsia="zh-CN"/>
        </w:rPr>
        <w:t>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w:t>
      </w:r>
    </w:p>
    <w:p>
      <w:pPr>
        <w:keepNext w:val="0"/>
        <w:keepLines w:val="0"/>
        <w:pageBreakBefore w:val="0"/>
        <w:numPr>
          <w:ilvl w:val="0"/>
          <w:numId w:val="1"/>
        </w:numPr>
        <w:kinsoku/>
        <w:wordWrap/>
        <w:overflowPunct/>
        <w:topLinePunct w:val="0"/>
        <w:autoSpaceDE/>
        <w:autoSpaceDN/>
        <w:bidi w:val="0"/>
        <w:adjustRightInd/>
        <w:snapToGrid w:val="0"/>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机构情况，包括当年变动情况及原因。</w:t>
      </w:r>
    </w:p>
    <w:p>
      <w:pPr>
        <w:keepNext w:val="0"/>
        <w:keepLines w:val="0"/>
        <w:pageBreakBefore w:val="0"/>
        <w:numPr>
          <w:ilvl w:val="0"/>
          <w:numId w:val="0"/>
        </w:numPr>
        <w:kinsoku/>
        <w:wordWrap/>
        <w:overflowPunct/>
        <w:topLinePunct w:val="0"/>
        <w:autoSpaceDE/>
        <w:autoSpaceDN/>
        <w:bidi w:val="0"/>
        <w:adjustRightInd/>
        <w:snapToGrid w:val="0"/>
        <w:spacing w:line="560" w:lineRule="exact"/>
        <w:ind w:firstLine="640" w:firstLineChars="200"/>
        <w:rPr>
          <w:rFonts w:hint="default"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无变化，具体情况如下：</w:t>
      </w:r>
    </w:p>
    <w:tbl>
      <w:tblPr>
        <w:tblStyle w:val="5"/>
        <w:tblpPr w:leftFromText="180" w:rightFromText="180" w:vertAnchor="text" w:horzAnchor="page" w:tblpXSpec="center" w:tblpY="10"/>
        <w:tblOverlap w:val="never"/>
        <w:tblW w:w="8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4"/>
        <w:gridCol w:w="3225"/>
        <w:gridCol w:w="2310"/>
        <w:gridCol w:w="25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574" w:type="dxa"/>
            <w:noWrap w:val="0"/>
            <w:vAlign w:val="center"/>
          </w:tcPr>
          <w:p>
            <w:pPr>
              <w:keepNext w:val="0"/>
              <w:keepLines w:val="0"/>
              <w:pageBreakBefore w:val="0"/>
              <w:kinsoku/>
              <w:wordWrap/>
              <w:overflowPunct/>
              <w:topLinePunct w:val="0"/>
              <w:autoSpaceDE/>
              <w:autoSpaceDN/>
              <w:bidi w:val="0"/>
              <w:adjustRightInd/>
              <w:spacing w:after="0" w:line="560" w:lineRule="exact"/>
              <w:jc w:val="center"/>
              <w:rPr>
                <w:rFonts w:ascii="仿宋_GB2312" w:hAnsi="Calibri" w:eastAsia="仿宋_GB2312" w:cs="ArialUnicodeMS"/>
                <w:b/>
                <w:bCs/>
                <w:kern w:val="0"/>
                <w:sz w:val="24"/>
                <w:szCs w:val="24"/>
              </w:rPr>
            </w:pPr>
            <w:r>
              <w:rPr>
                <w:rFonts w:hint="eastAsia" w:ascii="仿宋_GB2312" w:hAnsi="Calibri" w:eastAsia="仿宋_GB2312" w:cs="ArialUnicodeMS"/>
                <w:b/>
                <w:bCs/>
                <w:kern w:val="0"/>
                <w:sz w:val="24"/>
                <w:szCs w:val="24"/>
              </w:rPr>
              <w:t>序号</w:t>
            </w:r>
          </w:p>
        </w:tc>
        <w:tc>
          <w:tcPr>
            <w:tcW w:w="3225" w:type="dxa"/>
            <w:noWrap w:val="0"/>
            <w:vAlign w:val="center"/>
          </w:tcPr>
          <w:p>
            <w:pPr>
              <w:keepNext w:val="0"/>
              <w:keepLines w:val="0"/>
              <w:pageBreakBefore w:val="0"/>
              <w:kinsoku/>
              <w:wordWrap/>
              <w:overflowPunct/>
              <w:topLinePunct w:val="0"/>
              <w:autoSpaceDE/>
              <w:autoSpaceDN/>
              <w:bidi w:val="0"/>
              <w:adjustRightInd/>
              <w:spacing w:after="0" w:line="560" w:lineRule="exact"/>
              <w:jc w:val="center"/>
              <w:rPr>
                <w:rFonts w:ascii="仿宋_GB2312" w:hAnsi="Calibri" w:eastAsia="仿宋_GB2312" w:cs="ArialUnicodeMS"/>
                <w:b/>
                <w:bCs/>
                <w:kern w:val="0"/>
                <w:sz w:val="24"/>
                <w:szCs w:val="24"/>
              </w:rPr>
            </w:pPr>
            <w:r>
              <w:rPr>
                <w:rFonts w:hint="eastAsia" w:ascii="仿宋_GB2312" w:hAnsi="Calibri" w:eastAsia="仿宋_GB2312" w:cs="ArialUnicodeMS"/>
                <w:b/>
                <w:bCs/>
                <w:kern w:val="0"/>
                <w:sz w:val="24"/>
                <w:szCs w:val="24"/>
              </w:rPr>
              <w:t>单位名称</w:t>
            </w:r>
          </w:p>
        </w:tc>
        <w:tc>
          <w:tcPr>
            <w:tcW w:w="2310" w:type="dxa"/>
            <w:noWrap w:val="0"/>
            <w:vAlign w:val="center"/>
          </w:tcPr>
          <w:p>
            <w:pPr>
              <w:keepNext w:val="0"/>
              <w:keepLines w:val="0"/>
              <w:pageBreakBefore w:val="0"/>
              <w:kinsoku/>
              <w:wordWrap/>
              <w:overflowPunct/>
              <w:topLinePunct w:val="0"/>
              <w:autoSpaceDE/>
              <w:autoSpaceDN/>
              <w:bidi w:val="0"/>
              <w:adjustRightInd/>
              <w:spacing w:after="0" w:line="560" w:lineRule="exact"/>
              <w:jc w:val="center"/>
              <w:rPr>
                <w:rFonts w:ascii="仿宋_GB2312" w:hAnsi="Calibri" w:eastAsia="仿宋_GB2312" w:cs="ArialUnicodeMS"/>
                <w:b/>
                <w:bCs/>
                <w:kern w:val="0"/>
                <w:sz w:val="24"/>
                <w:szCs w:val="24"/>
              </w:rPr>
            </w:pPr>
            <w:r>
              <w:rPr>
                <w:rFonts w:hint="eastAsia" w:ascii="仿宋_GB2312" w:hAnsi="Calibri" w:eastAsia="仿宋_GB2312" w:cs="ArialUnicodeMS"/>
                <w:b/>
                <w:bCs/>
                <w:kern w:val="0"/>
                <w:sz w:val="24"/>
                <w:szCs w:val="24"/>
              </w:rPr>
              <w:t>单位基本性质</w:t>
            </w:r>
          </w:p>
        </w:tc>
        <w:tc>
          <w:tcPr>
            <w:tcW w:w="2523" w:type="dxa"/>
            <w:noWrap w:val="0"/>
            <w:vAlign w:val="center"/>
          </w:tcPr>
          <w:p>
            <w:pPr>
              <w:keepNext w:val="0"/>
              <w:keepLines w:val="0"/>
              <w:pageBreakBefore w:val="0"/>
              <w:kinsoku/>
              <w:wordWrap/>
              <w:overflowPunct/>
              <w:topLinePunct w:val="0"/>
              <w:autoSpaceDE/>
              <w:autoSpaceDN/>
              <w:bidi w:val="0"/>
              <w:adjustRightInd/>
              <w:spacing w:after="0" w:line="560" w:lineRule="exact"/>
              <w:jc w:val="center"/>
              <w:rPr>
                <w:rFonts w:ascii="仿宋_GB2312" w:hAnsi="Calibri" w:eastAsia="仿宋_GB2312" w:cs="ArialUnicodeMS"/>
                <w:b/>
                <w:bCs/>
                <w:kern w:val="0"/>
                <w:sz w:val="24"/>
                <w:szCs w:val="24"/>
              </w:rPr>
            </w:pPr>
            <w:r>
              <w:rPr>
                <w:rFonts w:hint="eastAsia" w:ascii="仿宋_GB2312" w:hAnsi="Calibri" w:eastAsia="仿宋_GB2312" w:cs="ArialUnicodeMS"/>
                <w:b/>
                <w:bCs/>
                <w:kern w:val="0"/>
                <w:sz w:val="24"/>
                <w:szCs w:val="24"/>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74" w:type="dxa"/>
            <w:noWrap w:val="0"/>
            <w:vAlign w:val="top"/>
          </w:tcPr>
          <w:p>
            <w:pPr>
              <w:keepNext w:val="0"/>
              <w:keepLines w:val="0"/>
              <w:pageBreakBefore w:val="0"/>
              <w:kinsoku/>
              <w:wordWrap/>
              <w:overflowPunct/>
              <w:topLinePunct w:val="0"/>
              <w:autoSpaceDE/>
              <w:autoSpaceDN/>
              <w:bidi w:val="0"/>
              <w:adjustRightInd/>
              <w:spacing w:after="0" w:line="560" w:lineRule="exact"/>
              <w:jc w:val="center"/>
              <w:rPr>
                <w:rFonts w:ascii="仿宋_GB2312" w:hAnsi="Calibri" w:eastAsia="仿宋_GB2312" w:cs="ArialUnicodeMS"/>
                <w:kern w:val="0"/>
                <w:sz w:val="24"/>
                <w:szCs w:val="24"/>
              </w:rPr>
            </w:pPr>
            <w:r>
              <w:rPr>
                <w:rFonts w:hint="eastAsia" w:ascii="仿宋_GB2312" w:hAnsi="Calibri" w:eastAsia="仿宋_GB2312" w:cs="ArialUnicodeMS"/>
                <w:kern w:val="0"/>
                <w:sz w:val="24"/>
                <w:szCs w:val="24"/>
              </w:rPr>
              <w:t>1</w:t>
            </w:r>
          </w:p>
        </w:tc>
        <w:tc>
          <w:tcPr>
            <w:tcW w:w="3225" w:type="dxa"/>
            <w:noWrap w:val="0"/>
            <w:vAlign w:val="top"/>
          </w:tcPr>
          <w:p>
            <w:pPr>
              <w:keepNext w:val="0"/>
              <w:keepLines w:val="0"/>
              <w:pageBreakBefore w:val="0"/>
              <w:kinsoku/>
              <w:wordWrap/>
              <w:overflowPunct/>
              <w:topLinePunct w:val="0"/>
              <w:autoSpaceDE/>
              <w:autoSpaceDN/>
              <w:bidi w:val="0"/>
              <w:adjustRightInd/>
              <w:spacing w:after="0" w:line="560" w:lineRule="exact"/>
              <w:jc w:val="center"/>
              <w:rPr>
                <w:rFonts w:ascii="仿宋_GB2312" w:hAnsi="Calibri" w:eastAsia="仿宋_GB2312" w:cs="ArialUnicodeMS"/>
                <w:color w:val="080808"/>
                <w:kern w:val="0"/>
                <w:sz w:val="24"/>
                <w:szCs w:val="24"/>
              </w:rPr>
            </w:pPr>
            <w:r>
              <w:rPr>
                <w:rFonts w:hint="eastAsia" w:ascii="仿宋_GB2312" w:hAnsi="Calibri" w:eastAsia="仿宋_GB2312" w:cs="仿宋_GB2312"/>
                <w:kern w:val="2"/>
                <w:sz w:val="24"/>
                <w:szCs w:val="24"/>
                <w:lang w:val="en-US" w:eastAsia="zh-CN" w:bidi="ar"/>
              </w:rPr>
              <w:t>南王庄乡人民政府</w:t>
            </w:r>
          </w:p>
        </w:tc>
        <w:tc>
          <w:tcPr>
            <w:tcW w:w="2310" w:type="dxa"/>
            <w:noWrap w:val="0"/>
            <w:vAlign w:val="top"/>
          </w:tcPr>
          <w:p>
            <w:pPr>
              <w:keepNext w:val="0"/>
              <w:keepLines w:val="0"/>
              <w:pageBreakBefore w:val="0"/>
              <w:kinsoku/>
              <w:wordWrap/>
              <w:overflowPunct/>
              <w:topLinePunct w:val="0"/>
              <w:autoSpaceDE/>
              <w:autoSpaceDN/>
              <w:bidi w:val="0"/>
              <w:adjustRightInd/>
              <w:spacing w:after="0" w:line="560" w:lineRule="exact"/>
              <w:jc w:val="center"/>
              <w:rPr>
                <w:rFonts w:ascii="宋体" w:hAnsi="宋体" w:cs="宋体"/>
                <w:kern w:val="0"/>
                <w:sz w:val="24"/>
                <w:szCs w:val="24"/>
              </w:rPr>
            </w:pPr>
            <w:r>
              <w:rPr>
                <w:rFonts w:hint="eastAsia" w:ascii="仿宋_GB2312" w:hAnsi="Calibri" w:eastAsia="仿宋_GB2312" w:cs="ArialUnicodeMS"/>
                <w:kern w:val="0"/>
                <w:sz w:val="24"/>
                <w:szCs w:val="24"/>
              </w:rPr>
              <w:t>行政单位</w:t>
            </w:r>
          </w:p>
        </w:tc>
        <w:tc>
          <w:tcPr>
            <w:tcW w:w="2523" w:type="dxa"/>
            <w:noWrap w:val="0"/>
            <w:vAlign w:val="top"/>
          </w:tcPr>
          <w:p>
            <w:pPr>
              <w:keepNext w:val="0"/>
              <w:keepLines w:val="0"/>
              <w:pageBreakBefore w:val="0"/>
              <w:kinsoku/>
              <w:wordWrap/>
              <w:overflowPunct/>
              <w:topLinePunct w:val="0"/>
              <w:autoSpaceDE/>
              <w:autoSpaceDN/>
              <w:bidi w:val="0"/>
              <w:adjustRightInd/>
              <w:spacing w:after="0" w:line="560" w:lineRule="exact"/>
              <w:jc w:val="center"/>
              <w:rPr>
                <w:rFonts w:ascii="仿宋_GB2312" w:hAnsi="Calibri" w:eastAsia="仿宋_GB2312" w:cs="ArialUnicodeMS"/>
                <w:kern w:val="0"/>
                <w:sz w:val="24"/>
                <w:szCs w:val="24"/>
              </w:rPr>
            </w:pPr>
            <w:r>
              <w:rPr>
                <w:rFonts w:hint="eastAsia" w:ascii="仿宋_GB2312" w:hAnsi="Calibri" w:eastAsia="仿宋_GB2312" w:cs="ArialUnicodeMS"/>
                <w:kern w:val="0"/>
                <w:sz w:val="24"/>
                <w:szCs w:val="24"/>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74" w:type="dxa"/>
            <w:noWrap w:val="0"/>
            <w:vAlign w:val="top"/>
          </w:tcPr>
          <w:p>
            <w:pPr>
              <w:keepNext w:val="0"/>
              <w:keepLines w:val="0"/>
              <w:pageBreakBefore w:val="0"/>
              <w:kinsoku/>
              <w:wordWrap/>
              <w:overflowPunct/>
              <w:topLinePunct w:val="0"/>
              <w:autoSpaceDE/>
              <w:autoSpaceDN/>
              <w:bidi w:val="0"/>
              <w:adjustRightInd/>
              <w:spacing w:after="0" w:line="560" w:lineRule="exact"/>
              <w:jc w:val="center"/>
              <w:rPr>
                <w:rFonts w:ascii="仿宋_GB2312" w:hAnsi="Calibri" w:eastAsia="仿宋_GB2312" w:cs="ArialUnicodeMS"/>
                <w:kern w:val="0"/>
                <w:sz w:val="24"/>
                <w:szCs w:val="24"/>
              </w:rPr>
            </w:pPr>
            <w:r>
              <w:rPr>
                <w:rFonts w:hint="eastAsia" w:ascii="仿宋_GB2312" w:hAnsi="Calibri" w:eastAsia="仿宋_GB2312" w:cs="ArialUnicodeMS"/>
                <w:kern w:val="0"/>
                <w:sz w:val="24"/>
                <w:szCs w:val="24"/>
              </w:rPr>
              <w:t>2</w:t>
            </w:r>
          </w:p>
        </w:tc>
        <w:tc>
          <w:tcPr>
            <w:tcW w:w="3225" w:type="dxa"/>
            <w:noWrap w:val="0"/>
            <w:vAlign w:val="top"/>
          </w:tcPr>
          <w:p>
            <w:pPr>
              <w:keepNext w:val="0"/>
              <w:keepLines w:val="0"/>
              <w:pageBreakBefore w:val="0"/>
              <w:kinsoku/>
              <w:wordWrap/>
              <w:overflowPunct/>
              <w:topLinePunct w:val="0"/>
              <w:autoSpaceDE/>
              <w:autoSpaceDN/>
              <w:bidi w:val="0"/>
              <w:adjustRightInd/>
              <w:spacing w:after="0" w:line="560" w:lineRule="exact"/>
              <w:jc w:val="center"/>
              <w:rPr>
                <w:rFonts w:hint="default" w:ascii="仿宋_GB2312" w:hAnsi="Calibri" w:eastAsia="仿宋" w:cs="ArialUnicodeMS"/>
                <w:color w:val="080808"/>
                <w:kern w:val="0"/>
                <w:sz w:val="24"/>
                <w:szCs w:val="24"/>
                <w:lang w:val="en-US" w:eastAsia="zh-CN"/>
              </w:rPr>
            </w:pPr>
            <w:r>
              <w:rPr>
                <w:rFonts w:hint="eastAsia" w:ascii="仿宋_GB2312" w:hAnsi="Calibri" w:eastAsia="仿宋_GB2312" w:cs="仿宋_GB2312"/>
                <w:kern w:val="2"/>
                <w:sz w:val="24"/>
                <w:szCs w:val="24"/>
                <w:lang w:val="en-US" w:eastAsia="zh-CN" w:bidi="ar"/>
              </w:rPr>
              <w:t>南王庄乡综合行政执法队</w:t>
            </w:r>
          </w:p>
        </w:tc>
        <w:tc>
          <w:tcPr>
            <w:tcW w:w="2310" w:type="dxa"/>
            <w:noWrap w:val="0"/>
            <w:vAlign w:val="top"/>
          </w:tcPr>
          <w:p>
            <w:pPr>
              <w:keepNext w:val="0"/>
              <w:keepLines w:val="0"/>
              <w:pageBreakBefore w:val="0"/>
              <w:kinsoku/>
              <w:wordWrap/>
              <w:overflowPunct/>
              <w:topLinePunct w:val="0"/>
              <w:autoSpaceDE/>
              <w:autoSpaceDN/>
              <w:bidi w:val="0"/>
              <w:adjustRightInd/>
              <w:spacing w:after="0" w:line="560" w:lineRule="exact"/>
              <w:jc w:val="center"/>
              <w:rPr>
                <w:rFonts w:ascii="仿宋_GB2312" w:hAnsi="Calibri" w:eastAsia="仿宋_GB2312" w:cs="ArialUnicodeMS"/>
                <w:kern w:val="0"/>
                <w:sz w:val="24"/>
                <w:szCs w:val="24"/>
              </w:rPr>
            </w:pPr>
            <w:r>
              <w:rPr>
                <w:rFonts w:hint="eastAsia" w:ascii="仿宋_GB2312" w:hAnsi="Calibri" w:eastAsia="仿宋_GB2312" w:cs="ArialUnicodeMS"/>
                <w:kern w:val="0"/>
                <w:sz w:val="24"/>
                <w:szCs w:val="24"/>
              </w:rPr>
              <w:t>财政补助事业单位</w:t>
            </w:r>
          </w:p>
        </w:tc>
        <w:tc>
          <w:tcPr>
            <w:tcW w:w="2523" w:type="dxa"/>
            <w:noWrap w:val="0"/>
            <w:vAlign w:val="top"/>
          </w:tcPr>
          <w:p>
            <w:pPr>
              <w:keepNext w:val="0"/>
              <w:keepLines w:val="0"/>
              <w:pageBreakBefore w:val="0"/>
              <w:kinsoku/>
              <w:wordWrap/>
              <w:overflowPunct/>
              <w:topLinePunct w:val="0"/>
              <w:autoSpaceDE/>
              <w:autoSpaceDN/>
              <w:bidi w:val="0"/>
              <w:adjustRightInd/>
              <w:spacing w:after="0" w:line="560" w:lineRule="exact"/>
              <w:jc w:val="center"/>
              <w:rPr>
                <w:rFonts w:ascii="仿宋_GB2312" w:hAnsi="Calibri" w:eastAsia="仿宋_GB2312" w:cs="ArialUnicodeMS"/>
                <w:kern w:val="0"/>
                <w:sz w:val="24"/>
                <w:szCs w:val="24"/>
              </w:rPr>
            </w:pPr>
            <w:r>
              <w:rPr>
                <w:rFonts w:hint="eastAsia" w:ascii="仿宋_GB2312" w:hAnsi="Calibri" w:eastAsia="仿宋_GB2312" w:cs="ArialUnicodeMS"/>
                <w:kern w:val="0"/>
                <w:sz w:val="24"/>
                <w:szCs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74" w:type="dxa"/>
            <w:noWrap w:val="0"/>
            <w:vAlign w:val="top"/>
          </w:tcPr>
          <w:p>
            <w:pPr>
              <w:keepNext w:val="0"/>
              <w:keepLines w:val="0"/>
              <w:pageBreakBefore w:val="0"/>
              <w:kinsoku/>
              <w:wordWrap/>
              <w:overflowPunct/>
              <w:topLinePunct w:val="0"/>
              <w:autoSpaceDE/>
              <w:autoSpaceDN/>
              <w:bidi w:val="0"/>
              <w:adjustRightInd/>
              <w:spacing w:after="0" w:line="560" w:lineRule="exact"/>
              <w:jc w:val="center"/>
              <w:rPr>
                <w:rFonts w:ascii="仿宋_GB2312" w:hAnsi="Calibri" w:eastAsia="仿宋_GB2312" w:cs="ArialUnicodeMS"/>
                <w:kern w:val="0"/>
                <w:sz w:val="24"/>
                <w:szCs w:val="24"/>
              </w:rPr>
            </w:pPr>
            <w:r>
              <w:rPr>
                <w:rFonts w:hint="eastAsia" w:ascii="仿宋_GB2312" w:hAnsi="Calibri" w:eastAsia="仿宋_GB2312" w:cs="ArialUnicodeMS"/>
                <w:kern w:val="0"/>
                <w:sz w:val="24"/>
                <w:szCs w:val="24"/>
              </w:rPr>
              <w:t>3</w:t>
            </w:r>
          </w:p>
        </w:tc>
        <w:tc>
          <w:tcPr>
            <w:tcW w:w="3225" w:type="dxa"/>
            <w:noWrap w:val="0"/>
            <w:vAlign w:val="top"/>
          </w:tcPr>
          <w:p>
            <w:pPr>
              <w:keepNext w:val="0"/>
              <w:keepLines w:val="0"/>
              <w:pageBreakBefore w:val="0"/>
              <w:kinsoku/>
              <w:wordWrap/>
              <w:overflowPunct/>
              <w:topLinePunct w:val="0"/>
              <w:autoSpaceDE/>
              <w:autoSpaceDN/>
              <w:bidi w:val="0"/>
              <w:adjustRightInd/>
              <w:spacing w:after="0" w:line="560" w:lineRule="exact"/>
              <w:jc w:val="center"/>
              <w:rPr>
                <w:rFonts w:hint="default" w:ascii="仿宋_GB2312" w:hAnsi="Calibri" w:eastAsia="仿宋" w:cs="ArialUnicodeMS"/>
                <w:color w:val="080808"/>
                <w:kern w:val="0"/>
                <w:sz w:val="24"/>
                <w:szCs w:val="24"/>
                <w:lang w:val="en-US" w:eastAsia="zh-CN"/>
              </w:rPr>
            </w:pPr>
            <w:r>
              <w:rPr>
                <w:rFonts w:hint="eastAsia" w:ascii="仿宋" w:hAnsi="仿宋" w:eastAsia="仿宋"/>
                <w:color w:val="080808"/>
                <w:sz w:val="24"/>
                <w:szCs w:val="24"/>
              </w:rPr>
              <w:t>南王庄乡</w:t>
            </w:r>
            <w:r>
              <w:rPr>
                <w:rFonts w:hint="eastAsia" w:ascii="仿宋" w:hAnsi="仿宋" w:eastAsia="仿宋"/>
                <w:color w:val="080808"/>
                <w:sz w:val="24"/>
                <w:szCs w:val="24"/>
                <w:lang w:val="en-US" w:eastAsia="zh-CN"/>
              </w:rPr>
              <w:t>行政综合服务中心</w:t>
            </w:r>
          </w:p>
        </w:tc>
        <w:tc>
          <w:tcPr>
            <w:tcW w:w="2310" w:type="dxa"/>
            <w:noWrap w:val="0"/>
            <w:vAlign w:val="top"/>
          </w:tcPr>
          <w:p>
            <w:pPr>
              <w:keepNext w:val="0"/>
              <w:keepLines w:val="0"/>
              <w:pageBreakBefore w:val="0"/>
              <w:kinsoku/>
              <w:wordWrap/>
              <w:overflowPunct/>
              <w:topLinePunct w:val="0"/>
              <w:autoSpaceDE/>
              <w:autoSpaceDN/>
              <w:bidi w:val="0"/>
              <w:adjustRightInd/>
              <w:spacing w:after="0" w:line="560" w:lineRule="exact"/>
              <w:jc w:val="center"/>
              <w:rPr>
                <w:rFonts w:ascii="仿宋_GB2312" w:hAnsi="Calibri" w:eastAsia="仿宋_GB2312" w:cs="ArialUnicodeMS"/>
                <w:kern w:val="0"/>
                <w:sz w:val="24"/>
                <w:szCs w:val="24"/>
              </w:rPr>
            </w:pPr>
            <w:r>
              <w:rPr>
                <w:rFonts w:hint="eastAsia" w:ascii="仿宋_GB2312" w:hAnsi="Calibri" w:eastAsia="仿宋_GB2312" w:cs="ArialUnicodeMS"/>
                <w:kern w:val="0"/>
                <w:sz w:val="24"/>
                <w:szCs w:val="24"/>
              </w:rPr>
              <w:t>财政补助事业单位</w:t>
            </w:r>
          </w:p>
        </w:tc>
        <w:tc>
          <w:tcPr>
            <w:tcW w:w="2523" w:type="dxa"/>
            <w:noWrap w:val="0"/>
            <w:vAlign w:val="top"/>
          </w:tcPr>
          <w:p>
            <w:pPr>
              <w:keepNext w:val="0"/>
              <w:keepLines w:val="0"/>
              <w:pageBreakBefore w:val="0"/>
              <w:kinsoku/>
              <w:wordWrap/>
              <w:overflowPunct/>
              <w:topLinePunct w:val="0"/>
              <w:autoSpaceDE/>
              <w:autoSpaceDN/>
              <w:bidi w:val="0"/>
              <w:adjustRightInd/>
              <w:spacing w:after="0" w:line="560" w:lineRule="exact"/>
              <w:jc w:val="center"/>
              <w:rPr>
                <w:rFonts w:ascii="仿宋_GB2312" w:hAnsi="Calibri" w:eastAsia="仿宋_GB2312" w:cs="ArialUnicodeMS"/>
                <w:kern w:val="0"/>
                <w:sz w:val="24"/>
                <w:szCs w:val="24"/>
              </w:rPr>
            </w:pPr>
            <w:r>
              <w:rPr>
                <w:rFonts w:hint="eastAsia" w:ascii="仿宋_GB2312" w:hAnsi="Calibri" w:eastAsia="仿宋_GB2312" w:cs="ArialUnicodeMS"/>
                <w:kern w:val="0"/>
                <w:sz w:val="24"/>
                <w:szCs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574" w:type="dxa"/>
            <w:tcBorders>
              <w:bottom w:val="single" w:color="auto" w:sz="4" w:space="0"/>
            </w:tcBorders>
            <w:noWrap w:val="0"/>
            <w:vAlign w:val="top"/>
          </w:tcPr>
          <w:p>
            <w:pPr>
              <w:keepNext w:val="0"/>
              <w:keepLines w:val="0"/>
              <w:pageBreakBefore w:val="0"/>
              <w:kinsoku/>
              <w:wordWrap/>
              <w:overflowPunct/>
              <w:topLinePunct w:val="0"/>
              <w:autoSpaceDE/>
              <w:autoSpaceDN/>
              <w:bidi w:val="0"/>
              <w:adjustRightInd/>
              <w:spacing w:after="0" w:line="560" w:lineRule="exact"/>
              <w:jc w:val="center"/>
              <w:rPr>
                <w:rFonts w:ascii="仿宋_GB2312" w:hAnsi="Calibri" w:eastAsia="仿宋_GB2312" w:cs="ArialUnicodeMS"/>
                <w:kern w:val="0"/>
                <w:sz w:val="24"/>
                <w:szCs w:val="24"/>
              </w:rPr>
            </w:pPr>
            <w:r>
              <w:rPr>
                <w:rFonts w:hint="eastAsia" w:ascii="仿宋_GB2312" w:hAnsi="Calibri" w:eastAsia="仿宋_GB2312" w:cs="ArialUnicodeMS"/>
                <w:kern w:val="0"/>
                <w:sz w:val="24"/>
                <w:szCs w:val="24"/>
              </w:rPr>
              <w:t>4</w:t>
            </w:r>
          </w:p>
        </w:tc>
        <w:tc>
          <w:tcPr>
            <w:tcW w:w="3225" w:type="dxa"/>
            <w:tcBorders>
              <w:bottom w:val="single" w:color="auto" w:sz="4" w:space="0"/>
            </w:tcBorders>
            <w:noWrap w:val="0"/>
            <w:vAlign w:val="top"/>
          </w:tcPr>
          <w:p>
            <w:pPr>
              <w:keepNext w:val="0"/>
              <w:keepLines w:val="0"/>
              <w:pageBreakBefore w:val="0"/>
              <w:kinsoku/>
              <w:wordWrap/>
              <w:overflowPunct/>
              <w:topLinePunct w:val="0"/>
              <w:autoSpaceDE/>
              <w:autoSpaceDN/>
              <w:bidi w:val="0"/>
              <w:adjustRightInd/>
              <w:spacing w:after="0" w:line="560" w:lineRule="exact"/>
              <w:jc w:val="center"/>
              <w:rPr>
                <w:rFonts w:hint="default" w:ascii="仿宋_GB2312" w:hAnsi="Calibri" w:eastAsia="仿宋" w:cs="ArialUnicodeMS"/>
                <w:color w:val="080808"/>
                <w:kern w:val="0"/>
                <w:sz w:val="24"/>
                <w:szCs w:val="24"/>
                <w:lang w:val="en-US" w:eastAsia="zh-CN"/>
              </w:rPr>
            </w:pPr>
            <w:r>
              <w:rPr>
                <w:rFonts w:hint="eastAsia" w:ascii="仿宋" w:hAnsi="仿宋" w:eastAsia="仿宋"/>
                <w:color w:val="080808"/>
                <w:sz w:val="24"/>
                <w:szCs w:val="24"/>
              </w:rPr>
              <w:t>南王庄乡</w:t>
            </w:r>
            <w:r>
              <w:rPr>
                <w:rFonts w:hint="eastAsia" w:ascii="仿宋" w:hAnsi="仿宋" w:eastAsia="仿宋"/>
                <w:color w:val="080808"/>
                <w:sz w:val="24"/>
                <w:szCs w:val="24"/>
                <w:lang w:val="en-US" w:eastAsia="zh-CN"/>
              </w:rPr>
              <w:t>农业综合服务中心</w:t>
            </w:r>
          </w:p>
        </w:tc>
        <w:tc>
          <w:tcPr>
            <w:tcW w:w="2310" w:type="dxa"/>
            <w:tcBorders>
              <w:bottom w:val="single" w:color="auto" w:sz="4" w:space="0"/>
            </w:tcBorders>
            <w:noWrap w:val="0"/>
            <w:vAlign w:val="top"/>
          </w:tcPr>
          <w:p>
            <w:pPr>
              <w:keepNext w:val="0"/>
              <w:keepLines w:val="0"/>
              <w:pageBreakBefore w:val="0"/>
              <w:kinsoku/>
              <w:wordWrap/>
              <w:overflowPunct/>
              <w:topLinePunct w:val="0"/>
              <w:autoSpaceDE/>
              <w:autoSpaceDN/>
              <w:bidi w:val="0"/>
              <w:adjustRightInd/>
              <w:spacing w:after="0" w:line="560" w:lineRule="exact"/>
              <w:jc w:val="center"/>
              <w:rPr>
                <w:rFonts w:ascii="仿宋_GB2312" w:hAnsi="Calibri" w:eastAsia="仿宋_GB2312" w:cs="ArialUnicodeMS"/>
                <w:kern w:val="0"/>
                <w:sz w:val="24"/>
                <w:szCs w:val="24"/>
              </w:rPr>
            </w:pPr>
            <w:r>
              <w:rPr>
                <w:rFonts w:hint="eastAsia" w:ascii="仿宋_GB2312" w:hAnsi="Calibri" w:eastAsia="仿宋_GB2312" w:cs="ArialUnicodeMS"/>
                <w:kern w:val="0"/>
                <w:sz w:val="24"/>
                <w:szCs w:val="24"/>
              </w:rPr>
              <w:t>财政补助事业单位</w:t>
            </w:r>
          </w:p>
        </w:tc>
        <w:tc>
          <w:tcPr>
            <w:tcW w:w="2523" w:type="dxa"/>
            <w:tcBorders>
              <w:bottom w:val="single" w:color="auto" w:sz="4" w:space="0"/>
            </w:tcBorders>
            <w:noWrap w:val="0"/>
            <w:vAlign w:val="top"/>
          </w:tcPr>
          <w:p>
            <w:pPr>
              <w:keepNext w:val="0"/>
              <w:keepLines w:val="0"/>
              <w:pageBreakBefore w:val="0"/>
              <w:kinsoku/>
              <w:wordWrap/>
              <w:overflowPunct/>
              <w:topLinePunct w:val="0"/>
              <w:autoSpaceDE/>
              <w:autoSpaceDN/>
              <w:bidi w:val="0"/>
              <w:adjustRightInd/>
              <w:spacing w:after="0" w:line="560" w:lineRule="exact"/>
              <w:jc w:val="center"/>
              <w:rPr>
                <w:rFonts w:ascii="仿宋_GB2312" w:hAnsi="Calibri" w:eastAsia="仿宋_GB2312" w:cs="ArialUnicodeMS"/>
                <w:kern w:val="0"/>
                <w:sz w:val="24"/>
                <w:szCs w:val="24"/>
              </w:rPr>
            </w:pPr>
            <w:r>
              <w:rPr>
                <w:rFonts w:hint="eastAsia" w:ascii="仿宋_GB2312" w:hAnsi="Calibri" w:eastAsia="仿宋_GB2312" w:cs="ArialUnicodeMS"/>
                <w:kern w:val="0"/>
                <w:sz w:val="24"/>
                <w:szCs w:val="24"/>
              </w:rPr>
              <w:t>财政性资金基本保证</w:t>
            </w:r>
          </w:p>
        </w:tc>
      </w:tr>
    </w:tbl>
    <w:p>
      <w:pPr>
        <w:keepNext w:val="0"/>
        <w:keepLines w:val="0"/>
        <w:pageBreakBefore w:val="0"/>
        <w:widowControl w:val="0"/>
        <w:numPr>
          <w:ilvl w:val="0"/>
          <w:numId w:val="1"/>
        </w:numPr>
        <w:suppressLineNumbers w:val="0"/>
        <w:kinsoku/>
        <w:wordWrap/>
        <w:overflowPunct/>
        <w:topLinePunct w:val="0"/>
        <w:autoSpaceDE/>
        <w:autoSpaceDN/>
        <w:bidi w:val="0"/>
        <w:adjustRightInd/>
        <w:snapToGrid w:val="0"/>
        <w:spacing w:before="0" w:beforeAutospacing="0" w:after="0" w:afterAutospacing="0" w:line="560" w:lineRule="exact"/>
        <w:ind w:left="0" w:leftChars="0" w:right="0" w:firstLine="640" w:firstLineChars="200"/>
        <w:jc w:val="both"/>
        <w:textAlignment w:val="auto"/>
        <w:rPr>
          <w:rFonts w:hint="eastAsia" w:ascii="仿宋_GB2312" w:hAnsi="仿宋" w:eastAsia="仿宋_GB2312"/>
          <w:sz w:val="32"/>
          <w:szCs w:val="32"/>
        </w:rPr>
      </w:pPr>
      <w:r>
        <w:rPr>
          <w:rFonts w:hint="eastAsia" w:ascii="仿宋_GB2312" w:hAnsi="仿宋" w:eastAsia="仿宋_GB2312"/>
          <w:sz w:val="32"/>
          <w:szCs w:val="32"/>
        </w:rPr>
        <w:t>人员情况，包括当年变动情况及原因。</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val="0"/>
        <w:spacing w:before="0" w:beforeAutospacing="0" w:after="0" w:afterAutospacing="0" w:line="560" w:lineRule="exact"/>
        <w:ind w:leftChars="0" w:right="0" w:rightChars="0" w:firstLine="640" w:firstLineChars="200"/>
        <w:jc w:val="both"/>
        <w:textAlignment w:val="auto"/>
        <w:rPr>
          <w:rFonts w:hint="eastAsia" w:ascii="仿宋_GB2312" w:hAnsi="Calibri" w:eastAsia="仿宋_GB2312" w:cs="仿宋_GB2312"/>
          <w:kern w:val="2"/>
          <w:sz w:val="32"/>
          <w:szCs w:val="32"/>
          <w:lang w:val="en-US" w:eastAsia="zh-CN" w:bidi="ar"/>
        </w:rPr>
      </w:pPr>
      <w:r>
        <w:rPr>
          <w:rFonts w:hint="eastAsia" w:ascii="仿宋_GB2312" w:hAnsi="Calibri" w:eastAsia="仿宋_GB2312" w:cs="仿宋_GB2312"/>
          <w:kern w:val="2"/>
          <w:sz w:val="32"/>
          <w:szCs w:val="32"/>
          <w:lang w:val="en-US" w:eastAsia="zh-CN" w:bidi="ar"/>
        </w:rPr>
        <w:t>本单位年末共有4</w:t>
      </w:r>
      <w:r>
        <w:rPr>
          <w:rFonts w:hint="eastAsia" w:ascii="仿宋_GB2312" w:eastAsia="仿宋_GB2312" w:cs="仿宋_GB2312"/>
          <w:kern w:val="2"/>
          <w:sz w:val="32"/>
          <w:szCs w:val="32"/>
          <w:lang w:val="en-US" w:eastAsia="zh-CN" w:bidi="ar"/>
        </w:rPr>
        <w:t>5</w:t>
      </w:r>
      <w:r>
        <w:rPr>
          <w:rFonts w:hint="eastAsia" w:ascii="仿宋_GB2312" w:hAnsi="Calibri" w:eastAsia="仿宋_GB2312" w:cs="仿宋_GB2312"/>
          <w:kern w:val="2"/>
          <w:sz w:val="32"/>
          <w:szCs w:val="32"/>
          <w:lang w:val="en-US" w:eastAsia="zh-CN" w:bidi="ar"/>
        </w:rPr>
        <w:t>人，其中行政人员2</w:t>
      </w:r>
      <w:r>
        <w:rPr>
          <w:rFonts w:hint="eastAsia" w:ascii="仿宋_GB2312" w:eastAsia="仿宋_GB2312" w:cs="仿宋_GB2312"/>
          <w:kern w:val="2"/>
          <w:sz w:val="32"/>
          <w:szCs w:val="32"/>
          <w:lang w:val="en-US" w:eastAsia="zh-CN" w:bidi="ar"/>
        </w:rPr>
        <w:t>5</w:t>
      </w:r>
      <w:r>
        <w:rPr>
          <w:rFonts w:hint="eastAsia" w:ascii="仿宋_GB2312" w:hAnsi="Calibri" w:eastAsia="仿宋_GB2312" w:cs="仿宋_GB2312"/>
          <w:kern w:val="2"/>
          <w:sz w:val="32"/>
          <w:szCs w:val="32"/>
          <w:lang w:val="en-US" w:eastAsia="zh-CN" w:bidi="ar"/>
        </w:rPr>
        <w:t>名，比上年</w:t>
      </w:r>
      <w:r>
        <w:rPr>
          <w:rFonts w:hint="eastAsia" w:ascii="仿宋_GB2312" w:eastAsia="仿宋_GB2312" w:cs="仿宋_GB2312"/>
          <w:kern w:val="2"/>
          <w:sz w:val="32"/>
          <w:szCs w:val="32"/>
          <w:lang w:val="en-US" w:eastAsia="zh-CN" w:bidi="ar"/>
        </w:rPr>
        <w:t>增加1</w:t>
      </w:r>
      <w:r>
        <w:rPr>
          <w:rFonts w:hint="eastAsia" w:ascii="仿宋_GB2312" w:hAnsi="Calibri" w:eastAsia="仿宋_GB2312" w:cs="仿宋_GB2312"/>
          <w:kern w:val="2"/>
          <w:sz w:val="32"/>
          <w:szCs w:val="32"/>
          <w:lang w:val="en-US" w:eastAsia="zh-CN" w:bidi="ar"/>
        </w:rPr>
        <w:t>人，按照规定办理调出3人，调入1人，新录用3人；事业管理人员20名，比上年增加1人，按照规定办理调出3人，新录用4人。</w:t>
      </w:r>
    </w:p>
    <w:p>
      <w:pPr>
        <w:keepNext w:val="0"/>
        <w:keepLines w:val="0"/>
        <w:pageBreakBefore w:val="0"/>
        <w:widowControl w:val="0"/>
        <w:suppressLineNumbers w:val="0"/>
        <w:kinsoku/>
        <w:wordWrap/>
        <w:overflowPunct/>
        <w:topLinePunct w:val="0"/>
        <w:autoSpaceDE/>
        <w:autoSpaceDN/>
        <w:bidi w:val="0"/>
        <w:snapToGrid w:val="0"/>
        <w:spacing w:before="0" w:beforeAutospacing="0" w:after="0" w:afterAutospacing="0" w:line="600" w:lineRule="exact"/>
        <w:ind w:left="0" w:right="0" w:firstLine="640" w:firstLineChars="200"/>
        <w:jc w:val="both"/>
        <w:textAlignment w:val="auto"/>
        <w:rPr>
          <w:rFonts w:hint="default" w:ascii="仿宋" w:hAnsi="仿宋" w:eastAsia="仿宋" w:cs="仿宋"/>
          <w:kern w:val="2"/>
          <w:sz w:val="32"/>
          <w:szCs w:val="32"/>
          <w:lang w:val="en-US" w:eastAsia="zh-CN" w:bidi="ar"/>
        </w:rPr>
      </w:pPr>
      <w:r>
        <w:rPr>
          <w:rFonts w:hint="eastAsia" w:ascii="仿宋" w:hAnsi="仿宋" w:eastAsia="仿宋"/>
          <w:sz w:val="32"/>
          <w:szCs w:val="32"/>
          <w:lang w:val="en-US" w:eastAsia="zh-CN"/>
        </w:rPr>
        <w:t>4.</w:t>
      </w:r>
      <w:r>
        <w:rPr>
          <w:rFonts w:hint="eastAsia" w:ascii="仿宋" w:hAnsi="仿宋" w:eastAsia="仿宋" w:cs="仿宋"/>
          <w:kern w:val="2"/>
          <w:sz w:val="32"/>
          <w:szCs w:val="32"/>
          <w:lang w:val="en-US" w:eastAsia="zh-CN" w:bidi="ar"/>
        </w:rPr>
        <w:t>资产情况</w:t>
      </w:r>
    </w:p>
    <w:p>
      <w:pPr>
        <w:keepNext w:val="0"/>
        <w:keepLines w:val="0"/>
        <w:pageBreakBefore w:val="0"/>
        <w:widowControl w:val="0"/>
        <w:suppressLineNumbers w:val="0"/>
        <w:kinsoku/>
        <w:wordWrap/>
        <w:overflowPunct/>
        <w:topLinePunct w:val="0"/>
        <w:autoSpaceDE/>
        <w:autoSpaceDN/>
        <w:bidi w:val="0"/>
        <w:snapToGrid w:val="0"/>
        <w:spacing w:before="0" w:beforeAutospacing="0" w:after="0" w:afterAutospacing="0" w:line="600" w:lineRule="exact"/>
        <w:ind w:left="0" w:right="0" w:firstLine="640" w:firstLineChars="200"/>
        <w:jc w:val="both"/>
        <w:textAlignment w:val="auto"/>
        <w:rPr>
          <w:rFonts w:hint="default" w:ascii="仿宋_GB2312" w:hAnsi="Calibri" w:eastAsia="仿宋_GB2312" w:cs="仿宋_GB2312"/>
          <w:kern w:val="2"/>
          <w:sz w:val="32"/>
          <w:szCs w:val="32"/>
          <w:lang w:val="en-US" w:eastAsia="zh-CN" w:bidi="ar"/>
        </w:rPr>
      </w:pPr>
      <w:r>
        <w:rPr>
          <w:rFonts w:hint="eastAsia" w:ascii="仿宋" w:hAnsi="仿宋" w:eastAsia="仿宋" w:cs="仿宋"/>
          <w:kern w:val="2"/>
          <w:sz w:val="32"/>
          <w:szCs w:val="32"/>
          <w:lang w:val="en-US" w:eastAsia="zh-CN" w:bidi="ar"/>
        </w:rPr>
        <w:t>2024年度我部门年末资产，房屋43.44万元，车辆4.9万元。财政应返还额度0万元，与上年度持平。本年度无负债。</w:t>
      </w:r>
    </w:p>
    <w:p>
      <w:pPr>
        <w:numPr>
          <w:ilvl w:val="0"/>
          <w:numId w:val="2"/>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keepNext w:val="0"/>
        <w:keepLines w:val="0"/>
        <w:pageBreakBefore w:val="0"/>
        <w:kinsoku/>
        <w:wordWrap/>
        <w:overflowPunct/>
        <w:topLinePunct w:val="0"/>
        <w:autoSpaceDE/>
        <w:autoSpaceDN/>
        <w:bidi w:val="0"/>
        <w:adjustRightInd/>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cs="Times New Roman"/>
          <w:sz w:val="32"/>
          <w:szCs w:val="32"/>
          <w:lang w:val="en-US" w:eastAsia="zh-CN"/>
        </w:rPr>
        <w:t>1.收入支出预算安排情况:本部门2025年年初安排财政拨款收入为640.79万元，比上年减少</w:t>
      </w:r>
      <w:r>
        <w:rPr>
          <w:rFonts w:hint="eastAsia" w:ascii="仿宋_GB2312" w:hAnsi="仿宋" w:eastAsia="仿宋_GB2312" w:cs="Times New Roman"/>
          <w:sz w:val="32"/>
          <w:szCs w:val="32"/>
          <w:highlight w:val="none"/>
          <w:lang w:val="en-US" w:eastAsia="zh-CN"/>
        </w:rPr>
        <w:t>2.81%，</w:t>
      </w:r>
      <w:r>
        <w:rPr>
          <w:rFonts w:hint="eastAsia" w:ascii="仿宋_GB2312" w:hAnsi="仿宋" w:eastAsia="仿宋_GB2312" w:cs="Times New Roman"/>
          <w:sz w:val="32"/>
          <w:szCs w:val="32"/>
          <w:lang w:val="en-US" w:eastAsia="zh-CN"/>
        </w:rPr>
        <w:t>年初安排支出为640.79万元，比上年减少</w:t>
      </w:r>
      <w:r>
        <w:rPr>
          <w:rFonts w:hint="eastAsia" w:ascii="仿宋_GB2312" w:hAnsi="仿宋" w:eastAsia="仿宋_GB2312" w:cs="Times New Roman"/>
          <w:sz w:val="32"/>
          <w:szCs w:val="32"/>
          <w:highlight w:val="none"/>
          <w:lang w:val="en-US" w:eastAsia="zh-CN"/>
        </w:rPr>
        <w:t>2.81%</w:t>
      </w:r>
      <w:r>
        <w:rPr>
          <w:rFonts w:hint="eastAsia" w:ascii="仿宋_GB2312" w:hAnsi="仿宋" w:eastAsia="仿宋_GB2312" w:cs="Times New Roman"/>
          <w:sz w:val="32"/>
          <w:szCs w:val="32"/>
          <w:lang w:val="en-US" w:eastAsia="zh-CN"/>
        </w:rPr>
        <w:t>，主要是项目安排减少，导致年初安排预算和支出减少。</w:t>
      </w:r>
    </w:p>
    <w:p>
      <w:pPr>
        <w:snapToGrid w:val="0"/>
        <w:spacing w:line="520" w:lineRule="exact"/>
        <w:ind w:firstLine="640" w:firstLineChars="200"/>
        <w:outlineLvl w:val="0"/>
        <w:rPr>
          <w:rFonts w:hint="eastAsia" w:ascii="仿宋_GB2312" w:hAnsi="仿宋" w:eastAsia="仿宋_GB2312"/>
          <w:sz w:val="32"/>
          <w:szCs w:val="32"/>
          <w:lang w:val="en-US" w:eastAsia="zh-CN"/>
        </w:rPr>
      </w:pPr>
      <w:r>
        <w:rPr>
          <w:rFonts w:hint="eastAsia" w:ascii="仿宋_GB2312" w:hAnsi="仿宋" w:eastAsia="仿宋_GB2312" w:cs="Times New Roman"/>
          <w:sz w:val="32"/>
          <w:szCs w:val="32"/>
          <w:lang w:val="en-US" w:eastAsia="zh-CN"/>
        </w:rPr>
        <w:t>2.收入支出预算执行情况:</w:t>
      </w:r>
      <w:r>
        <w:rPr>
          <w:rFonts w:hint="eastAsia" w:ascii="仿宋_GB2312" w:hAnsi="仿宋" w:eastAsia="仿宋_GB2312"/>
          <w:sz w:val="32"/>
          <w:szCs w:val="32"/>
          <w:lang w:val="en-US" w:eastAsia="zh-CN"/>
        </w:rPr>
        <w:t>收入，年初预算数</w:t>
      </w:r>
      <w:r>
        <w:rPr>
          <w:rFonts w:hint="eastAsia" w:ascii="仿宋_GB2312" w:hAnsi="仿宋" w:eastAsia="仿宋_GB2312" w:cs="Times New Roman"/>
          <w:sz w:val="32"/>
          <w:szCs w:val="32"/>
          <w:lang w:val="en-US" w:eastAsia="zh-CN"/>
        </w:rPr>
        <w:t>640.79</w:t>
      </w:r>
      <w:r>
        <w:rPr>
          <w:rFonts w:hint="eastAsia" w:ascii="仿宋_GB2312" w:hAnsi="仿宋" w:eastAsia="仿宋_GB2312"/>
          <w:sz w:val="32"/>
          <w:szCs w:val="32"/>
          <w:lang w:val="en-US" w:eastAsia="zh-CN"/>
        </w:rPr>
        <w:t>万元，决算数840.52万元，差异率31.17%，全年预算数840.52万元，决算数840.52万元，差异率0%。</w:t>
      </w:r>
    </w:p>
    <w:p>
      <w:pPr>
        <w:keepNext w:val="0"/>
        <w:keepLines w:val="0"/>
        <w:pageBreakBefore w:val="0"/>
        <w:kinsoku/>
        <w:wordWrap/>
        <w:overflowPunct/>
        <w:topLinePunct w:val="0"/>
        <w:autoSpaceDE/>
        <w:autoSpaceDN/>
        <w:bidi w:val="0"/>
        <w:adjustRightInd/>
        <w:snapToGrid w:val="0"/>
        <w:spacing w:line="560" w:lineRule="exact"/>
        <w:ind w:firstLine="640" w:firstLineChars="200"/>
        <w:rPr>
          <w:rFonts w:hint="eastAsia" w:ascii="楷体" w:hAnsi="楷体" w:eastAsia="楷体" w:cs="楷体_GB2312"/>
          <w:bCs/>
          <w:sz w:val="32"/>
          <w:szCs w:val="32"/>
        </w:rPr>
      </w:pPr>
      <w:r>
        <w:rPr>
          <w:rFonts w:hint="eastAsia" w:ascii="仿宋_GB2312" w:hAnsi="仿宋" w:eastAsia="仿宋_GB2312"/>
          <w:sz w:val="32"/>
          <w:szCs w:val="32"/>
          <w:lang w:val="en-US" w:eastAsia="zh-CN"/>
        </w:rPr>
        <w:t>支出，年初预算数</w:t>
      </w:r>
      <w:r>
        <w:rPr>
          <w:rFonts w:hint="eastAsia" w:ascii="仿宋_GB2312" w:hAnsi="仿宋" w:eastAsia="仿宋_GB2312" w:cs="Times New Roman"/>
          <w:sz w:val="32"/>
          <w:szCs w:val="32"/>
          <w:lang w:val="en-US" w:eastAsia="zh-CN"/>
        </w:rPr>
        <w:t>640.79</w:t>
      </w:r>
      <w:r>
        <w:rPr>
          <w:rFonts w:hint="eastAsia" w:ascii="仿宋_GB2312" w:hAnsi="仿宋" w:eastAsia="仿宋_GB2312"/>
          <w:sz w:val="32"/>
          <w:szCs w:val="32"/>
          <w:lang w:val="en-US" w:eastAsia="zh-CN"/>
        </w:rPr>
        <w:t>万元，决算数840.52万元，差异率17.89%，全年预算数840.52万元，决算数840.52万元，差异率0%。</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pStyle w:val="7"/>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完成上级各项工作的督导催办，处理机关日常事务，搞好文秘、档案管理、政务公开和机关后勤保障工作；负责相关党群单位的工作；抓好农村基层组织建设和民主政治建设。负责制定乡财政计划和经济发展规划；为招商引资、发展民营企业和第三产业提供服务；做好乡统计、审计工作；负责社会治安综合治理和司法工作；做好宗教工作，打击邪教；调处矛盾纠纷；做好群众来信来访、社会稳定等工作。负责精神文明和新农村建设，以及与各部门社会事务工作的指导服务和协调。</w:t>
      </w:r>
    </w:p>
    <w:p>
      <w:pPr>
        <w:pStyle w:val="7"/>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负责配合农口部门（农、林、牧、水）做好农业技术服务和技术推广工作，动物防疫工作；加强农田水利基本建设，增强农业抗御自然灾害的能力，做好农村一事一议项目管理。</w:t>
      </w:r>
    </w:p>
    <w:p>
      <w:pPr>
        <w:pStyle w:val="7"/>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配合食品药品监督管理的协调、督导，做好新型农村合作医疗等卫生方面工作。负责计划生育技术服务及人口生育管理，负责育龄妇女普查、妇女病防治、四术及协会等项工作。完成群众文化娱乐、体育活动、广播电视村村通等工作。配合劳动保障部门做好劳动法的宣传贯彻、劳动就业、社会保障等工作。配合安全生产监督管理部门做好安全生产监督管理等工作。</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jc w:val="both"/>
        <w:textAlignment w:val="auto"/>
        <w:outlineLvl w:val="9"/>
        <w:rPr>
          <w:rFonts w:hint="eastAsia" w:ascii="仿宋" w:hAnsi="仿宋" w:eastAsia="仿宋"/>
          <w:sz w:val="32"/>
          <w:szCs w:val="32"/>
          <w:lang w:eastAsia="zh-CN"/>
        </w:rPr>
      </w:pPr>
      <w:r>
        <w:rPr>
          <w:rFonts w:hint="eastAsia" w:ascii="仿宋" w:hAnsi="仿宋" w:eastAsia="仿宋" w:cs="黑体"/>
          <w:kern w:val="2"/>
          <w:sz w:val="32"/>
          <w:szCs w:val="32"/>
          <w:lang w:val="en-US" w:eastAsia="zh-CN" w:bidi="ar-SA"/>
        </w:rPr>
        <w:t>做好信访接待、资料建档归类工作，健全各项制度机制，全面精准摸底完善建档立卡，建立镇村信息平台；落实安置和帮扶措施，做好困难军人的救助、社保、和就业创业工作；建立常态走访慰问机制。</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keepNext w:val="0"/>
        <w:keepLines w:val="0"/>
        <w:pageBreakBefore w:val="0"/>
        <w:widowControl w:val="0"/>
        <w:kinsoku/>
        <w:wordWrap/>
        <w:overflowPunct/>
        <w:topLinePunct w:val="0"/>
        <w:autoSpaceDE/>
        <w:autoSpaceDN/>
        <w:bidi w:val="0"/>
        <w:spacing w:line="600" w:lineRule="exact"/>
        <w:ind w:left="0" w:leftChars="0" w:right="0" w:firstLine="640" w:firstLineChars="200"/>
        <w:jc w:val="both"/>
        <w:textAlignment w:val="auto"/>
        <w:outlineLvl w:val="9"/>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val="en-US" w:eastAsia="zh-CN"/>
        </w:rPr>
        <w:t>井陉县南王庄乡人民政府</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w:t>
      </w:r>
      <w:r>
        <w:rPr>
          <w:rFonts w:hint="eastAsia" w:ascii="仿宋" w:hAnsi="仿宋" w:eastAsia="仿宋"/>
          <w:sz w:val="32"/>
          <w:szCs w:val="32"/>
          <w:lang w:eastAsia="zh-CN"/>
        </w:rPr>
        <w:t>，由财政所</w:t>
      </w:r>
      <w:r>
        <w:rPr>
          <w:rFonts w:hint="eastAsia" w:ascii="仿宋" w:hAnsi="仿宋" w:eastAsia="仿宋"/>
          <w:sz w:val="32"/>
          <w:szCs w:val="32"/>
          <w:lang w:val="en-US" w:eastAsia="zh-CN"/>
        </w:rPr>
        <w:t>主管郭楠</w:t>
      </w:r>
      <w:r>
        <w:rPr>
          <w:rFonts w:hint="eastAsia" w:ascii="仿宋" w:hAnsi="仿宋" w:eastAsia="仿宋"/>
          <w:sz w:val="32"/>
          <w:szCs w:val="32"/>
          <w:lang w:eastAsia="zh-CN"/>
        </w:rPr>
        <w:t>牵头，组成项目评价小组，进行资料收集，统计数据等工作。</w:t>
      </w:r>
      <w:r>
        <w:rPr>
          <w:rFonts w:hint="eastAsia" w:ascii="仿宋" w:hAnsi="仿宋" w:eastAsia="仿宋"/>
          <w:sz w:val="32"/>
          <w:szCs w:val="32"/>
          <w:lang w:val="en-US" w:eastAsia="zh-CN"/>
        </w:rPr>
        <w:t>我乡</w:t>
      </w:r>
      <w:r>
        <w:rPr>
          <w:rFonts w:hint="eastAsia" w:ascii="仿宋" w:hAnsi="仿宋" w:eastAsia="仿宋"/>
          <w:sz w:val="32"/>
          <w:szCs w:val="32"/>
          <w:lang w:eastAsia="zh-CN"/>
        </w:rPr>
        <w:t>项目为一般财政拨款，我乡积极申请上级财政资金，有健全管理制度及监理制度，执行率高，具有可控性；根据规定有计划，有步骤地使用资金，合理规范使用资金，严格支出手续。</w:t>
      </w:r>
    </w:p>
    <w:p>
      <w:pPr>
        <w:numPr>
          <w:ilvl w:val="0"/>
          <w:numId w:val="3"/>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ascii="楷体" w:hAnsi="楷体" w:eastAsia="楷体" w:cs="楷体_GB2312"/>
          <w:bCs/>
          <w:sz w:val="32"/>
          <w:szCs w:val="32"/>
        </w:rPr>
      </w:pPr>
      <w:r>
        <w:rPr>
          <w:rFonts w:hint="eastAsia" w:ascii="仿宋" w:hAnsi="仿宋" w:eastAsia="仿宋" w:cs="仿宋"/>
          <w:sz w:val="32"/>
          <w:szCs w:val="32"/>
        </w:rPr>
        <w:t>采取业务科室汇报相关科室进行效果评价的办法。</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4"/>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pStyle w:val="7"/>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资金支出情况：维持本部门日常运行，及时争取上级资金，合理使用资金，节约成本。</w:t>
      </w:r>
    </w:p>
    <w:p>
      <w:pPr>
        <w:pStyle w:val="7"/>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完成情况：及时完成上级安排部署的各项工作，提高工作质量。</w:t>
      </w:r>
    </w:p>
    <w:p>
      <w:pPr>
        <w:pStyle w:val="7"/>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ascii="楷体" w:hAnsi="楷体" w:eastAsia="楷体" w:cs="楷体_GB2312"/>
          <w:bCs/>
          <w:sz w:val="32"/>
          <w:szCs w:val="32"/>
        </w:rPr>
      </w:pPr>
      <w:r>
        <w:rPr>
          <w:rFonts w:hint="eastAsia" w:ascii="仿宋" w:hAnsi="仿宋" w:eastAsia="仿宋"/>
          <w:sz w:val="32"/>
          <w:szCs w:val="32"/>
          <w:lang w:val="en-US" w:eastAsia="zh-CN"/>
        </w:rPr>
        <w:t>满意度情况：为民办实事办好事，提高群众对各项工作的满意度。</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pStyle w:val="7"/>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1.综合业务管理工作</w:t>
      </w:r>
    </w:p>
    <w:p>
      <w:pPr>
        <w:pStyle w:val="7"/>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绩效目标：负责人大代表议政、人代会，做好各项工作的迎查、考核完成乡镇财政计划和经济发展规划，做好统计、审计工作；做好与各职责部门的社会事务工作。</w:t>
      </w:r>
    </w:p>
    <w:p>
      <w:pPr>
        <w:pStyle w:val="7"/>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绩效指标：年度工作完成率、任务实现率、年度工作考核排名。</w:t>
      </w:r>
    </w:p>
    <w:p>
      <w:pPr>
        <w:pStyle w:val="7"/>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2.综合事务管理工作</w:t>
      </w:r>
    </w:p>
    <w:p>
      <w:pPr>
        <w:pStyle w:val="7"/>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绩效目标：完成机关日常事务，搞好文秘、档案管理、政务公开和机关后勤保障工作。</w:t>
      </w:r>
    </w:p>
    <w:p>
      <w:pPr>
        <w:pStyle w:val="7"/>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绩效指标：年度工作完成率、任务实现率。</w:t>
      </w:r>
    </w:p>
    <w:p>
      <w:pPr>
        <w:pStyle w:val="7"/>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3.信访专项工作</w:t>
      </w:r>
    </w:p>
    <w:p>
      <w:pPr>
        <w:pStyle w:val="7"/>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绩效目标：维护我辖区信访稳定完成信访维稳工作，解决百姓问题。</w:t>
      </w:r>
    </w:p>
    <w:p>
      <w:pPr>
        <w:pStyle w:val="7"/>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绩效指标：年度信访工作完成率、任务实现率。</w:t>
      </w:r>
    </w:p>
    <w:p>
      <w:pPr>
        <w:pStyle w:val="7"/>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4.农业专项工作</w:t>
      </w:r>
    </w:p>
    <w:p>
      <w:pPr>
        <w:pStyle w:val="7"/>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绩效目标：配合农业部门做好农业技术服务和技术推广及动物防疫，加强农业基本建设，增强农业抗御自然灾害的能力。</w:t>
      </w:r>
    </w:p>
    <w:p>
      <w:pPr>
        <w:pStyle w:val="7"/>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绩效指标：年度农业工作完成率、任务实现率。</w:t>
      </w:r>
    </w:p>
    <w:p>
      <w:pPr>
        <w:pStyle w:val="7"/>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5.林业专项工作</w:t>
      </w:r>
    </w:p>
    <w:p>
      <w:pPr>
        <w:pStyle w:val="8"/>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绩效目标：配合林业部门做好林业技术服务和技术推广，做好森林培育和护林防火工作，年度内不发生一起火灾事故。</w:t>
      </w:r>
    </w:p>
    <w:p>
      <w:pPr>
        <w:pStyle w:val="8"/>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绩效指标：年度林业工作完成率、任务实现率。</w:t>
      </w:r>
    </w:p>
    <w:p>
      <w:pPr>
        <w:pStyle w:val="8"/>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6.水利专项工作</w:t>
      </w:r>
    </w:p>
    <w:p>
      <w:pPr>
        <w:pStyle w:val="8"/>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绩效目标：配合水利部门做好农田水机基础设施建设、开展群众安全饮水项目。</w:t>
      </w:r>
    </w:p>
    <w:p>
      <w:pPr>
        <w:pStyle w:val="8"/>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绩效指标：年度水利工作完成率、任务实现率。</w:t>
      </w:r>
    </w:p>
    <w:p>
      <w:pPr>
        <w:pStyle w:val="8"/>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7.农村公益事业专项工作</w:t>
      </w:r>
    </w:p>
    <w:p>
      <w:pPr>
        <w:pStyle w:val="8"/>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绩效目标：做好农村一事一议档案的统一管理、监督项目的运行情况、督促项目的及时完成及确保完成质量</w:t>
      </w:r>
    </w:p>
    <w:p>
      <w:pPr>
        <w:pStyle w:val="8"/>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绩效指标：年度一事一议工作完成率、任务实现率。</w:t>
      </w:r>
    </w:p>
    <w:p>
      <w:pPr>
        <w:pStyle w:val="8"/>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8.卫生专项工作</w:t>
      </w:r>
    </w:p>
    <w:p>
      <w:pPr>
        <w:pStyle w:val="8"/>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绩效目标：配合食品药品监督管理的协调、督导，做好新型农村合作医疗等卫生方面工作。</w:t>
      </w:r>
    </w:p>
    <w:p>
      <w:pPr>
        <w:pStyle w:val="8"/>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绩效指标：年度卫生工作完成率、任务实现率。</w:t>
      </w:r>
    </w:p>
    <w:p>
      <w:pPr>
        <w:pStyle w:val="8"/>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9.优生专项工作</w:t>
      </w:r>
    </w:p>
    <w:p>
      <w:pPr>
        <w:pStyle w:val="8"/>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绩效目标：完成优化生育技术服务及人口生育管理，负责育龄妇女普查、妇女病防治等工作。</w:t>
      </w:r>
    </w:p>
    <w:p>
      <w:pPr>
        <w:pStyle w:val="8"/>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绩效指标：年度计生工作完成率、任务实现率。</w:t>
      </w:r>
    </w:p>
    <w:p>
      <w:pPr>
        <w:pStyle w:val="8"/>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10.文化综合服务工作</w:t>
      </w:r>
    </w:p>
    <w:p>
      <w:pPr>
        <w:pStyle w:val="8"/>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绩效目标：完成群众文化娱乐、体育活动、广播电视村村通等工作。</w:t>
      </w:r>
    </w:p>
    <w:p>
      <w:pPr>
        <w:pStyle w:val="8"/>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绩效指标：年度文化工作完成率、任务实现率。</w:t>
      </w:r>
    </w:p>
    <w:p>
      <w:pPr>
        <w:pStyle w:val="8"/>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11.社会保障服务工作</w:t>
      </w:r>
    </w:p>
    <w:p>
      <w:pPr>
        <w:pStyle w:val="8"/>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绩效目标：配合劳动保障部门做好劳动法的宣传贯彻、劳动就业、社会保障等工作。配合安全生产监督管理部门，做好安全生产监督管理等工作。做好行政服务审批和行政执法工作。</w:t>
      </w:r>
    </w:p>
    <w:p>
      <w:pPr>
        <w:pStyle w:val="8"/>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绩效指标：年度社会保障工作完成率、任务实现率。</w:t>
      </w:r>
    </w:p>
    <w:p>
      <w:pPr>
        <w:pStyle w:val="8"/>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12.退役军人服务工作</w:t>
      </w:r>
    </w:p>
    <w:p>
      <w:pPr>
        <w:pStyle w:val="8"/>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绩效目标：落实安置和帮扶措施，做好困难军人的救助、社保和就业创业工作，保障退伍军人合法权益的落实。</w:t>
      </w:r>
    </w:p>
    <w:p>
      <w:pPr>
        <w:pStyle w:val="8"/>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楷体" w:hAnsi="楷体" w:eastAsia="楷体" w:cs="楷体_GB2312"/>
          <w:bCs/>
          <w:sz w:val="32"/>
          <w:szCs w:val="32"/>
        </w:rPr>
      </w:pPr>
      <w:r>
        <w:rPr>
          <w:rFonts w:hint="eastAsia" w:ascii="仿宋" w:hAnsi="仿宋" w:eastAsia="仿宋" w:cs="黑体"/>
          <w:kern w:val="2"/>
          <w:sz w:val="32"/>
          <w:szCs w:val="32"/>
          <w:lang w:val="en-US" w:eastAsia="zh-CN" w:bidi="ar-SA"/>
        </w:rPr>
        <w:t>绩效指标：年度退役军人工作完成率、任务实现率。</w:t>
      </w:r>
    </w:p>
    <w:p>
      <w:pPr>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ascii="黑体" w:hAnsi="黑体" w:eastAsia="黑体"/>
          <w:sz w:val="32"/>
          <w:szCs w:val="32"/>
        </w:rPr>
      </w:pPr>
      <w:r>
        <w:rPr>
          <w:rFonts w:hint="eastAsia" w:ascii="黑体" w:hAnsi="黑体" w:eastAsia="黑体"/>
          <w:sz w:val="32"/>
          <w:szCs w:val="32"/>
        </w:rPr>
        <w:t>四、评价结论和评价等级</w:t>
      </w:r>
    </w:p>
    <w:p>
      <w:pPr>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ascii="仿宋" w:hAnsi="仿宋" w:eastAsia="仿宋"/>
          <w:sz w:val="32"/>
          <w:szCs w:val="32"/>
        </w:rPr>
      </w:pPr>
      <w:r>
        <w:rPr>
          <w:rFonts w:hint="eastAsia" w:ascii="仿宋" w:hAnsi="仿宋" w:eastAsia="仿宋"/>
          <w:sz w:val="32"/>
          <w:szCs w:val="32"/>
        </w:rPr>
        <w:t>根据部门职责定位和各项工作履职情况进行综合评价，给出总得分</w:t>
      </w:r>
      <w:r>
        <w:rPr>
          <w:rFonts w:hint="eastAsia" w:ascii="仿宋" w:hAnsi="仿宋" w:eastAsia="仿宋"/>
          <w:sz w:val="32"/>
          <w:szCs w:val="32"/>
          <w:lang w:val="en-US" w:eastAsia="zh-CN"/>
        </w:rPr>
        <w:t>98</w:t>
      </w:r>
      <w:r>
        <w:rPr>
          <w:rFonts w:hint="eastAsia" w:ascii="仿宋" w:hAnsi="仿宋" w:eastAsia="仿宋"/>
          <w:sz w:val="32"/>
          <w:szCs w:val="32"/>
        </w:rPr>
        <w:t>，满分100分，得出综合绩效评价等级</w:t>
      </w:r>
      <w:r>
        <w:rPr>
          <w:rFonts w:hint="eastAsia" w:ascii="仿宋" w:hAnsi="仿宋" w:eastAsia="仿宋"/>
          <w:sz w:val="32"/>
          <w:szCs w:val="32"/>
          <w:lang w:val="en-US" w:eastAsia="zh-CN"/>
        </w:rPr>
        <w:t>为优秀</w:t>
      </w:r>
      <w:r>
        <w:rPr>
          <w:rFonts w:hint="eastAsia" w:ascii="仿宋" w:hAnsi="仿宋" w:eastAsia="仿宋"/>
          <w:sz w:val="32"/>
          <w:szCs w:val="32"/>
        </w:rPr>
        <w:t>。部门整体支出综合绩效评价分为4个等级：得分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pPr>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ascii="黑体" w:hAnsi="黑体" w:eastAsia="黑体"/>
          <w:sz w:val="32"/>
          <w:szCs w:val="32"/>
        </w:rPr>
      </w:pPr>
      <w:r>
        <w:rPr>
          <w:rFonts w:hint="eastAsia" w:ascii="黑体" w:hAnsi="黑体" w:eastAsia="黑体"/>
          <w:sz w:val="32"/>
          <w:szCs w:val="32"/>
        </w:rPr>
        <w:t>五、存在的问题及改进措施</w:t>
      </w:r>
    </w:p>
    <w:p>
      <w:pPr>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eastAsia" w:ascii="楷体" w:hAnsi="楷体" w:eastAsia="楷体"/>
          <w:bCs/>
          <w:sz w:val="32"/>
          <w:szCs w:val="32"/>
        </w:rPr>
      </w:pPr>
      <w:r>
        <w:rPr>
          <w:rFonts w:hint="eastAsia" w:ascii="楷体" w:hAnsi="楷体" w:eastAsia="楷体"/>
          <w:bCs/>
          <w:sz w:val="32"/>
          <w:szCs w:val="32"/>
        </w:rPr>
        <w:t>（一）存在的主要问题</w:t>
      </w:r>
    </w:p>
    <w:p>
      <w:pPr>
        <w:keepNext w:val="0"/>
        <w:keepLines w:val="0"/>
        <w:pageBreakBefore w:val="0"/>
        <w:widowControl w:val="0"/>
        <w:kinsoku/>
        <w:wordWrap/>
        <w:overflowPunct/>
        <w:topLinePunct w:val="0"/>
        <w:autoSpaceDE/>
        <w:autoSpaceDN/>
        <w:bidi w:val="0"/>
        <w:spacing w:line="600" w:lineRule="exact"/>
        <w:ind w:left="0" w:leftChars="0" w:right="0" w:firstLine="640" w:firstLineChars="200"/>
        <w:jc w:val="both"/>
        <w:textAlignment w:val="auto"/>
        <w:outlineLvl w:val="9"/>
        <w:rPr>
          <w:rFonts w:hint="eastAsia" w:ascii="楷体" w:hAnsi="楷体" w:eastAsia="楷体"/>
          <w:bCs/>
          <w:sz w:val="32"/>
          <w:szCs w:val="32"/>
        </w:rPr>
      </w:pPr>
      <w:r>
        <w:rPr>
          <w:rFonts w:hint="eastAsia" w:ascii="仿宋" w:hAnsi="仿宋" w:eastAsia="仿宋"/>
          <w:sz w:val="32"/>
          <w:szCs w:val="32"/>
          <w:lang w:val="en-US" w:eastAsia="zh-CN"/>
        </w:rPr>
        <w:t>项目自评制度尚需完善，缺乏长效监护机制，工作急需优化流程，工作效率还有上升空间，部门绩效仍需提高，资金管理制度需要完善。</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楷体" w:hAnsi="楷体" w:eastAsia="楷体"/>
          <w:bCs/>
          <w:sz w:val="32"/>
          <w:szCs w:val="32"/>
        </w:rPr>
      </w:pPr>
      <w:r>
        <w:rPr>
          <w:rFonts w:hint="eastAsia" w:ascii="楷体" w:hAnsi="楷体" w:eastAsia="楷体"/>
          <w:bCs/>
          <w:sz w:val="32"/>
          <w:szCs w:val="32"/>
          <w:lang w:eastAsia="zh-CN"/>
        </w:rPr>
        <w:t>（</w:t>
      </w:r>
      <w:r>
        <w:rPr>
          <w:rFonts w:hint="eastAsia" w:ascii="楷体" w:hAnsi="楷体" w:eastAsia="楷体"/>
          <w:bCs/>
          <w:sz w:val="32"/>
          <w:szCs w:val="32"/>
          <w:lang w:val="en-US" w:eastAsia="zh-CN"/>
        </w:rPr>
        <w:t>二</w:t>
      </w:r>
      <w:r>
        <w:rPr>
          <w:rFonts w:hint="eastAsia" w:ascii="楷体" w:hAnsi="楷体" w:eastAsia="楷体"/>
          <w:bCs/>
          <w:sz w:val="32"/>
          <w:szCs w:val="32"/>
          <w:lang w:eastAsia="zh-CN"/>
        </w:rPr>
        <w:t>）</w:t>
      </w:r>
      <w:r>
        <w:rPr>
          <w:rFonts w:hint="eastAsia" w:ascii="楷体" w:hAnsi="楷体" w:eastAsia="楷体"/>
          <w:bCs/>
          <w:sz w:val="32"/>
          <w:szCs w:val="32"/>
        </w:rPr>
        <w:t>针对问题提出具体的改进措施或建议</w:t>
      </w:r>
    </w:p>
    <w:p>
      <w:pPr>
        <w:keepNext w:val="0"/>
        <w:keepLines w:val="0"/>
        <w:pageBreakBefore w:val="0"/>
        <w:widowControl w:val="0"/>
        <w:kinsoku/>
        <w:wordWrap/>
        <w:overflowPunct/>
        <w:topLinePunct w:val="0"/>
        <w:autoSpaceDE/>
        <w:autoSpaceDN/>
        <w:bidi w:val="0"/>
        <w:spacing w:line="600" w:lineRule="exact"/>
        <w:ind w:left="0" w:leftChars="0" w:right="0" w:firstLine="640" w:firstLineChars="200"/>
        <w:jc w:val="both"/>
        <w:textAlignment w:val="auto"/>
        <w:outlineLvl w:val="9"/>
        <w:rPr>
          <w:rFonts w:hint="eastAsia" w:ascii="楷体" w:hAnsi="楷体" w:eastAsia="楷体"/>
          <w:bCs/>
          <w:sz w:val="32"/>
          <w:szCs w:val="32"/>
        </w:rPr>
      </w:pPr>
      <w:r>
        <w:rPr>
          <w:rFonts w:hint="eastAsia" w:ascii="仿宋" w:hAnsi="仿宋" w:eastAsia="仿宋"/>
          <w:sz w:val="32"/>
          <w:szCs w:val="32"/>
          <w:lang w:val="en-US" w:eastAsia="zh-CN"/>
        </w:rPr>
        <w:t>在资金管理中，需要及时拨出资金，并且督促资金使用到位，提高项目的效果和质量。完善项目自评制度，在今后的工作中将</w:t>
      </w:r>
      <w:r>
        <w:rPr>
          <w:rFonts w:hint="eastAsia" w:ascii="仿宋" w:hAnsi="仿宋" w:eastAsia="仿宋" w:cs="仿宋"/>
          <w:sz w:val="32"/>
          <w:szCs w:val="32"/>
          <w:lang w:val="en-US" w:eastAsia="zh-CN"/>
        </w:rPr>
        <w:t>招商引资，加大公共预算收入管理，</w:t>
      </w:r>
      <w:r>
        <w:rPr>
          <w:rFonts w:hint="eastAsia" w:ascii="仿宋" w:hAnsi="仿宋" w:eastAsia="仿宋"/>
          <w:sz w:val="32"/>
          <w:szCs w:val="32"/>
          <w:lang w:val="en-US" w:eastAsia="zh-CN"/>
        </w:rPr>
        <w:t>建立长效监护机制，优化工作流程，提高工作效率，提高部门绩效。</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30"/>
        <w:gridCol w:w="3417"/>
        <w:gridCol w:w="31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noWrap w:val="0"/>
            <w:vAlign w:val="top"/>
          </w:tcPr>
          <w:p>
            <w:pPr>
              <w:spacing w:line="360" w:lineRule="auto"/>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姓名</w:t>
            </w:r>
          </w:p>
        </w:tc>
        <w:tc>
          <w:tcPr>
            <w:tcW w:w="3417" w:type="dxa"/>
            <w:noWrap w:val="0"/>
            <w:vAlign w:val="top"/>
          </w:tcPr>
          <w:p>
            <w:pPr>
              <w:spacing w:line="360" w:lineRule="auto"/>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职务</w:t>
            </w:r>
          </w:p>
        </w:tc>
        <w:tc>
          <w:tcPr>
            <w:tcW w:w="3134" w:type="dxa"/>
            <w:noWrap w:val="0"/>
            <w:vAlign w:val="top"/>
          </w:tcPr>
          <w:p>
            <w:pPr>
              <w:spacing w:line="360" w:lineRule="auto"/>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noWrap w:val="0"/>
            <w:vAlign w:val="top"/>
          </w:tcPr>
          <w:p>
            <w:pPr>
              <w:spacing w:line="360" w:lineRule="auto"/>
              <w:jc w:val="center"/>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郭楠</w:t>
            </w:r>
          </w:p>
        </w:tc>
        <w:tc>
          <w:tcPr>
            <w:tcW w:w="3417" w:type="dxa"/>
            <w:noWrap w:val="0"/>
            <w:vAlign w:val="top"/>
          </w:tcPr>
          <w:p>
            <w:pPr>
              <w:spacing w:line="360" w:lineRule="auto"/>
              <w:jc w:val="center"/>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党委委员</w:t>
            </w:r>
          </w:p>
        </w:tc>
        <w:tc>
          <w:tcPr>
            <w:tcW w:w="3134" w:type="dxa"/>
            <w:noWrap w:val="0"/>
            <w:vAlign w:val="top"/>
          </w:tcPr>
          <w:p>
            <w:pPr>
              <w:spacing w:line="360" w:lineRule="auto"/>
              <w:ind w:firstLine="640" w:firstLineChars="200"/>
              <w:jc w:val="center"/>
              <w:rPr>
                <w:rFonts w:hint="eastAsia" w:ascii="仿宋" w:hAnsi="仿宋" w:eastAsia="仿宋" w:cs="仿宋"/>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noWrap w:val="0"/>
            <w:vAlign w:val="top"/>
          </w:tcPr>
          <w:p>
            <w:pPr>
              <w:spacing w:line="360" w:lineRule="auto"/>
              <w:jc w:val="center"/>
              <w:rPr>
                <w:rFonts w:hint="default" w:ascii="仿宋" w:hAnsi="仿宋" w:eastAsia="仿宋" w:cs="仿宋"/>
                <w:kern w:val="2"/>
                <w:sz w:val="32"/>
                <w:szCs w:val="32"/>
                <w:lang w:val="en-US" w:eastAsia="zh-CN" w:bidi="ar-SA"/>
              </w:rPr>
            </w:pPr>
            <w:r>
              <w:rPr>
                <w:rFonts w:hint="eastAsia" w:ascii="仿宋" w:hAnsi="仿宋" w:eastAsia="仿宋" w:cs="仿宋"/>
                <w:sz w:val="32"/>
                <w:szCs w:val="32"/>
                <w:lang w:val="en-US" w:eastAsia="zh-CN"/>
              </w:rPr>
              <w:t>刘彧佳</w:t>
            </w:r>
          </w:p>
        </w:tc>
        <w:tc>
          <w:tcPr>
            <w:tcW w:w="3417" w:type="dxa"/>
            <w:noWrap w:val="0"/>
            <w:vAlign w:val="top"/>
          </w:tcPr>
          <w:p>
            <w:pPr>
              <w:spacing w:line="360" w:lineRule="auto"/>
              <w:jc w:val="center"/>
              <w:rPr>
                <w:rFonts w:hint="default" w:ascii="仿宋" w:hAnsi="仿宋" w:eastAsia="仿宋" w:cs="仿宋"/>
                <w:kern w:val="2"/>
                <w:sz w:val="32"/>
                <w:szCs w:val="32"/>
                <w:lang w:val="en-US" w:eastAsia="zh-CN" w:bidi="ar-SA"/>
              </w:rPr>
            </w:pPr>
            <w:r>
              <w:rPr>
                <w:rFonts w:hint="eastAsia" w:ascii="仿宋" w:hAnsi="仿宋" w:eastAsia="仿宋" w:cs="仿宋"/>
                <w:sz w:val="32"/>
                <w:szCs w:val="32"/>
                <w:lang w:val="en-US" w:eastAsia="zh-CN"/>
              </w:rPr>
              <w:t>会计</w:t>
            </w:r>
          </w:p>
        </w:tc>
        <w:tc>
          <w:tcPr>
            <w:tcW w:w="3134" w:type="dxa"/>
            <w:noWrap w:val="0"/>
            <w:vAlign w:val="top"/>
          </w:tcPr>
          <w:p>
            <w:pPr>
              <w:spacing w:line="360" w:lineRule="auto"/>
              <w:ind w:firstLine="640" w:firstLineChars="200"/>
              <w:jc w:val="center"/>
              <w:rPr>
                <w:rFonts w:hint="eastAsia" w:ascii="仿宋" w:hAnsi="仿宋" w:eastAsia="仿宋" w:cs="仿宋"/>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noWrap w:val="0"/>
            <w:vAlign w:val="top"/>
          </w:tcPr>
          <w:p>
            <w:pPr>
              <w:spacing w:line="360" w:lineRule="auto"/>
              <w:jc w:val="center"/>
              <w:rPr>
                <w:rFonts w:hint="eastAsia" w:ascii="仿宋" w:hAnsi="仿宋" w:eastAsia="仿宋" w:cs="仿宋"/>
                <w:kern w:val="2"/>
                <w:sz w:val="32"/>
                <w:szCs w:val="32"/>
                <w:lang w:val="en-US" w:eastAsia="zh-CN" w:bidi="ar-SA"/>
              </w:rPr>
            </w:pPr>
            <w:r>
              <w:rPr>
                <w:rFonts w:hint="eastAsia" w:ascii="仿宋" w:hAnsi="仿宋" w:eastAsia="仿宋" w:cs="仿宋"/>
                <w:sz w:val="32"/>
                <w:szCs w:val="32"/>
                <w:lang w:val="en-US" w:eastAsia="zh-CN"/>
              </w:rPr>
              <w:t>薛兰</w:t>
            </w:r>
          </w:p>
        </w:tc>
        <w:tc>
          <w:tcPr>
            <w:tcW w:w="3417" w:type="dxa"/>
            <w:noWrap w:val="0"/>
            <w:vAlign w:val="top"/>
          </w:tcPr>
          <w:p>
            <w:pPr>
              <w:spacing w:line="360" w:lineRule="auto"/>
              <w:jc w:val="center"/>
              <w:rPr>
                <w:rFonts w:hint="eastAsia" w:ascii="仿宋" w:hAnsi="仿宋" w:eastAsia="仿宋" w:cs="仿宋"/>
                <w:kern w:val="2"/>
                <w:sz w:val="32"/>
                <w:szCs w:val="32"/>
                <w:lang w:val="en-US" w:eastAsia="zh-CN" w:bidi="ar-SA"/>
              </w:rPr>
            </w:pPr>
            <w:r>
              <w:rPr>
                <w:rFonts w:hint="eastAsia" w:ascii="仿宋" w:hAnsi="仿宋" w:eastAsia="仿宋" w:cs="仿宋"/>
                <w:sz w:val="32"/>
                <w:szCs w:val="32"/>
                <w:lang w:val="en-US" w:eastAsia="zh-CN"/>
              </w:rPr>
              <w:t>出纳</w:t>
            </w:r>
          </w:p>
        </w:tc>
        <w:tc>
          <w:tcPr>
            <w:tcW w:w="3134" w:type="dxa"/>
            <w:noWrap w:val="0"/>
            <w:vAlign w:val="top"/>
          </w:tcPr>
          <w:p>
            <w:pPr>
              <w:spacing w:line="360" w:lineRule="auto"/>
              <w:ind w:firstLine="640" w:firstLineChars="200"/>
              <w:jc w:val="center"/>
              <w:rPr>
                <w:rFonts w:hint="eastAsia" w:ascii="仿宋" w:hAnsi="仿宋" w:eastAsia="仿宋" w:cs="仿宋"/>
                <w:sz w:val="32"/>
                <w:szCs w:val="32"/>
                <w:lang w:val="en-US" w:eastAsia="zh-CN"/>
              </w:rPr>
            </w:pPr>
          </w:p>
        </w:tc>
      </w:tr>
    </w:tbl>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32666918"/>
    <w:multiLevelType w:val="singleLevel"/>
    <w:tmpl w:val="32666918"/>
    <w:lvl w:ilvl="0" w:tentative="0">
      <w:start w:val="2"/>
      <w:numFmt w:val="decimal"/>
      <w:suff w:val="nothing"/>
      <w:lvlText w:val="%1．"/>
      <w:lvlJc w:val="left"/>
    </w:lvl>
  </w:abstractNum>
  <w:abstractNum w:abstractNumId="2">
    <w:nsid w:val="57A4C9C6"/>
    <w:multiLevelType w:val="singleLevel"/>
    <w:tmpl w:val="57A4C9C6"/>
    <w:lvl w:ilvl="0" w:tentative="0">
      <w:start w:val="2"/>
      <w:numFmt w:val="chineseCounting"/>
      <w:suff w:val="nothing"/>
      <w:lvlText w:val="（%1）"/>
      <w:lvlJc w:val="left"/>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5A12E22"/>
    <w:rsid w:val="07956271"/>
    <w:rsid w:val="09721397"/>
    <w:rsid w:val="0BB63BED"/>
    <w:rsid w:val="0DC15AA0"/>
    <w:rsid w:val="0EB97A43"/>
    <w:rsid w:val="0EBD2122"/>
    <w:rsid w:val="0F214EAE"/>
    <w:rsid w:val="115A72AA"/>
    <w:rsid w:val="11B71E6A"/>
    <w:rsid w:val="13062AFE"/>
    <w:rsid w:val="142A6985"/>
    <w:rsid w:val="1AAF0063"/>
    <w:rsid w:val="1BE140DE"/>
    <w:rsid w:val="1C58538F"/>
    <w:rsid w:val="248C197D"/>
    <w:rsid w:val="252959AF"/>
    <w:rsid w:val="277A6671"/>
    <w:rsid w:val="292D35B7"/>
    <w:rsid w:val="2C960AC8"/>
    <w:rsid w:val="31151E97"/>
    <w:rsid w:val="33EB6CFF"/>
    <w:rsid w:val="35A12947"/>
    <w:rsid w:val="35E71F65"/>
    <w:rsid w:val="37387040"/>
    <w:rsid w:val="3B0548E0"/>
    <w:rsid w:val="3B625C0A"/>
    <w:rsid w:val="3CEE1963"/>
    <w:rsid w:val="3FF22CF9"/>
    <w:rsid w:val="40195B7E"/>
    <w:rsid w:val="40D9115F"/>
    <w:rsid w:val="423B0DDF"/>
    <w:rsid w:val="436B78D3"/>
    <w:rsid w:val="48B60C1B"/>
    <w:rsid w:val="4C5948D2"/>
    <w:rsid w:val="4C9C27FE"/>
    <w:rsid w:val="512260B4"/>
    <w:rsid w:val="52BD6ACB"/>
    <w:rsid w:val="55537534"/>
    <w:rsid w:val="561A74F1"/>
    <w:rsid w:val="597244E8"/>
    <w:rsid w:val="59AE2A13"/>
    <w:rsid w:val="5E233790"/>
    <w:rsid w:val="5EB71C30"/>
    <w:rsid w:val="5FE307E1"/>
    <w:rsid w:val="66AF0CE5"/>
    <w:rsid w:val="6AA27932"/>
    <w:rsid w:val="6AC537CF"/>
    <w:rsid w:val="6E5B14A6"/>
    <w:rsid w:val="711B255E"/>
    <w:rsid w:val="73E82D35"/>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1"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8">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1584</Words>
  <Characters>1593</Characters>
  <Lines>4</Lines>
  <Paragraphs>1</Paragraphs>
  <TotalTime>1</TotalTime>
  <ScaleCrop>false</ScaleCrop>
  <LinksUpToDate>false</LinksUpToDate>
  <CharactersWithSpaces>1599</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阿坤</cp:lastModifiedBy>
  <cp:lastPrinted>2026-04-07T08:46:00Z</cp:lastPrinted>
  <dcterms:modified xsi:type="dcterms:W3CDTF">2026-04-27T06:24:42Z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F7351BF0C2DF4605AD9D0E82C1EA79E4_13</vt:lpwstr>
  </property>
  <property fmtid="{D5CDD505-2E9C-101B-9397-08002B2CF9AE}" pid="4" name="KSOTemplateDocerSaveRecord">
    <vt:lpwstr>eyJoZGlkIjoiYWZmMTc3ZWJhYzY4NDUzMzIyNGVmYWI4NWRiNTJlNGMiLCJ1c2VySWQiOiI0MTk0OTU4ODEifQ==</vt:lpwstr>
  </property>
</Properties>
</file>