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984972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 w14:paraId="58F3D071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0E23A34B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井陉县城市管理综合行政执法局</w:t>
      </w:r>
    </w:p>
    <w:p w14:paraId="3AC936DB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部门202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3C1B6B8C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5302B8E3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井陉县城市管理综合行政执法局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48FFC411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3A8DC59D">
      <w:pPr>
        <w:adjustRightInd w:val="0"/>
        <w:snapToGrid w:val="0"/>
        <w:spacing w:line="560" w:lineRule="exact"/>
        <w:ind w:firstLine="640" w:firstLineChars="200"/>
        <w:rPr>
          <w:rFonts w:hint="eastAsia" w:ascii="方正黑体简体" w:hAnsi="方正黑体简体" w:eastAsia="方正黑体简体" w:cs="方正黑体简体"/>
          <w:bCs/>
          <w:sz w:val="32"/>
          <w:szCs w:val="32"/>
        </w:rPr>
      </w:pPr>
      <w:r>
        <w:rPr>
          <w:rFonts w:hint="eastAsia" w:ascii="方正黑体简体" w:hAnsi="方正黑体简体" w:eastAsia="方正黑体简体" w:cs="方正黑体简体"/>
          <w:bCs/>
          <w:sz w:val="32"/>
          <w:szCs w:val="32"/>
        </w:rPr>
        <w:t>（一）</w:t>
      </w:r>
      <w:r>
        <w:rPr>
          <w:rFonts w:hint="eastAsia" w:ascii="方正黑体简体" w:hAnsi="方正黑体简体" w:eastAsia="方正黑体简体" w:cs="方正黑体简体"/>
          <w:bCs/>
          <w:sz w:val="32"/>
          <w:szCs w:val="32"/>
          <w:lang w:eastAsia="zh-CN"/>
        </w:rPr>
        <w:t>、</w:t>
      </w:r>
      <w:r>
        <w:rPr>
          <w:rFonts w:hint="eastAsia" w:ascii="方正黑体简体" w:hAnsi="方正黑体简体" w:eastAsia="方正黑体简体" w:cs="方正黑体简体"/>
          <w:bCs/>
          <w:sz w:val="32"/>
          <w:szCs w:val="32"/>
        </w:rPr>
        <w:t>部门概况</w:t>
      </w:r>
    </w:p>
    <w:tbl>
      <w:tblPr>
        <w:tblStyle w:val="7"/>
        <w:tblW w:w="9517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42"/>
        <w:gridCol w:w="1326"/>
        <w:gridCol w:w="812"/>
        <w:gridCol w:w="2807"/>
        <w:gridCol w:w="1430"/>
      </w:tblGrid>
      <w:tr w14:paraId="66D0BF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tblHeader/>
          <w:jc w:val="center"/>
        </w:trPr>
        <w:tc>
          <w:tcPr>
            <w:tcW w:w="3142" w:type="dxa"/>
            <w:noWrap w:val="0"/>
            <w:vAlign w:val="center"/>
          </w:tcPr>
          <w:p w14:paraId="4CDF007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</w:rPr>
              <w:t>单位名称</w:t>
            </w:r>
          </w:p>
        </w:tc>
        <w:tc>
          <w:tcPr>
            <w:tcW w:w="1326" w:type="dxa"/>
            <w:noWrap w:val="0"/>
            <w:vAlign w:val="center"/>
          </w:tcPr>
          <w:p w14:paraId="1CE3A08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</w:rPr>
              <w:t>单位性质</w:t>
            </w:r>
          </w:p>
        </w:tc>
        <w:tc>
          <w:tcPr>
            <w:tcW w:w="812" w:type="dxa"/>
            <w:noWrap w:val="0"/>
            <w:vAlign w:val="center"/>
          </w:tcPr>
          <w:p w14:paraId="559A520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</w:rPr>
              <w:t>单位规格</w:t>
            </w:r>
          </w:p>
        </w:tc>
        <w:tc>
          <w:tcPr>
            <w:tcW w:w="2807" w:type="dxa"/>
            <w:noWrap w:val="0"/>
            <w:vAlign w:val="center"/>
          </w:tcPr>
          <w:p w14:paraId="7E1D90CB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</w:rPr>
              <w:t>经费保障形式</w:t>
            </w:r>
          </w:p>
        </w:tc>
        <w:tc>
          <w:tcPr>
            <w:tcW w:w="1430" w:type="dxa"/>
            <w:noWrap w:val="0"/>
            <w:vAlign w:val="center"/>
          </w:tcPr>
          <w:p w14:paraId="3AB3E14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lang w:eastAsia="zh-CN"/>
              </w:rPr>
              <w:t>在职人数</w:t>
            </w:r>
          </w:p>
        </w:tc>
      </w:tr>
      <w:tr w14:paraId="47B439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jc w:val="center"/>
        </w:trPr>
        <w:tc>
          <w:tcPr>
            <w:tcW w:w="3142" w:type="dxa"/>
            <w:noWrap w:val="0"/>
            <w:vAlign w:val="center"/>
          </w:tcPr>
          <w:p w14:paraId="3806A71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</w:rPr>
              <w:t>井陉县城市管理综合</w:t>
            </w: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lang w:eastAsia="zh-CN"/>
              </w:rPr>
              <w:t>行政</w:t>
            </w: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</w:rPr>
              <w:t>执法</w:t>
            </w: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lang w:eastAsia="zh-CN"/>
              </w:rPr>
              <w:t>局</w:t>
            </w:r>
          </w:p>
        </w:tc>
        <w:tc>
          <w:tcPr>
            <w:tcW w:w="1326" w:type="dxa"/>
            <w:noWrap w:val="0"/>
            <w:vAlign w:val="center"/>
          </w:tcPr>
          <w:p w14:paraId="70499C63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lang w:eastAsia="zh-CN"/>
              </w:rPr>
              <w:t>机关</w:t>
            </w:r>
          </w:p>
        </w:tc>
        <w:tc>
          <w:tcPr>
            <w:tcW w:w="812" w:type="dxa"/>
            <w:noWrap w:val="0"/>
            <w:vAlign w:val="center"/>
          </w:tcPr>
          <w:p w14:paraId="2BDA6FC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</w:rPr>
              <w:t>科级</w:t>
            </w:r>
          </w:p>
        </w:tc>
        <w:tc>
          <w:tcPr>
            <w:tcW w:w="2807" w:type="dxa"/>
            <w:noWrap w:val="0"/>
            <w:vAlign w:val="center"/>
          </w:tcPr>
          <w:p w14:paraId="18B0D26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</w:rPr>
              <w:t>财政性资金</w:t>
            </w: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lang w:eastAsia="zh-CN"/>
              </w:rPr>
              <w:t>全额拨款</w:t>
            </w:r>
          </w:p>
        </w:tc>
        <w:tc>
          <w:tcPr>
            <w:tcW w:w="1430" w:type="dxa"/>
            <w:noWrap w:val="0"/>
            <w:vAlign w:val="center"/>
          </w:tcPr>
          <w:p w14:paraId="172B6E6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lang w:val="en-US" w:eastAsia="zh-CN"/>
              </w:rPr>
              <w:t>6</w:t>
            </w:r>
          </w:p>
        </w:tc>
      </w:tr>
      <w:tr w14:paraId="1E00F8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3142" w:type="dxa"/>
            <w:noWrap w:val="0"/>
            <w:vAlign w:val="center"/>
          </w:tcPr>
          <w:p w14:paraId="1E7B517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</w:rPr>
              <w:t>井陉县城市管理综合</w:t>
            </w: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lang w:eastAsia="zh-CN"/>
              </w:rPr>
              <w:t>执法大队</w:t>
            </w:r>
          </w:p>
        </w:tc>
        <w:tc>
          <w:tcPr>
            <w:tcW w:w="1326" w:type="dxa"/>
            <w:noWrap w:val="0"/>
            <w:vAlign w:val="center"/>
          </w:tcPr>
          <w:p w14:paraId="2BF0700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</w:rPr>
              <w:t>事业</w:t>
            </w:r>
          </w:p>
        </w:tc>
        <w:tc>
          <w:tcPr>
            <w:tcW w:w="812" w:type="dxa"/>
            <w:noWrap w:val="0"/>
            <w:vAlign w:val="center"/>
          </w:tcPr>
          <w:p w14:paraId="2AD9815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</w:rPr>
              <w:t>副科级</w:t>
            </w:r>
          </w:p>
        </w:tc>
        <w:tc>
          <w:tcPr>
            <w:tcW w:w="2807" w:type="dxa"/>
            <w:noWrap w:val="0"/>
            <w:vAlign w:val="center"/>
          </w:tcPr>
          <w:p w14:paraId="64F3ED7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</w:rPr>
              <w:t>财政性资金定额或定项补助</w:t>
            </w:r>
          </w:p>
        </w:tc>
        <w:tc>
          <w:tcPr>
            <w:tcW w:w="1430" w:type="dxa"/>
            <w:noWrap w:val="0"/>
            <w:vAlign w:val="center"/>
          </w:tcPr>
          <w:p w14:paraId="387CFA9C">
            <w:pPr>
              <w:pStyle w:val="4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lang w:val="en-US" w:eastAsia="zh-CN"/>
              </w:rPr>
              <w:t>78</w:t>
            </w:r>
          </w:p>
        </w:tc>
      </w:tr>
    </w:tbl>
    <w:p w14:paraId="55EF3F41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 w14:paraId="1EC64A97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hAnsi="仿宋" w:eastAsia="仿宋_GB2312" w:cs="Times New Roman"/>
          <w:sz w:val="32"/>
          <w:szCs w:val="32"/>
          <w:lang w:eastAsia="zh-CN"/>
        </w:rPr>
        <w:t>2025</w:t>
      </w:r>
      <w:r>
        <w:rPr>
          <w:rFonts w:hint="eastAsia" w:ascii="仿宋_GB2312" w:hAnsi="仿宋" w:eastAsia="仿宋_GB2312" w:cs="Times New Roman"/>
          <w:sz w:val="32"/>
          <w:szCs w:val="32"/>
        </w:rPr>
        <w:t>年当年收入</w:t>
      </w:r>
      <w:r>
        <w:rPr>
          <w:rFonts w:hint="eastAsia" w:ascii="仿宋_GB2312" w:hAnsi="仿宋" w:eastAsia="仿宋_GB2312" w:cs="仿宋"/>
          <w:color w:val="000000"/>
          <w:sz w:val="32"/>
          <w:szCs w:val="32"/>
          <w:lang w:val="en-US" w:eastAsia="zh-CN"/>
        </w:rPr>
        <w:t>23627.23</w:t>
      </w:r>
      <w:r>
        <w:rPr>
          <w:rFonts w:hint="eastAsia" w:ascii="仿宋_GB2312" w:hAnsi="仿宋" w:eastAsia="仿宋_GB2312" w:cs="Times New Roman"/>
          <w:color w:val="auto"/>
          <w:sz w:val="32"/>
          <w:szCs w:val="32"/>
        </w:rPr>
        <w:t>万元，比年初预算</w:t>
      </w:r>
      <w:r>
        <w:rPr>
          <w:rFonts w:hint="eastAsia" w:ascii="仿宋_GB2312" w:hAnsi="仿宋" w:eastAsia="仿宋_GB2312" w:cs="Times New Roman"/>
          <w:color w:val="auto"/>
          <w:sz w:val="32"/>
          <w:szCs w:val="32"/>
          <w:lang w:val="en-US" w:eastAsia="zh-CN"/>
        </w:rPr>
        <w:t>23627.23</w:t>
      </w:r>
      <w:r>
        <w:rPr>
          <w:rFonts w:hint="eastAsia" w:ascii="仿宋_GB2312" w:hAnsi="仿宋" w:eastAsia="仿宋_GB2312" w:cs="Times New Roman"/>
          <w:color w:val="auto"/>
          <w:sz w:val="32"/>
          <w:szCs w:val="32"/>
        </w:rPr>
        <w:t>万元</w:t>
      </w:r>
      <w:r>
        <w:rPr>
          <w:rFonts w:hint="eastAsia" w:ascii="仿宋_GB2312" w:hAnsi="仿宋" w:eastAsia="仿宋_GB2312" w:cs="Times New Roman"/>
          <w:color w:val="auto"/>
          <w:sz w:val="32"/>
          <w:szCs w:val="32"/>
          <w:lang w:eastAsia="zh-CN"/>
        </w:rPr>
        <w:t>增加</w:t>
      </w:r>
      <w:r>
        <w:rPr>
          <w:rFonts w:hint="eastAsia" w:ascii="仿宋_GB2312" w:hAnsi="仿宋" w:eastAsia="仿宋_GB2312" w:cs="Times New Roman"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_GB2312" w:hAnsi="仿宋" w:eastAsia="仿宋_GB2312" w:cs="Times New Roman"/>
          <w:color w:val="auto"/>
          <w:sz w:val="32"/>
          <w:szCs w:val="32"/>
        </w:rPr>
        <w:t>万元；</w:t>
      </w:r>
      <w:r>
        <w:rPr>
          <w:rFonts w:hint="eastAsia" w:ascii="仿宋_GB2312" w:hAnsi="仿宋" w:eastAsia="仿宋_GB2312" w:cs="Times New Roman"/>
          <w:color w:val="auto"/>
          <w:sz w:val="32"/>
          <w:szCs w:val="32"/>
          <w:lang w:eastAsia="zh-CN"/>
        </w:rPr>
        <w:t>2025</w:t>
      </w:r>
      <w:r>
        <w:rPr>
          <w:rFonts w:hint="eastAsia" w:ascii="仿宋_GB2312" w:hAnsi="仿宋" w:eastAsia="仿宋_GB2312" w:cs="Times New Roman"/>
          <w:color w:val="auto"/>
          <w:sz w:val="32"/>
          <w:szCs w:val="32"/>
        </w:rPr>
        <w:t>年度支出为</w:t>
      </w:r>
      <w:r>
        <w:rPr>
          <w:rFonts w:hint="eastAsia" w:ascii="仿宋_GB2312" w:hAnsi="仿宋" w:eastAsia="仿宋_GB2312" w:cs="Times New Roman"/>
          <w:color w:val="auto"/>
          <w:sz w:val="32"/>
          <w:szCs w:val="32"/>
          <w:lang w:val="en-US" w:eastAsia="zh-CN"/>
        </w:rPr>
        <w:t>23627.23</w:t>
      </w:r>
      <w:r>
        <w:rPr>
          <w:rFonts w:hint="eastAsia" w:ascii="仿宋_GB2312" w:hAnsi="仿宋" w:eastAsia="仿宋_GB2312" w:cs="Times New Roman"/>
          <w:color w:val="auto"/>
          <w:sz w:val="32"/>
          <w:szCs w:val="32"/>
        </w:rPr>
        <w:t>万元，比年初预算</w:t>
      </w:r>
      <w:r>
        <w:rPr>
          <w:rFonts w:hint="eastAsia" w:ascii="仿宋_GB2312" w:hAnsi="仿宋" w:eastAsia="仿宋_GB2312" w:cs="Times New Roman"/>
          <w:color w:val="auto"/>
          <w:sz w:val="32"/>
          <w:szCs w:val="32"/>
          <w:lang w:val="en-US" w:eastAsia="zh-CN"/>
        </w:rPr>
        <w:t>23627.23</w:t>
      </w:r>
      <w:r>
        <w:rPr>
          <w:rFonts w:hint="eastAsia" w:ascii="仿宋_GB2312" w:hAnsi="仿宋" w:eastAsia="仿宋_GB2312" w:cs="Times New Roman"/>
          <w:color w:val="auto"/>
          <w:sz w:val="32"/>
          <w:szCs w:val="32"/>
        </w:rPr>
        <w:t>万元，</w:t>
      </w:r>
      <w:r>
        <w:rPr>
          <w:rFonts w:hint="eastAsia" w:ascii="仿宋_GB2312" w:hAnsi="仿宋" w:eastAsia="仿宋_GB2312" w:cs="Times New Roman"/>
          <w:color w:val="auto"/>
          <w:sz w:val="32"/>
          <w:szCs w:val="32"/>
          <w:lang w:eastAsia="zh-CN"/>
        </w:rPr>
        <w:t>增加</w:t>
      </w:r>
      <w:r>
        <w:rPr>
          <w:rFonts w:hint="eastAsia" w:ascii="仿宋_GB2312" w:hAnsi="仿宋" w:eastAsia="仿宋_GB2312" w:cs="Times New Roman"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_GB2312" w:hAnsi="仿宋" w:eastAsia="仿宋_GB2312" w:cs="Times New Roman"/>
          <w:color w:val="auto"/>
          <w:sz w:val="32"/>
          <w:szCs w:val="32"/>
        </w:rPr>
        <w:t>万元，收支情况较年初预算</w:t>
      </w:r>
      <w:r>
        <w:rPr>
          <w:rFonts w:hint="eastAsia" w:ascii="仿宋_GB2312" w:hAnsi="仿宋" w:eastAsia="仿宋_GB2312" w:cs="Times New Roman"/>
          <w:color w:val="auto"/>
          <w:sz w:val="32"/>
          <w:szCs w:val="32"/>
          <w:lang w:eastAsia="zh-CN"/>
        </w:rPr>
        <w:t>无变化。</w:t>
      </w:r>
    </w:p>
    <w:p w14:paraId="3265D7F3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582FA8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严格贯彻执行国家、省、市城乡建设管理相关方针政策及法律法规，以城市管理为核心主线，以规范县城容貌秩序、改善人居环境、提升县城整体形象为重要抓手，严格履行岗位职责，层层压实工作责任，强化全方位监管，精准发力、靶向施策，聚焦“优、洁、绿、亮、序、美”六大目标，持续强化网格化管理、监督考评和“门前三包”工作落实，不断提升县城管理精细化、规范化水平，努力在市容环境整治、环卫精细化管理、市政设施监管维护、排水防涝能力提升、城管执法体制改革五大重点领域实现新突破，全力打造宜居、整洁、有序的县城环境。</w:t>
      </w:r>
    </w:p>
    <w:p w14:paraId="0A2515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重点工作推进方面，一是推进数字城市管理升级，充分运用现有数字管理平台，推动数字化城市管理向智慧化转型，优化平台监管效能，为网格化管理提供坚实科技支撑，提升城市管理的精准度和效率。二是深化监督考评机制，本着“管住静态的、协调动态的”工作思路，建立城市管理高位考核机制，细化考评标准，强化结果运用，倒逼各项工作落地见效。三是开展市容环境整治，重点推进占道经营、渣土运输、露天烧烤、户外广告等乱象整治，规范占道市场管理，谋划建设高标准便民市场，推行“门前三包”星级管理，打造市容管理样板街道，规范门头牌匾设置，打造整洁有序的城市风貌。</w:t>
      </w:r>
    </w:p>
    <w:p w14:paraId="7C64E1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推进环卫精细化管理，加大环卫投入，</w:t>
      </w:r>
      <w:r>
        <w:rPr>
          <w:rFonts w:hint="eastAsia" w:ascii="方正仿宋简体" w:hAnsi="方正仿宋简体" w:eastAsia="方正仿宋简体" w:cs="方正仿宋简体"/>
          <w:sz w:val="30"/>
          <w:szCs w:val="30"/>
        </w:rPr>
        <w:t>购置清扫机械，确保2025年底主街主路机械化清扫率≥90%，县城便道及小街巷人工清扫率100%，严格落实重点区域24小时保洁标准，配齐环卫人员；推进城乡环卫一体化，落实垃圾分类处理，实现垃圾环保综合利用。加强市政设施维护监管，做好金良河水景各期管护与交接，常态化开展河道清淤、注水、植绿、亮化、防汛等工作，确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保水体洁净；抓好市政设施维修，保障各类设施完好无损。提升城区排水防涝能力，加快排水管网改造，加大排水执法力度，严查违规排水行为。强化城管执法，实行网格化管理，整治各类违规行为，落实建筑施工“六个百分百”要求，规范工地及渣土运输管理。</w:t>
      </w:r>
    </w:p>
    <w:p w14:paraId="70ECF1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绩效管控方面，明确五大领域分项绩效目标及量化指标，确保工作成效可衡量、可考核。城乡建设管理领域，生态效益达标率≥95%，城市基础设施修缮率≥9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5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%，县城居民满意度≥90%；燃气行业管理领域，县城燃气用户普及率≥9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5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%，安全检查及隐患整改闭环率100%；市政设施管理领域，市政设施任务完成率100%、完好率≥9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5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%；城区市容环境卫生管理领域，主街主路机械化清扫率≥90%，便道及小街巷人工清扫率100%；数字化城市管理领域，监督管控覆盖率100%，全面保障各项工作高质量推进。</w:t>
      </w:r>
    </w:p>
    <w:p w14:paraId="2D9E34E3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318CEDFD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7CAEC1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为确保本次自评工作规范有序、高效推进，保障评价结果客观公正、真实准确，全面反映各项工作落实成效，我们高度重视、统筹部署，扎实推进各项组织工作，具体如下：</w:t>
      </w:r>
    </w:p>
    <w:p w14:paraId="6AC430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方正楷体简体" w:hAnsi="方正楷体简体" w:eastAsia="方正楷体简体" w:cs="方正楷体简体"/>
          <w:b/>
          <w:bCs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</w:rPr>
        <w:t>1</w:t>
      </w: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val="en-US" w:eastAsia="zh-CN"/>
        </w:rPr>
        <w:t>.</w:t>
      </w: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</w:rPr>
        <w:t>评价资料收集</w:t>
      </w:r>
    </w:p>
    <w:p w14:paraId="7AF409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严格遵循“全面覆盖、真实有效、分类整理”原则，全面收集正式文件、会议纪要、工作台账等全流程佐证资料，确保自评无遗漏。成立资料收集专项小组，明确分工、对接各部门，采用“专人负责、分级报送、集中汇总”模式，审核资料真实性、规范性和完整性，及时补充完善缺失资料；按自评指标分类归档，建立可追溯台账，为自评提供坚实支撑。</w:t>
      </w:r>
    </w:p>
    <w:p w14:paraId="19A7A1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自评的方法和过程</w:t>
      </w:r>
    </w:p>
    <w:p w14:paraId="1C4DA8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结合本次自评工作实际，采用多种科学合理的评价方法相结合的方式开展自评，主要包括查阅资料法、实地核查法、座谈访谈法、量化评分法及自查自纠法，各方法相互补充、相互印证，有效规避单一评价方法的局限性，确保评价结果全面、精准、客观。自评过程严格按照既定规范流程有序推进，统筹衔接准备部署、全面自查、复核评审、整改完善及总结上报各关键环节，明确各环节工作要求和时间节点，加强各环节衔接联动，全程做好过程管控，保障自评工作闭环落地、取得实效。</w:t>
      </w:r>
    </w:p>
    <w:p w14:paraId="5877FF70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1467D28D">
      <w:pPr>
        <w:numPr>
          <w:ilvl w:val="0"/>
          <w:numId w:val="1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70383509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参照预算绩效文本设定的总体绩效目标，经全面核查，整体目标实现良好，基本达成预设要求。核心围绕工作任务完成、服务质量提升、资金使用效益等维度，确认重点任务按时保质完成，资金使用规范高效、专款专用，群众反馈良好，仅部分细节目标存在轻微差距，已明确整改方向。</w:t>
      </w:r>
    </w:p>
    <w:p w14:paraId="77ECF938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7F1FB595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对照预算绩效文本中各分项绩效目标及对应评价指标，逐一核查完成情况、分析指标达成度，具体如下：各分项绩效目标整体推进有序，核心指标均按要求完成，部分辅助指标因客观因素存在小幅偏差。从指标分析来看，工作任务类指标完成率达标，严格按照既定时间节点推进各项具体工作，确保任务落地见效；服务质量类指标满意度较高，达到预设标准，获得相关单位及群众认可；资金使用类指标规范合规，资金拨付、使用符合预算管理规定，无违规违纪情况，资金使用效益达到预期；效率类指标基本达标，部分环节因流程优化需要，耗时略高于预设，已针对性制定改进措施，后续将进一步提升工作效率。</w:t>
      </w:r>
    </w:p>
    <w:p w14:paraId="30BFD7E3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3AF219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方正黑体简体" w:hAnsi="方正黑体简体" w:eastAsia="方正黑体简体" w:cs="方正黑体简体"/>
          <w:b w:val="0"/>
          <w:bCs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根据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，总得分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为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96分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，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部门整体支出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综合绩效评价等级为优秀。</w:t>
      </w:r>
    </w:p>
    <w:p w14:paraId="374AD747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564D7F26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15D6C4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zh-CN"/>
        </w:rPr>
        <w:t>绩效管理中存在的问题是资金拨付不及时或资金不到位。这一问题导致部分项目推进节奏滞后，无法按时开展既定工作，影响整体工作成效。同时，资金拨付的滞后也降低了预算资金的使用效益，未能及时将资金转化为实际工作成果，不利于各项工作的有序推进。</w:t>
      </w:r>
    </w:p>
    <w:p w14:paraId="78F14F8A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 w14:paraId="1BCDAD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zh-CN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zh-CN"/>
        </w:rPr>
        <w:t>切实加快预算执行进度，提高资金使用效率。今后，我部门将严格遵照财政局关于预算执行进度的相关要求，进一步压实工作责任，督促各业务科室细化项目推进计划、加快项目执行节奏，切实加大预算执行力度，着力提升预算资金使用效能。我们将建立健全预算执行动态监测机制，定期排查资金拨付过程中的堵点问题，及时协调解决，确保年底前全面执行完毕所有预算指标，圆满完成单位年初制定的各项目标任务，切实规范预算管理，提升资金使用效益。</w:t>
      </w:r>
    </w:p>
    <w:p w14:paraId="7D48DC8F">
      <w:pPr>
        <w:pStyle w:val="2"/>
        <w:keepNext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firstLine="640" w:firstLineChars="200"/>
        <w:textAlignment w:val="auto"/>
        <w:rPr>
          <w:rFonts w:hint="eastAsia"/>
        </w:rPr>
      </w:pPr>
      <w:r>
        <w:rPr>
          <w:rFonts w:hint="eastAsia" w:ascii="方正黑体简体" w:hAnsi="方正黑体简体" w:eastAsia="方正黑体简体" w:cs="方正黑体简体"/>
          <w:b w:val="0"/>
          <w:bCs/>
          <w:sz w:val="32"/>
          <w:szCs w:val="32"/>
          <w:lang w:val="en-US" w:eastAsia="zh-CN"/>
        </w:rPr>
        <w:t>六、评价工作组人员名单及签字（姓名、工作单位、职务、职称）</w:t>
      </w:r>
    </w:p>
    <w:tbl>
      <w:tblPr>
        <w:tblStyle w:val="8"/>
        <w:tblpPr w:leftFromText="180" w:rightFromText="180" w:vertAnchor="text" w:horzAnchor="page" w:tblpX="1755" w:tblpY="84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2"/>
        <w:gridCol w:w="2969"/>
        <w:gridCol w:w="2429"/>
        <w:gridCol w:w="2429"/>
      </w:tblGrid>
      <w:tr w14:paraId="45103A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1232" w:type="dxa"/>
          </w:tcPr>
          <w:p w14:paraId="5BA8575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2969" w:type="dxa"/>
          </w:tcPr>
          <w:p w14:paraId="6AC8FCDA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  <w:t>工作单位</w:t>
            </w:r>
          </w:p>
        </w:tc>
        <w:tc>
          <w:tcPr>
            <w:tcW w:w="2429" w:type="dxa"/>
          </w:tcPr>
          <w:p w14:paraId="7062A777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  <w:t>职务</w:t>
            </w:r>
          </w:p>
        </w:tc>
        <w:tc>
          <w:tcPr>
            <w:tcW w:w="2429" w:type="dxa"/>
          </w:tcPr>
          <w:p w14:paraId="62B9B27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 w14:paraId="5BA98B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9" w:hRule="atLeast"/>
        </w:trPr>
        <w:tc>
          <w:tcPr>
            <w:tcW w:w="1232" w:type="dxa"/>
          </w:tcPr>
          <w:p w14:paraId="08137CA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  <w:t>张会国</w:t>
            </w:r>
          </w:p>
        </w:tc>
        <w:tc>
          <w:tcPr>
            <w:tcW w:w="2969" w:type="dxa"/>
          </w:tcPr>
          <w:p w14:paraId="4ADF923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  <w:t>井陉县城市管理综合行政执法局</w:t>
            </w:r>
          </w:p>
        </w:tc>
        <w:tc>
          <w:tcPr>
            <w:tcW w:w="2429" w:type="dxa"/>
          </w:tcPr>
          <w:p w14:paraId="532E84BF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  <w:t>副局长</w:t>
            </w:r>
          </w:p>
        </w:tc>
        <w:tc>
          <w:tcPr>
            <w:tcW w:w="2429" w:type="dxa"/>
          </w:tcPr>
          <w:p w14:paraId="7656C06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42DA78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9" w:hRule="atLeast"/>
        </w:trPr>
        <w:tc>
          <w:tcPr>
            <w:tcW w:w="1232" w:type="dxa"/>
          </w:tcPr>
          <w:p w14:paraId="136581C1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  <w:t>范立德</w:t>
            </w:r>
          </w:p>
        </w:tc>
        <w:tc>
          <w:tcPr>
            <w:tcW w:w="2969" w:type="dxa"/>
          </w:tcPr>
          <w:p w14:paraId="2B814B9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  <w:t>井陉县城市管理综合执法大队</w:t>
            </w:r>
          </w:p>
        </w:tc>
        <w:tc>
          <w:tcPr>
            <w:tcW w:w="2429" w:type="dxa"/>
          </w:tcPr>
          <w:p w14:paraId="2040F0E0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  <w:t>大队负责人</w:t>
            </w:r>
          </w:p>
        </w:tc>
        <w:tc>
          <w:tcPr>
            <w:tcW w:w="2429" w:type="dxa"/>
          </w:tcPr>
          <w:p w14:paraId="1C4A244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728943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9" w:hRule="atLeast"/>
        </w:trPr>
        <w:tc>
          <w:tcPr>
            <w:tcW w:w="1232" w:type="dxa"/>
            <w:vAlign w:val="top"/>
          </w:tcPr>
          <w:p w14:paraId="26E5A45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  <w:t>武卫红</w:t>
            </w:r>
          </w:p>
        </w:tc>
        <w:tc>
          <w:tcPr>
            <w:tcW w:w="2969" w:type="dxa"/>
            <w:vAlign w:val="top"/>
          </w:tcPr>
          <w:p w14:paraId="3125DBF4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  <w:t>井陉县城市管理综合执法大队</w:t>
            </w:r>
          </w:p>
        </w:tc>
        <w:tc>
          <w:tcPr>
            <w:tcW w:w="2429" w:type="dxa"/>
            <w:vAlign w:val="top"/>
          </w:tcPr>
          <w:p w14:paraId="2DAFF6F8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  <w:t>工程科科长</w:t>
            </w:r>
          </w:p>
        </w:tc>
        <w:tc>
          <w:tcPr>
            <w:tcW w:w="2429" w:type="dxa"/>
            <w:vAlign w:val="top"/>
          </w:tcPr>
          <w:p w14:paraId="1239C625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598E3D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6" w:hRule="atLeast"/>
        </w:trPr>
        <w:tc>
          <w:tcPr>
            <w:tcW w:w="1232" w:type="dxa"/>
            <w:vAlign w:val="top"/>
          </w:tcPr>
          <w:p w14:paraId="7D8787AD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val="en-US" w:eastAsia="zh-CN"/>
              </w:rPr>
              <w:t>高树彬</w:t>
            </w:r>
          </w:p>
        </w:tc>
        <w:tc>
          <w:tcPr>
            <w:tcW w:w="2969" w:type="dxa"/>
            <w:vAlign w:val="top"/>
          </w:tcPr>
          <w:p w14:paraId="4846F742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  <w:t>井陉县城市管理综合执法大队</w:t>
            </w:r>
          </w:p>
        </w:tc>
        <w:tc>
          <w:tcPr>
            <w:tcW w:w="2429" w:type="dxa"/>
            <w:vAlign w:val="top"/>
          </w:tcPr>
          <w:p w14:paraId="0865E2A6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  <w:t>供燃科科长</w:t>
            </w:r>
          </w:p>
        </w:tc>
        <w:tc>
          <w:tcPr>
            <w:tcW w:w="2429" w:type="dxa"/>
            <w:vAlign w:val="top"/>
          </w:tcPr>
          <w:p w14:paraId="3814A40C"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sz w:val="32"/>
                <w:szCs w:val="32"/>
                <w:vertAlign w:val="baseline"/>
                <w:lang w:eastAsia="zh-CN"/>
              </w:rPr>
            </w:pPr>
          </w:p>
        </w:tc>
      </w:tr>
    </w:tbl>
    <w:p w14:paraId="3F9CF368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</w:rPr>
      </w:pPr>
      <w:bookmarkStart w:id="0" w:name="_GoBack"/>
      <w:bookmarkEnd w:id="0"/>
    </w:p>
    <w:p w14:paraId="4CAD11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zh-CN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楷体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31DAAB">
    <w:pPr>
      <w:pStyle w:val="5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D1C4E13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D1C4E13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1244DF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44B521C"/>
    <w:rsid w:val="1AAF0063"/>
    <w:rsid w:val="1BE140DE"/>
    <w:rsid w:val="248C197D"/>
    <w:rsid w:val="252959AF"/>
    <w:rsid w:val="277A6671"/>
    <w:rsid w:val="292D35B7"/>
    <w:rsid w:val="31151E97"/>
    <w:rsid w:val="33EB6CFF"/>
    <w:rsid w:val="354136EF"/>
    <w:rsid w:val="35A12947"/>
    <w:rsid w:val="37387040"/>
    <w:rsid w:val="3B0548E0"/>
    <w:rsid w:val="3B625C0A"/>
    <w:rsid w:val="3CEE1963"/>
    <w:rsid w:val="414F3A3B"/>
    <w:rsid w:val="436B78D3"/>
    <w:rsid w:val="48B60C1B"/>
    <w:rsid w:val="4C9C27FE"/>
    <w:rsid w:val="512260B4"/>
    <w:rsid w:val="52BD6ACB"/>
    <w:rsid w:val="55537534"/>
    <w:rsid w:val="561A74F1"/>
    <w:rsid w:val="597244E8"/>
    <w:rsid w:val="5EB71C30"/>
    <w:rsid w:val="66AF0CE5"/>
    <w:rsid w:val="6AA27932"/>
    <w:rsid w:val="6AC537CF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3">
    <w:name w:val="heading 3"/>
    <w:next w:val="1"/>
    <w:unhideWhenUsed/>
    <w:qFormat/>
    <w:uiPriority w:val="0"/>
    <w:pPr>
      <w:keepNext/>
      <w:keepLines/>
      <w:widowControl w:val="0"/>
      <w:spacing w:before="260" w:beforeLines="0" w:beforeAutospacing="0" w:after="260" w:afterLines="0" w:afterAutospacing="0" w:line="413" w:lineRule="auto"/>
      <w:jc w:val="both"/>
      <w:outlineLvl w:val="2"/>
    </w:pPr>
    <w:rPr>
      <w:rFonts w:ascii="Calibri" w:hAnsi="Calibri" w:eastAsia="宋体" w:cs="黑体"/>
      <w:b/>
      <w:kern w:val="2"/>
      <w:sz w:val="32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unhideWhenUsed/>
    <w:qFormat/>
    <w:uiPriority w:val="99"/>
    <w:pPr>
      <w:ind w:firstLine="420" w:firstLineChars="2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0">
    <w:name w:val="插入文本样式-插入总体目标文件"/>
    <w:qFormat/>
    <w:uiPriority w:val="0"/>
    <w:pPr>
      <w:widowControl w:val="0"/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kern w:val="2"/>
      <w:sz w:val="28"/>
      <w:szCs w:val="22"/>
      <w:lang w:val="en-US" w:eastAsia="zh-CN" w:bidi="ar-SA"/>
    </w:rPr>
  </w:style>
  <w:style w:type="paragraph" w:customStyle="1" w:styleId="11">
    <w:name w:val="插入文本样式-插入职责分类绩效目标文件"/>
    <w:qFormat/>
    <w:uiPriority w:val="0"/>
    <w:pPr>
      <w:widowControl w:val="0"/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kern w:val="2"/>
      <w:sz w:val="28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2800</Words>
  <Characters>2880</Characters>
  <Lines>4</Lines>
  <Paragraphs>1</Paragraphs>
  <TotalTime>0</TotalTime>
  <ScaleCrop>false</ScaleCrop>
  <LinksUpToDate>false</LinksUpToDate>
  <CharactersWithSpaces>2900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。</cp:lastModifiedBy>
  <cp:lastPrinted>2024-03-06T07:40:00Z</cp:lastPrinted>
  <dcterms:modified xsi:type="dcterms:W3CDTF">2026-04-23T02:10:11Z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807859DDDB204D7484EDDFBB4E9D1D2E</vt:lpwstr>
  </property>
  <property fmtid="{D5CDD505-2E9C-101B-9397-08002B2CF9AE}" pid="4" name="KSOTemplateDocerSaveRecord">
    <vt:lpwstr>eyJoZGlkIjoiMGQ4NjE0YjdjYmFhNGFmNWY0YzIyOTFiMDUyYzdjZTEiLCJ1c2VySWQiOiIyNTQ4MjQyMzIifQ==</vt:lpwstr>
  </property>
</Properties>
</file>