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井陉县人大常委会办公室</w:t>
      </w:r>
    </w:p>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2025年度整体支出绩效</w:t>
      </w:r>
      <w:r>
        <w:rPr>
          <w:rFonts w:hint="eastAsia" w:ascii="宋体" w:hAnsi="宋体" w:cs="宋体"/>
          <w:b/>
          <w:bCs/>
          <w:sz w:val="44"/>
          <w:szCs w:val="44"/>
        </w:rPr>
        <w:t>自评报告</w:t>
      </w:r>
    </w:p>
    <w:p>
      <w:pPr>
        <w:spacing w:line="560" w:lineRule="exact"/>
        <w:jc w:val="center"/>
        <w:rPr>
          <w:rFonts w:hint="eastAsia" w:ascii="宋体" w:hAnsi="宋体" w:cs="宋体"/>
          <w:b/>
          <w:bCs/>
          <w:sz w:val="44"/>
          <w:szCs w:val="44"/>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井陉县人大常委会办公室</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根据《井陉县</w:t>
      </w:r>
      <w:r>
        <w:rPr>
          <w:rFonts w:hint="eastAsia" w:ascii="仿宋" w:hAnsi="仿宋" w:eastAsia="仿宋"/>
          <w:sz w:val="32"/>
          <w:szCs w:val="32"/>
          <w:lang w:eastAsia="zh-CN"/>
        </w:rPr>
        <w:t>人大常委</w:t>
      </w:r>
      <w:r>
        <w:rPr>
          <w:rFonts w:hint="eastAsia" w:ascii="仿宋" w:hAnsi="仿宋" w:eastAsia="仿宋"/>
          <w:sz w:val="32"/>
          <w:szCs w:val="32"/>
        </w:rPr>
        <w:t>会办公室职能配置、内设机构和人员编制规定》，井陉县</w:t>
      </w:r>
      <w:r>
        <w:rPr>
          <w:rFonts w:hint="eastAsia" w:ascii="仿宋" w:hAnsi="仿宋" w:eastAsia="仿宋"/>
          <w:sz w:val="32"/>
          <w:szCs w:val="32"/>
          <w:lang w:eastAsia="zh-CN"/>
        </w:rPr>
        <w:t>人大常委会</w:t>
      </w:r>
      <w:r>
        <w:rPr>
          <w:rFonts w:hint="eastAsia" w:ascii="仿宋" w:hAnsi="仿宋" w:eastAsia="仿宋"/>
          <w:sz w:val="32"/>
          <w:szCs w:val="32"/>
        </w:rPr>
        <w:t>办公室的主要职责是：</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（一）、人大监督</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进行执法调研和执法检查；围绕政府工作报告和</w:t>
      </w:r>
      <w:r>
        <w:rPr>
          <w:rFonts w:ascii="Times New Roman" w:hAnsi="Times New Roman" w:eastAsia="仿宋" w:cs="Times New Roman"/>
          <w:sz w:val="32"/>
          <w:szCs w:val="32"/>
        </w:rPr>
        <w:t>“</w:t>
      </w:r>
      <w:r>
        <w:rPr>
          <w:rFonts w:hint="eastAsia" w:ascii="Times New Roman" w:hAnsi="Times New Roman" w:eastAsia="仿宋" w:cs="Times New Roman"/>
          <w:sz w:val="32"/>
          <w:szCs w:val="32"/>
        </w:rPr>
        <w:t>一府两院</w:t>
      </w:r>
      <w:r>
        <w:rPr>
          <w:rFonts w:ascii="Times New Roman" w:hAnsi="Times New Roman" w:eastAsia="仿宋" w:cs="Times New Roman"/>
          <w:sz w:val="32"/>
          <w:szCs w:val="32"/>
        </w:rPr>
        <w:t>”</w:t>
      </w:r>
      <w:r>
        <w:rPr>
          <w:rFonts w:hint="eastAsia" w:ascii="Times New Roman" w:hAnsi="Times New Roman" w:eastAsia="仿宋" w:cs="Times New Roman"/>
          <w:sz w:val="32"/>
          <w:szCs w:val="32"/>
        </w:rPr>
        <w:t>专项工作报告涉及内容开展调查研究，开展专题询问和工作评议；对</w:t>
      </w:r>
      <w:r>
        <w:rPr>
          <w:rFonts w:ascii="Times New Roman" w:hAnsi="Times New Roman" w:eastAsia="仿宋" w:cs="Times New Roman"/>
          <w:sz w:val="32"/>
          <w:szCs w:val="32"/>
        </w:rPr>
        <w:t>“</w:t>
      </w:r>
      <w:r>
        <w:rPr>
          <w:rFonts w:hint="eastAsia" w:ascii="Times New Roman" w:hAnsi="Times New Roman" w:eastAsia="仿宋" w:cs="Times New Roman"/>
          <w:sz w:val="32"/>
          <w:szCs w:val="32"/>
        </w:rPr>
        <w:t>一府两院</w:t>
      </w:r>
      <w:r>
        <w:rPr>
          <w:rFonts w:ascii="Times New Roman" w:hAnsi="Times New Roman" w:eastAsia="仿宋" w:cs="Times New Roman"/>
          <w:sz w:val="32"/>
          <w:szCs w:val="32"/>
        </w:rPr>
        <w:t>”</w:t>
      </w:r>
      <w:r>
        <w:rPr>
          <w:rFonts w:hint="eastAsia" w:ascii="Times New Roman" w:hAnsi="Times New Roman" w:eastAsia="仿宋" w:cs="Times New Roman"/>
          <w:sz w:val="32"/>
          <w:szCs w:val="32"/>
        </w:rPr>
        <w:t>进行监督。促进各项法律法规、人大决议、报告等的落实；促进</w:t>
      </w:r>
      <w:r>
        <w:rPr>
          <w:rFonts w:ascii="Times New Roman" w:hAnsi="Times New Roman" w:eastAsia="仿宋" w:cs="Times New Roman"/>
          <w:sz w:val="32"/>
          <w:szCs w:val="32"/>
        </w:rPr>
        <w:t>“</w:t>
      </w:r>
      <w:r>
        <w:rPr>
          <w:rFonts w:hint="eastAsia" w:ascii="Times New Roman" w:hAnsi="Times New Roman" w:eastAsia="仿宋" w:cs="Times New Roman"/>
          <w:sz w:val="32"/>
          <w:szCs w:val="32"/>
        </w:rPr>
        <w:t>一府两院</w:t>
      </w:r>
      <w:r>
        <w:rPr>
          <w:rFonts w:ascii="Times New Roman" w:hAnsi="Times New Roman" w:eastAsia="仿宋" w:cs="Times New Roman"/>
          <w:sz w:val="32"/>
          <w:szCs w:val="32"/>
        </w:rPr>
        <w:t>”</w:t>
      </w:r>
      <w:r>
        <w:rPr>
          <w:rFonts w:hint="eastAsia" w:ascii="Times New Roman" w:hAnsi="Times New Roman" w:eastAsia="仿宋" w:cs="Times New Roman"/>
          <w:sz w:val="32"/>
          <w:szCs w:val="32"/>
        </w:rPr>
        <w:t>改进工作；提高规范性文件质量；促进社会和谐稳定。组织专门委员会委员、各工作委员会及特聘专家进行对法律实施情况进行执法检查；组织县人大常委及县人大代表进行执法检查和集中视察；开展代表建议督办；组织对常委及代表培训。发挥常委及代表的作用，集中反映民意，促进依法履职。</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（二）、人大会议</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承担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（三）、选举和任免</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检查监督代表法、选举法及其实施办法的贯彻实施；承担人大换届选举及人事任免服务工作；负责对县政府组成人员和县级人民法院、县人民检察院主要负责人的目标责任书、述职报告的督办工作。确保换届选举工作顺利完成，实现省市和县委人事安排部署；提高组织换届选举工作水平。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确保县人大和乡人大换届选举工作顺利完成，提高组织换届选举工作水平；高质量完成国家机关领导人选举和常委会人事任免服务工作；高效督办有关部门负责人的目标责任书和述职报告。</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（四）、人大事务管理</w:t>
      </w:r>
    </w:p>
    <w:p>
      <w:pPr>
        <w:widowControl w:val="0"/>
        <w:wordWrap/>
        <w:adjustRightInd w:val="0"/>
        <w:snapToGrid w:val="0"/>
        <w:spacing w:line="560" w:lineRule="exact"/>
        <w:ind w:right="0" w:firstLine="640" w:firstLineChars="200"/>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新闻宣传和机关信息化建设与维护；人代会及常委会会议表决系统、机关基础设施建设与维护；县</w:t>
      </w:r>
      <w:r>
        <w:rPr>
          <w:rFonts w:hint="eastAsia" w:ascii="Times New Roman" w:hAnsi="Times New Roman" w:eastAsia="仿宋" w:cs="Times New Roman"/>
          <w:sz w:val="32"/>
          <w:szCs w:val="32"/>
          <w:lang w:eastAsia="zh-CN"/>
        </w:rPr>
        <w:t>人大常委会机关</w:t>
      </w:r>
      <w:r>
        <w:rPr>
          <w:rFonts w:hint="eastAsia" w:ascii="Times New Roman" w:hAnsi="Times New Roman" w:eastAsia="仿宋" w:cs="Times New Roman"/>
          <w:sz w:val="32"/>
          <w:szCs w:val="32"/>
        </w:rPr>
        <w:t>日常管理事务；公报、年检的编辑印刷；信访工作。促进机关自身建设、服务保障能力进一步提升。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人大常委会联系；重大课题调研。保障新闻宣传与新闻发布工作正常开展，提高人大信息透明度和影响力；保障会议表决系统正常运转；网络与办公平台正常运行；促进社会和谐稳定。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机关基础设施设备正常运转，信息化保障、老干部服务保障能力进一步提高。</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napToGrid w:val="0"/>
        <w:spacing w:line="520" w:lineRule="exact"/>
        <w:ind w:firstLine="640" w:firstLineChars="200"/>
        <w:rPr>
          <w:rFonts w:hint="eastAsia" w:ascii="仿宋" w:hAnsi="仿宋" w:eastAsia="仿宋"/>
          <w:color w:val="auto"/>
          <w:sz w:val="32"/>
          <w:szCs w:val="32"/>
          <w:lang w:eastAsia="zh-CN"/>
        </w:rPr>
      </w:pPr>
      <w:r>
        <w:rPr>
          <w:rFonts w:hint="eastAsia" w:ascii="仿宋_GB2312" w:hAnsi="仿宋" w:eastAsia="仿宋_GB2312"/>
          <w:color w:val="auto"/>
          <w:sz w:val="32"/>
          <w:szCs w:val="32"/>
          <w:lang w:val="en-US" w:eastAsia="zh-CN"/>
        </w:rPr>
        <w:t>2025</w:t>
      </w:r>
      <w:r>
        <w:rPr>
          <w:rFonts w:hint="eastAsia" w:ascii="仿宋_GB2312" w:hAnsi="仿宋" w:eastAsia="仿宋_GB2312"/>
          <w:color w:val="auto"/>
          <w:sz w:val="32"/>
          <w:szCs w:val="32"/>
        </w:rPr>
        <w:t>年度我部门当年财政拨款</w:t>
      </w:r>
      <w:r>
        <w:rPr>
          <w:rFonts w:hint="eastAsia" w:ascii="仿宋_GB2312" w:hAnsi="仿宋" w:eastAsia="仿宋_GB2312"/>
          <w:color w:val="auto"/>
          <w:sz w:val="32"/>
          <w:szCs w:val="32"/>
          <w:lang w:eastAsia="zh-CN"/>
        </w:rPr>
        <w:t>预算</w:t>
      </w:r>
      <w:r>
        <w:rPr>
          <w:rFonts w:hint="eastAsia" w:ascii="仿宋_GB2312" w:hAnsi="仿宋" w:eastAsia="仿宋_GB2312"/>
          <w:color w:val="auto"/>
          <w:sz w:val="32"/>
          <w:szCs w:val="32"/>
        </w:rPr>
        <w:t>收入数为</w:t>
      </w:r>
      <w:r>
        <w:rPr>
          <w:rFonts w:hint="eastAsia" w:ascii="Times New Roman" w:hAnsi="Times New Roman" w:eastAsia="仿宋" w:cs="Times New Roman"/>
          <w:color w:val="auto"/>
          <w:sz w:val="32"/>
          <w:szCs w:val="32"/>
          <w:lang w:val="en-US" w:eastAsia="zh-CN"/>
        </w:rPr>
        <w:t>588.84</w:t>
      </w:r>
      <w:r>
        <w:rPr>
          <w:rFonts w:hint="eastAsia" w:ascii="仿宋_GB2312" w:hAnsi="仿宋" w:eastAsia="仿宋_GB2312"/>
          <w:color w:val="auto"/>
          <w:sz w:val="32"/>
          <w:szCs w:val="32"/>
          <w:lang w:val="en-US" w:eastAsia="zh-CN"/>
        </w:rPr>
        <w:t>万</w:t>
      </w:r>
      <w:r>
        <w:rPr>
          <w:rFonts w:hint="eastAsia" w:ascii="仿宋_GB2312" w:hAnsi="仿宋" w:eastAsia="仿宋_GB2312"/>
          <w:color w:val="auto"/>
          <w:sz w:val="32"/>
          <w:szCs w:val="32"/>
        </w:rPr>
        <w:t>元，财政收入决算数为</w:t>
      </w:r>
      <w:r>
        <w:rPr>
          <w:rFonts w:hint="eastAsia" w:ascii="仿宋_GB2312" w:hAnsi="仿宋" w:eastAsia="仿宋_GB2312"/>
          <w:color w:val="auto"/>
          <w:sz w:val="32"/>
          <w:szCs w:val="32"/>
          <w:lang w:val="en-US" w:eastAsia="zh-CN"/>
        </w:rPr>
        <w:t>616.44万元</w:t>
      </w:r>
      <w:r>
        <w:rPr>
          <w:rFonts w:hint="eastAsia" w:ascii="仿宋_GB2312" w:hAnsi="仿宋" w:eastAsia="仿宋_GB2312"/>
          <w:color w:val="auto"/>
          <w:sz w:val="32"/>
          <w:szCs w:val="32"/>
        </w:rPr>
        <w:t>。</w:t>
      </w:r>
    </w:p>
    <w:p>
      <w:pPr>
        <w:numPr>
          <w:numId w:val="0"/>
        </w:num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仿宋_GB2312" w:hAnsi="仿宋" w:eastAsia="仿宋_GB2312"/>
          <w:color w:val="auto"/>
          <w:sz w:val="32"/>
          <w:szCs w:val="32"/>
        </w:rPr>
        <w:t>本年支出</w:t>
      </w:r>
      <w:r>
        <w:rPr>
          <w:rFonts w:hint="eastAsia" w:ascii="仿宋_GB2312" w:hAnsi="仿宋" w:eastAsia="仿宋_GB2312"/>
          <w:color w:val="auto"/>
          <w:sz w:val="32"/>
          <w:szCs w:val="32"/>
          <w:lang w:val="en-US" w:eastAsia="zh-CN"/>
        </w:rPr>
        <w:t>616.44万</w:t>
      </w:r>
      <w:r>
        <w:rPr>
          <w:rFonts w:hint="eastAsia" w:ascii="仿宋_GB2312" w:hAnsi="仿宋" w:eastAsia="仿宋_GB2312"/>
          <w:color w:val="auto"/>
          <w:sz w:val="32"/>
          <w:szCs w:val="32"/>
        </w:rPr>
        <w:t>元，其中基本支出</w:t>
      </w:r>
      <w:r>
        <w:rPr>
          <w:rFonts w:hint="eastAsia" w:ascii="仿宋_GB2312" w:hAnsi="仿宋" w:eastAsia="仿宋_GB2312"/>
          <w:color w:val="auto"/>
          <w:sz w:val="32"/>
          <w:szCs w:val="32"/>
          <w:lang w:val="en-US" w:eastAsia="zh-CN"/>
        </w:rPr>
        <w:t>570.44万</w:t>
      </w:r>
      <w:r>
        <w:rPr>
          <w:rFonts w:hint="eastAsia" w:ascii="仿宋_GB2312" w:hAnsi="仿宋" w:eastAsia="仿宋_GB2312"/>
          <w:color w:val="auto"/>
          <w:sz w:val="32"/>
          <w:szCs w:val="32"/>
        </w:rPr>
        <w:t>元，主要为人员经费支出</w:t>
      </w:r>
      <w:r>
        <w:rPr>
          <w:rFonts w:hint="eastAsia" w:ascii="仿宋_GB2312" w:hAnsi="仿宋" w:eastAsia="仿宋_GB2312"/>
          <w:color w:val="auto"/>
          <w:sz w:val="32"/>
          <w:szCs w:val="32"/>
          <w:lang w:val="en-US" w:eastAsia="zh-CN"/>
        </w:rPr>
        <w:t>506.17万</w:t>
      </w:r>
      <w:r>
        <w:rPr>
          <w:rFonts w:hint="eastAsia" w:ascii="仿宋_GB2312" w:hAnsi="仿宋" w:eastAsia="仿宋_GB2312"/>
          <w:color w:val="auto"/>
          <w:sz w:val="32"/>
          <w:szCs w:val="32"/>
        </w:rPr>
        <w:t>元及单位日常办公经费</w:t>
      </w:r>
      <w:r>
        <w:rPr>
          <w:rFonts w:hint="eastAsia" w:ascii="仿宋_GB2312" w:hAnsi="仿宋" w:eastAsia="仿宋_GB2312"/>
          <w:color w:val="auto"/>
          <w:sz w:val="32"/>
          <w:szCs w:val="32"/>
          <w:lang w:eastAsia="zh-CN"/>
        </w:rPr>
        <w:t>支出</w:t>
      </w:r>
      <w:r>
        <w:rPr>
          <w:rFonts w:hint="eastAsia" w:ascii="仿宋_GB2312" w:hAnsi="仿宋" w:eastAsia="仿宋_GB2312" w:cs="Times New Roman"/>
          <w:color w:val="auto"/>
          <w:sz w:val="32"/>
          <w:szCs w:val="32"/>
          <w:lang w:val="en-US" w:eastAsia="zh-CN"/>
        </w:rPr>
        <w:t>64.27</w:t>
      </w:r>
      <w:r>
        <w:rPr>
          <w:rFonts w:hint="eastAsia" w:ascii="仿宋_GB2312" w:hAnsi="仿宋" w:eastAsia="仿宋_GB2312"/>
          <w:color w:val="auto"/>
          <w:sz w:val="32"/>
          <w:szCs w:val="32"/>
        </w:rPr>
        <w:t>元；项目</w:t>
      </w:r>
      <w:r>
        <w:rPr>
          <w:rFonts w:hint="eastAsia" w:ascii="仿宋_GB2312" w:hAnsi="仿宋" w:eastAsia="仿宋_GB2312"/>
          <w:color w:val="auto"/>
          <w:sz w:val="32"/>
          <w:szCs w:val="32"/>
          <w:lang w:val="en-US" w:eastAsia="zh-CN"/>
        </w:rPr>
        <w:t>支出46元，其中基本建设</w:t>
      </w:r>
      <w:r>
        <w:rPr>
          <w:rFonts w:hint="eastAsia" w:ascii="仿宋_GB2312" w:hAnsi="仿宋" w:eastAsia="仿宋_GB2312"/>
          <w:color w:val="auto"/>
          <w:sz w:val="32"/>
          <w:szCs w:val="32"/>
          <w:lang w:eastAsia="zh-CN"/>
        </w:rPr>
        <w:t>类项目支出</w:t>
      </w:r>
      <w:r>
        <w:rPr>
          <w:rFonts w:hint="eastAsia" w:ascii="仿宋_GB2312" w:hAnsi="仿宋" w:eastAsia="仿宋_GB2312"/>
          <w:color w:val="auto"/>
          <w:sz w:val="32"/>
          <w:szCs w:val="32"/>
          <w:lang w:val="en-US" w:eastAsia="zh-CN"/>
        </w:rPr>
        <w:t>0</w:t>
      </w:r>
      <w:r>
        <w:rPr>
          <w:rFonts w:hint="eastAsia" w:ascii="仿宋_GB2312" w:hAnsi="仿宋" w:eastAsia="仿宋_GB2312"/>
          <w:color w:val="auto"/>
          <w:sz w:val="32"/>
          <w:szCs w:val="32"/>
          <w:lang w:eastAsia="zh-CN"/>
        </w:rPr>
        <w:t>元</w:t>
      </w:r>
      <w:r>
        <w:rPr>
          <w:rFonts w:hint="eastAsia" w:ascii="仿宋_GB2312" w:hAnsi="仿宋" w:eastAsia="仿宋_GB2312"/>
          <w:color w:val="auto"/>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根据县十八届人大</w:t>
      </w:r>
      <w:r>
        <w:rPr>
          <w:rFonts w:hint="eastAsia" w:ascii="Times New Roman" w:hAnsi="Times New Roman" w:eastAsia="仿宋" w:cs="Times New Roman"/>
          <w:sz w:val="32"/>
          <w:szCs w:val="32"/>
          <w:lang w:eastAsia="zh-CN"/>
        </w:rPr>
        <w:t>五</w:t>
      </w:r>
      <w:r>
        <w:rPr>
          <w:rFonts w:hint="eastAsia" w:ascii="Times New Roman" w:hAnsi="Times New Roman" w:eastAsia="仿宋" w:cs="Times New Roman"/>
          <w:sz w:val="32"/>
          <w:szCs w:val="32"/>
        </w:rPr>
        <w:t>次会议通过的工作报告，在县人代会闭会期间，根据我县的具体情况和实际需要，在不同宪法、法律和行政法规相抵触的前提下，审议决定我县政治、经济、科学、教育、文化、卫生、环境与资源保护、民政、民族等工作的重大事项以及人民群众普遍关注和迫切要求解决的重大问题；审查和批准国民经济和社会发展计划、预算在执行过程中所必须作的部分调整方案。监督县人民政府、县监察委员会、县人民法院和县人民检察院的工作。根据县人民政府县长的提名，决定县人民政府副县长、委员会主任、审计长、秘书长的人选；根据县监察委员会主任提请，任免监察委员会副主任委员、委员；根据县人民法院院长的提请，任免县人民法院副院长、庭长、审判委员会委员、审判员；根据县人民检察院检察长的提请，任免县人民检察院副检察长、检察委员会委员、检察员。审议决定常务委员会认为应当依法审议、决定的其他重大事项。</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widowControl w:val="0"/>
        <w:wordWrap/>
        <w:adjustRightInd w:val="0"/>
        <w:snapToGrid w:val="0"/>
        <w:spacing w:line="560" w:lineRule="exact"/>
        <w:ind w:right="0" w:firstLine="640" w:firstLineChars="200"/>
        <w:textAlignment w:val="auto"/>
        <w:outlineLvl w:val="9"/>
        <w:rPr>
          <w:rFonts w:hint="eastAsia" w:ascii="Times New Roman" w:hAnsi="Times New Roman" w:eastAsia="仿宋" w:cs="Times New Roman"/>
          <w:sz w:val="32"/>
          <w:szCs w:val="32"/>
        </w:rPr>
      </w:pPr>
      <w:r>
        <w:rPr>
          <w:rFonts w:hint="eastAsia" w:ascii="仿宋" w:hAnsi="仿宋" w:eastAsia="仿宋"/>
          <w:sz w:val="32"/>
          <w:szCs w:val="32"/>
        </w:rPr>
        <w:t xml:space="preserve"> </w:t>
      </w:r>
      <w:r>
        <w:rPr>
          <w:rFonts w:hint="eastAsia" w:ascii="Times New Roman" w:hAnsi="Times New Roman" w:eastAsia="仿宋" w:cs="Times New Roman"/>
          <w:sz w:val="32"/>
          <w:szCs w:val="32"/>
        </w:rPr>
        <w:t>根据《井陉县财政局关于开展202</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年度财政资金部门绩效自评价及财政重点绩效评工作的通知》文件要求，我部门迅速抽调相关业务部门的工作人员组成以办公室主任</w:t>
      </w:r>
      <w:r>
        <w:rPr>
          <w:rFonts w:hint="eastAsia" w:ascii="Times New Roman" w:hAnsi="Times New Roman" w:eastAsia="仿宋" w:cs="Times New Roman"/>
          <w:sz w:val="32"/>
          <w:szCs w:val="32"/>
          <w:lang w:eastAsia="zh-CN"/>
        </w:rPr>
        <w:t>李军</w:t>
      </w:r>
      <w:r>
        <w:rPr>
          <w:rFonts w:hint="eastAsia" w:ascii="Times New Roman" w:hAnsi="Times New Roman" w:eastAsia="仿宋" w:cs="Times New Roman"/>
          <w:sz w:val="32"/>
          <w:szCs w:val="32"/>
        </w:rPr>
        <w:t>为组长的自评工作小组，开展我部门的项目绩效评价工作。</w:t>
      </w:r>
    </w:p>
    <w:p>
      <w:pPr>
        <w:widowControl w:val="0"/>
        <w:wordWrap/>
        <w:adjustRightInd w:val="0"/>
        <w:snapToGrid w:val="0"/>
        <w:spacing w:line="560" w:lineRule="exact"/>
        <w:ind w:right="0" w:firstLine="640" w:firstLineChars="200"/>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评价工作先由项目涉及的业务科室按照要求对项目进行自评；然后由评价小组本着公平公正、科学规范的原则，对业务科室上报的相关材料进行审查、复核和测评，并按照评价标准和规范对各项指标进行计算和打分，最终形成上报项目自评表和自评报告。</w:t>
      </w:r>
    </w:p>
    <w:p>
      <w:pPr>
        <w:spacing w:line="560" w:lineRule="exact"/>
        <w:ind w:firstLine="640" w:firstLineChars="200"/>
        <w:rPr>
          <w:rFonts w:ascii="仿宋" w:hAnsi="仿宋" w:eastAsia="仿宋"/>
          <w:color w:val="auto"/>
          <w:sz w:val="32"/>
          <w:szCs w:val="32"/>
        </w:rPr>
      </w:pPr>
      <w:r>
        <w:rPr>
          <w:rFonts w:hint="eastAsia" w:ascii="Times New Roman" w:hAnsi="Times New Roman" w:eastAsia="仿宋" w:cs="Times New Roman"/>
          <w:color w:val="auto"/>
          <w:sz w:val="32"/>
          <w:szCs w:val="32"/>
        </w:rPr>
        <w:t>202</w:t>
      </w:r>
      <w:r>
        <w:rPr>
          <w:rFonts w:hint="eastAsia" w:ascii="Times New Roman" w:hAnsi="Times New Roman" w:eastAsia="仿宋" w:cs="Times New Roman"/>
          <w:color w:val="auto"/>
          <w:sz w:val="32"/>
          <w:szCs w:val="32"/>
          <w:lang w:val="en-US" w:eastAsia="zh-CN"/>
        </w:rPr>
        <w:t>5</w:t>
      </w:r>
      <w:r>
        <w:rPr>
          <w:rFonts w:hint="eastAsia" w:ascii="Times New Roman" w:hAnsi="Times New Roman" w:eastAsia="仿宋" w:cs="Times New Roman"/>
          <w:color w:val="auto"/>
          <w:sz w:val="32"/>
          <w:szCs w:val="32"/>
        </w:rPr>
        <w:t>年共有项目</w:t>
      </w:r>
      <w:r>
        <w:rPr>
          <w:rFonts w:hint="eastAsia" w:ascii="Times New Roman" w:hAnsi="Times New Roman" w:eastAsia="仿宋" w:cs="Times New Roman"/>
          <w:color w:val="auto"/>
          <w:sz w:val="32"/>
          <w:szCs w:val="32"/>
          <w:lang w:val="en-US" w:eastAsia="zh-CN"/>
        </w:rPr>
        <w:t>6</w:t>
      </w:r>
      <w:r>
        <w:rPr>
          <w:rFonts w:hint="eastAsia" w:ascii="Times New Roman" w:hAnsi="Times New Roman" w:eastAsia="仿宋" w:cs="Times New Roman"/>
          <w:color w:val="auto"/>
          <w:sz w:val="32"/>
          <w:szCs w:val="32"/>
        </w:rPr>
        <w:t>项，共计</w:t>
      </w:r>
      <w:r>
        <w:rPr>
          <w:rFonts w:hint="eastAsia" w:ascii="Times New Roman" w:hAnsi="Times New Roman" w:eastAsia="仿宋" w:cs="Times New Roman"/>
          <w:color w:val="auto"/>
          <w:sz w:val="32"/>
          <w:szCs w:val="32"/>
          <w:lang w:val="en-US" w:eastAsia="zh-CN"/>
        </w:rPr>
        <w:t>46</w:t>
      </w:r>
      <w:r>
        <w:rPr>
          <w:rFonts w:hint="eastAsia" w:ascii="Times New Roman" w:hAnsi="Times New Roman" w:eastAsia="仿宋" w:cs="Times New Roman"/>
          <w:color w:val="auto"/>
          <w:sz w:val="32"/>
          <w:szCs w:val="32"/>
        </w:rPr>
        <w:t>万元，其中人大会议项目预算安排</w:t>
      </w:r>
      <w:r>
        <w:rPr>
          <w:rFonts w:hint="eastAsia" w:ascii="Times New Roman" w:hAnsi="Times New Roman" w:eastAsia="仿宋" w:cs="Times New Roman"/>
          <w:color w:val="auto"/>
          <w:sz w:val="32"/>
          <w:szCs w:val="32"/>
          <w:lang w:val="en-US" w:eastAsia="zh-CN"/>
        </w:rPr>
        <w:t>23</w:t>
      </w:r>
      <w:r>
        <w:rPr>
          <w:rFonts w:hint="eastAsia" w:ascii="Times New Roman" w:hAnsi="Times New Roman" w:eastAsia="仿宋" w:cs="Times New Roman"/>
          <w:color w:val="auto"/>
          <w:sz w:val="32"/>
          <w:szCs w:val="32"/>
        </w:rPr>
        <w:t>万元，专门委员会工作经费项目预算安排5万元，代表活动经费及报刊费项目预算安排10</w:t>
      </w:r>
      <w:r>
        <w:rPr>
          <w:rFonts w:hint="eastAsia" w:ascii="Times New Roman" w:hAnsi="Times New Roman" w:eastAsia="仿宋" w:cs="Times New Roman"/>
          <w:color w:val="auto"/>
          <w:sz w:val="32"/>
          <w:szCs w:val="32"/>
          <w:lang w:val="en-US" w:eastAsia="zh-CN"/>
        </w:rPr>
        <w:t>.5</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eastAsia="zh-CN"/>
        </w:rPr>
        <w:t>，网上代表之家建设经费</w:t>
      </w:r>
      <w:r>
        <w:rPr>
          <w:rFonts w:hint="eastAsia" w:ascii="Times New Roman" w:hAnsi="Times New Roman" w:eastAsia="仿宋" w:cs="Times New Roman"/>
          <w:color w:val="auto"/>
          <w:sz w:val="32"/>
          <w:szCs w:val="32"/>
          <w:lang w:val="en-US" w:eastAsia="zh-CN"/>
        </w:rPr>
        <w:t>7.5万元</w:t>
      </w:r>
      <w:r>
        <w:rPr>
          <w:rFonts w:hint="eastAsia" w:ascii="Times New Roman" w:hAnsi="Times New Roman" w:eastAsia="仿宋" w:cs="Times New Roman"/>
          <w:color w:val="auto"/>
          <w:sz w:val="32"/>
          <w:szCs w:val="32"/>
        </w:rPr>
        <w:t>。</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bookmarkStart w:id="0" w:name="_GoBack"/>
      <w:bookmarkEnd w:id="0"/>
    </w:p>
    <w:p>
      <w:pPr>
        <w:numPr>
          <w:numId w:val="0"/>
        </w:numPr>
        <w:spacing w:line="560" w:lineRule="exact"/>
        <w:ind w:firstLine="640" w:firstLineChars="200"/>
        <w:rPr>
          <w:rFonts w:ascii="楷体" w:hAnsi="楷体" w:eastAsia="楷体" w:cs="楷体_GB2312"/>
          <w:bCs/>
          <w:sz w:val="32"/>
          <w:szCs w:val="32"/>
        </w:rPr>
      </w:pPr>
      <w:r>
        <w:rPr>
          <w:rFonts w:hint="eastAsia" w:ascii="Times New Roman" w:hAnsi="Times New Roman" w:eastAsia="仿宋" w:cs="Times New Roman"/>
          <w:sz w:val="32"/>
          <w:szCs w:val="32"/>
        </w:rPr>
        <w:t>我部门对项目资金执行封闭管理，专帐核算。具体支出由业务科室进行把关，科室负责人、主管领导、财务负责人进行集体会签，确保资金专款专用，及时高效。</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ascii="仿宋" w:hAnsi="仿宋" w:eastAsia="仿宋"/>
          <w:sz w:val="32"/>
          <w:szCs w:val="32"/>
        </w:rPr>
      </w:pPr>
      <w:r>
        <w:rPr>
          <w:rFonts w:hint="eastAsia" w:ascii="Times New Roman" w:hAnsi="Times New Roman" w:eastAsia="仿宋" w:cs="Times New Roman"/>
          <w:sz w:val="32"/>
          <w:szCs w:val="32"/>
        </w:rPr>
        <w:t>根据县十八届人大</w:t>
      </w:r>
      <w:r>
        <w:rPr>
          <w:rFonts w:hint="eastAsia" w:ascii="Times New Roman" w:hAnsi="Times New Roman" w:eastAsia="仿宋" w:cs="Times New Roman"/>
          <w:sz w:val="32"/>
          <w:szCs w:val="32"/>
          <w:lang w:eastAsia="zh-CN"/>
        </w:rPr>
        <w:t>五</w:t>
      </w:r>
      <w:r>
        <w:rPr>
          <w:rFonts w:hint="eastAsia" w:ascii="Times New Roman" w:hAnsi="Times New Roman" w:eastAsia="仿宋" w:cs="Times New Roman"/>
          <w:sz w:val="32"/>
          <w:szCs w:val="32"/>
        </w:rPr>
        <w:t>次会议通过的工作报告，在县人代会闭会期间，根据我县的具体情况和实际需要，在不同宪法、法律和行政法规相抵触的前提下，审议决定我县政治、经济、科学、教育、文化、卫生、环境与资源保护、民政、民族等工作的重大事项以及人民群众普遍关注和迫切要求解决的重大问题；审查和批准国民经济和社会发展计划、预算在执行过程中所必须作的部分调整方案。监督县人民政府、县监察委员会、县人民法院和县人民检察院的工作。根据县人民政府县长的提名，决定县人民政府副县长、委员会主任、审计长、秘书长的人选；根据县监察委员会主任提请，任免监察委员会副主任委员、委员；根据县人民法院院长的提请，任免县人民法院副院长、庭长、审判委员会委员、审判员；根据县人民检察院检察长的提请，任免县人民检察院副检察长、检察委员会委员、检察员。审议决定常务委员会认为应当依法审议、决定的其他重大事项。</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1、监督工作</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绩效目标：进行执法调研和执法检查；围绕政府工作报告和“一府两院”专项工作报告涉及内容开展调查研究。</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绩效指标：监督工作任务完成率</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2、人大会议</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绩效目标：召开县人民代表大会1 次，县人大常委会会议12次，机关各部门根据工作需要召开会议。</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绩效指标：会议召开率、会议任务完成率 </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3、选举任免工作</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绩效目标：依法依规完成人大选举及常委会人事任免工作。</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绩效指标：工作完成率、任务实现率</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4、人大代表工作</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绩效目标：按照工作需要，依法依规组织四级人大代表、县人大常委会组成人员及县人大代表进行执法检查和集中视察；开展代表建议督办；组织对常委会组成人员及代表培训。</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 执法检查和集中视察任务完成率 、代表建议督办完成率、培训计划完成率</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5、人大事务管理</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绩效目标：按照202</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年县人大常委会机关工作思路，完成机关人事、财务、会务、接待、公文办理、党建、信访、宣传、纪检监察组及机关纪委、群团组织、离退休人员服务、信息化建设与维护、基础设施建设与维护、文印、《公民与法治》杂志社、后勤服务、警卫以及领导交办的其他工作，努力将县人大常委会机关建设成为作风一流、业务一流、服务一流、纪律一流的代表机关和工作机关。</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ascii="仿宋" w:hAnsi="仿宋" w:eastAsia="仿宋"/>
          <w:sz w:val="32"/>
          <w:szCs w:val="32"/>
        </w:rPr>
      </w:pPr>
      <w:r>
        <w:rPr>
          <w:rFonts w:hint="eastAsia" w:ascii="Times New Roman" w:hAnsi="Times New Roman" w:eastAsia="仿宋" w:cs="Times New Roman"/>
          <w:sz w:val="32"/>
          <w:szCs w:val="32"/>
        </w:rPr>
        <w:t>绩效指标：工作任务完成率</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（1）因作出一个专项资金的绩效评价结果需要一个较长过程，项目绩效结果在一个会计年度内未能得到很好的应用。</w:t>
      </w:r>
    </w:p>
    <w:p>
      <w:pPr>
        <w:spacing w:line="560" w:lineRule="exact"/>
        <w:ind w:firstLine="640" w:firstLineChars="200"/>
        <w:rPr>
          <w:rFonts w:hint="eastAsia" w:ascii="楷体" w:hAnsi="楷体" w:eastAsia="楷体"/>
          <w:bCs/>
          <w:sz w:val="32"/>
          <w:szCs w:val="32"/>
        </w:rPr>
      </w:pPr>
      <w:r>
        <w:rPr>
          <w:rFonts w:hint="eastAsia" w:ascii="仿宋_GB2312" w:eastAsia="仿宋_GB2312"/>
          <w:b w:val="0"/>
          <w:bCs w:val="0"/>
          <w:sz w:val="32"/>
          <w:szCs w:val="32"/>
          <w:lang w:val="en-US" w:eastAsia="zh-CN"/>
        </w:rPr>
        <w:t>（2）尚未深入认识项目绩效管理工作，把其简单认同为单纯的财务工作，在实际操作过程中缺乏于业务部门的沟通协调。</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（1）分年度分阶段开展专项资金绩效评价，充分运用绩效评价结果，根据项目实施过程实际情况，适时调整运用。</w:t>
      </w:r>
    </w:p>
    <w:p>
      <w:pPr>
        <w:spacing w:line="560" w:lineRule="exact"/>
        <w:ind w:firstLine="640" w:firstLineChars="200"/>
        <w:rPr>
          <w:rFonts w:hint="eastAsia" w:ascii="楷体" w:hAnsi="楷体" w:eastAsia="楷体"/>
          <w:bCs/>
          <w:sz w:val="32"/>
          <w:szCs w:val="32"/>
        </w:rPr>
      </w:pPr>
      <w:r>
        <w:rPr>
          <w:rFonts w:hint="eastAsia" w:ascii="仿宋_GB2312" w:eastAsia="仿宋_GB2312"/>
          <w:b w:val="0"/>
          <w:bCs w:val="0"/>
          <w:sz w:val="32"/>
          <w:szCs w:val="32"/>
          <w:lang w:val="en-US" w:eastAsia="zh-CN"/>
        </w:rPr>
        <w:t>（2）加强绩效管理制度建设，完善绩效管理体系，建立全过程的预算绩效管理机制，促进绩效管理工作向广度和深度延伸。</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4"/>
        <w:tblW w:w="93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4060"/>
        <w:gridCol w:w="2555"/>
        <w:gridCol w:w="1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32" w:type="dxa"/>
          </w:tcPr>
          <w:p>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姓名</w:t>
            </w:r>
          </w:p>
        </w:tc>
        <w:tc>
          <w:tcPr>
            <w:tcW w:w="4060" w:type="dxa"/>
          </w:tcPr>
          <w:p>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工作单位</w:t>
            </w:r>
          </w:p>
        </w:tc>
        <w:tc>
          <w:tcPr>
            <w:tcW w:w="2555" w:type="dxa"/>
          </w:tcPr>
          <w:p>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职务</w:t>
            </w:r>
          </w:p>
        </w:tc>
        <w:tc>
          <w:tcPr>
            <w:tcW w:w="1500" w:type="dxa"/>
          </w:tcPr>
          <w:p>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9" w:hRule="atLeast"/>
        </w:trPr>
        <w:tc>
          <w:tcPr>
            <w:tcW w:w="1232" w:type="dxa"/>
          </w:tcPr>
          <w:p>
            <w:pPr>
              <w:autoSpaceDE w:val="0"/>
              <w:autoSpaceDN w:val="0"/>
              <w:adjustRightInd w:val="0"/>
              <w:spacing w:line="240" w:lineRule="atLeast"/>
              <w:rPr>
                <w:rFonts w:hint="eastAsia" w:ascii="仿宋" w:hAnsi="仿宋" w:eastAsia="仿宋" w:cs="仿宋"/>
                <w:sz w:val="32"/>
                <w:szCs w:val="32"/>
                <w:lang w:eastAsia="zh-CN"/>
              </w:rPr>
            </w:pPr>
            <w:r>
              <w:rPr>
                <w:rFonts w:hint="eastAsia" w:ascii="仿宋" w:hAnsi="仿宋" w:eastAsia="仿宋" w:cs="仿宋"/>
                <w:sz w:val="32"/>
                <w:szCs w:val="32"/>
                <w:lang w:eastAsia="zh-CN"/>
              </w:rPr>
              <w:t>李</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军</w:t>
            </w:r>
          </w:p>
        </w:tc>
        <w:tc>
          <w:tcPr>
            <w:tcW w:w="4060" w:type="dxa"/>
          </w:tcPr>
          <w:p>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井陉县</w:t>
            </w:r>
            <w:r>
              <w:rPr>
                <w:rFonts w:hint="eastAsia" w:ascii="仿宋" w:hAnsi="仿宋" w:eastAsia="仿宋" w:cs="仿宋"/>
                <w:sz w:val="32"/>
                <w:szCs w:val="32"/>
                <w:lang w:eastAsia="zh-CN"/>
              </w:rPr>
              <w:t>人大常委会办公室</w:t>
            </w:r>
          </w:p>
        </w:tc>
        <w:tc>
          <w:tcPr>
            <w:tcW w:w="2555" w:type="dxa"/>
          </w:tcPr>
          <w:p>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办公室主任</w:t>
            </w:r>
          </w:p>
        </w:tc>
        <w:tc>
          <w:tcPr>
            <w:tcW w:w="1500" w:type="dxa"/>
          </w:tcPr>
          <w:p>
            <w:pPr>
              <w:autoSpaceDE w:val="0"/>
              <w:autoSpaceDN w:val="0"/>
              <w:adjustRightInd w:val="0"/>
              <w:spacing w:line="240" w:lineRule="atLeast"/>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trPr>
        <w:tc>
          <w:tcPr>
            <w:tcW w:w="1232" w:type="dxa"/>
          </w:tcPr>
          <w:p>
            <w:pPr>
              <w:autoSpaceDE w:val="0"/>
              <w:autoSpaceDN w:val="0"/>
              <w:adjustRightInd w:val="0"/>
              <w:spacing w:line="240" w:lineRule="atLeast"/>
              <w:rPr>
                <w:rFonts w:hint="eastAsia" w:ascii="仿宋" w:hAnsi="仿宋" w:eastAsia="仿宋" w:cs="仿宋"/>
                <w:sz w:val="32"/>
                <w:szCs w:val="32"/>
                <w:lang w:eastAsia="zh-CN"/>
              </w:rPr>
            </w:pPr>
            <w:r>
              <w:rPr>
                <w:rFonts w:hint="eastAsia" w:ascii="仿宋" w:hAnsi="仿宋" w:eastAsia="仿宋" w:cs="仿宋"/>
                <w:sz w:val="32"/>
                <w:szCs w:val="32"/>
                <w:lang w:eastAsia="zh-CN"/>
              </w:rPr>
              <w:t>吕利强</w:t>
            </w:r>
          </w:p>
        </w:tc>
        <w:tc>
          <w:tcPr>
            <w:tcW w:w="4060" w:type="dxa"/>
          </w:tcPr>
          <w:p>
            <w:pPr>
              <w:autoSpaceDE w:val="0"/>
              <w:autoSpaceDN w:val="0"/>
              <w:adjustRightInd w:val="0"/>
              <w:spacing w:line="240" w:lineRule="atLeast"/>
              <w:rPr>
                <w:rFonts w:hint="eastAsia" w:ascii="仿宋" w:hAnsi="仿宋" w:eastAsia="仿宋" w:cs="仿宋"/>
                <w:sz w:val="32"/>
                <w:szCs w:val="32"/>
                <w:lang w:eastAsia="zh-CN"/>
              </w:rPr>
            </w:pPr>
            <w:r>
              <w:rPr>
                <w:rFonts w:hint="eastAsia" w:ascii="仿宋" w:hAnsi="仿宋" w:eastAsia="仿宋" w:cs="仿宋"/>
                <w:sz w:val="32"/>
                <w:szCs w:val="32"/>
                <w:lang w:eastAsia="zh-CN"/>
              </w:rPr>
              <w:t>井陉县人大常委会办公室</w:t>
            </w:r>
          </w:p>
        </w:tc>
        <w:tc>
          <w:tcPr>
            <w:tcW w:w="2555" w:type="dxa"/>
          </w:tcPr>
          <w:p>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lang w:eastAsia="zh-CN"/>
              </w:rPr>
              <w:t>办公室副主任</w:t>
            </w:r>
          </w:p>
        </w:tc>
        <w:tc>
          <w:tcPr>
            <w:tcW w:w="1500" w:type="dxa"/>
          </w:tcPr>
          <w:p>
            <w:pPr>
              <w:autoSpaceDE w:val="0"/>
              <w:autoSpaceDN w:val="0"/>
              <w:adjustRightInd w:val="0"/>
              <w:spacing w:line="240" w:lineRule="atLeast"/>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trPr>
        <w:tc>
          <w:tcPr>
            <w:tcW w:w="1232" w:type="dxa"/>
          </w:tcPr>
          <w:p>
            <w:pPr>
              <w:autoSpaceDE w:val="0"/>
              <w:autoSpaceDN w:val="0"/>
              <w:adjustRightInd w:val="0"/>
              <w:spacing w:line="240" w:lineRule="atLeast"/>
              <w:rPr>
                <w:rFonts w:hint="eastAsia" w:ascii="仿宋" w:hAnsi="仿宋" w:eastAsia="仿宋" w:cs="仿宋"/>
                <w:sz w:val="32"/>
                <w:szCs w:val="32"/>
                <w:lang w:eastAsia="zh-CN"/>
              </w:rPr>
            </w:pPr>
            <w:r>
              <w:rPr>
                <w:rFonts w:hint="eastAsia" w:ascii="仿宋" w:hAnsi="仿宋" w:eastAsia="仿宋" w:cs="仿宋"/>
                <w:sz w:val="32"/>
                <w:szCs w:val="32"/>
                <w:lang w:eastAsia="zh-CN"/>
              </w:rPr>
              <w:t>刘云</w:t>
            </w:r>
          </w:p>
        </w:tc>
        <w:tc>
          <w:tcPr>
            <w:tcW w:w="4060" w:type="dxa"/>
          </w:tcPr>
          <w:p>
            <w:pPr>
              <w:autoSpaceDE w:val="0"/>
              <w:autoSpaceDN w:val="0"/>
              <w:adjustRightInd w:val="0"/>
              <w:spacing w:line="240" w:lineRule="atLeast"/>
              <w:rPr>
                <w:rFonts w:hint="eastAsia" w:ascii="仿宋" w:hAnsi="仿宋" w:eastAsia="仿宋" w:cs="仿宋"/>
                <w:sz w:val="32"/>
                <w:szCs w:val="32"/>
                <w:lang w:eastAsia="zh-CN"/>
              </w:rPr>
            </w:pPr>
            <w:r>
              <w:rPr>
                <w:rFonts w:hint="eastAsia" w:ascii="仿宋" w:hAnsi="仿宋" w:eastAsia="仿宋" w:cs="仿宋"/>
                <w:sz w:val="32"/>
                <w:szCs w:val="32"/>
                <w:lang w:eastAsia="zh-CN"/>
              </w:rPr>
              <w:t>井陉县人大常委会办公室</w:t>
            </w:r>
          </w:p>
        </w:tc>
        <w:tc>
          <w:tcPr>
            <w:tcW w:w="2555" w:type="dxa"/>
          </w:tcPr>
          <w:p>
            <w:pPr>
              <w:autoSpaceDE w:val="0"/>
              <w:autoSpaceDN w:val="0"/>
              <w:adjustRightInd w:val="0"/>
              <w:spacing w:line="240" w:lineRule="atLeast"/>
              <w:rPr>
                <w:rFonts w:hint="eastAsia" w:ascii="仿宋" w:hAnsi="仿宋" w:eastAsia="仿宋" w:cs="仿宋"/>
                <w:sz w:val="32"/>
                <w:szCs w:val="32"/>
                <w:lang w:eastAsia="zh-CN"/>
              </w:rPr>
            </w:pPr>
            <w:r>
              <w:rPr>
                <w:rFonts w:hint="eastAsia" w:ascii="仿宋" w:hAnsi="仿宋" w:eastAsia="仿宋" w:cs="仿宋"/>
                <w:sz w:val="32"/>
                <w:szCs w:val="32"/>
                <w:lang w:eastAsia="zh-CN"/>
              </w:rPr>
              <w:t>四级主任科员</w:t>
            </w:r>
          </w:p>
        </w:tc>
        <w:tc>
          <w:tcPr>
            <w:tcW w:w="1500" w:type="dxa"/>
          </w:tcPr>
          <w:p>
            <w:pPr>
              <w:autoSpaceDE w:val="0"/>
              <w:autoSpaceDN w:val="0"/>
              <w:adjustRightInd w:val="0"/>
              <w:spacing w:line="240" w:lineRule="atLeast"/>
              <w:rPr>
                <w:rFonts w:ascii="仿宋" w:hAnsi="仿宋" w:eastAsia="仿宋" w:cs="仿宋"/>
                <w:sz w:val="32"/>
                <w:szCs w:val="32"/>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2D3DB5"/>
    <w:multiLevelType w:val="singleLevel"/>
    <w:tmpl w:val="5E2D3DB5"/>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A705FBE"/>
    <w:rsid w:val="0BB63BED"/>
    <w:rsid w:val="0EB97A43"/>
    <w:rsid w:val="0EBD2122"/>
    <w:rsid w:val="0F214EAE"/>
    <w:rsid w:val="11B71E6A"/>
    <w:rsid w:val="144B521C"/>
    <w:rsid w:val="1AAF0063"/>
    <w:rsid w:val="1BE140DE"/>
    <w:rsid w:val="248C197D"/>
    <w:rsid w:val="252959AF"/>
    <w:rsid w:val="277A6671"/>
    <w:rsid w:val="292D35B7"/>
    <w:rsid w:val="31151E97"/>
    <w:rsid w:val="33EB6CFF"/>
    <w:rsid w:val="35A12947"/>
    <w:rsid w:val="37387040"/>
    <w:rsid w:val="3B0548E0"/>
    <w:rsid w:val="3B625C0A"/>
    <w:rsid w:val="3CEE1963"/>
    <w:rsid w:val="436B78D3"/>
    <w:rsid w:val="48B60C1B"/>
    <w:rsid w:val="4C9C27FE"/>
    <w:rsid w:val="512260B4"/>
    <w:rsid w:val="529630C8"/>
    <w:rsid w:val="52BD6ACB"/>
    <w:rsid w:val="55537534"/>
    <w:rsid w:val="561A74F1"/>
    <w:rsid w:val="597244E8"/>
    <w:rsid w:val="5EB71C30"/>
    <w:rsid w:val="66AF0CE5"/>
    <w:rsid w:val="6AA27932"/>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10</TotalTime>
  <ScaleCrop>false</ScaleCrop>
  <LinksUpToDate>false</LinksUpToDate>
  <CharactersWithSpaces>669</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aaa</cp:lastModifiedBy>
  <cp:lastPrinted>2024-03-06T07:40:00Z</cp:lastPrinted>
  <dcterms:modified xsi:type="dcterms:W3CDTF">2026-04-27T10:32:55Z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807859DDDB204D7484EDDFBB4E9D1D2E</vt:lpwstr>
  </property>
</Properties>
</file>