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CD1997">
      <w:pPr>
        <w:widowControl w:val="0"/>
        <w:wordWrap/>
        <w:adjustRightInd/>
        <w:snapToGrid w:val="0"/>
        <w:spacing w:line="560" w:lineRule="exact"/>
        <w:ind w:left="0" w:leftChars="0" w:right="0"/>
        <w:textAlignment w:val="auto"/>
        <w:outlineLvl w:val="9"/>
        <w:rPr>
          <w:rFonts w:hint="eastAsia" w:ascii="黑体" w:hAnsi="黑体" w:eastAsia="黑体" w:cs="黑体"/>
          <w:kern w:val="0"/>
          <w:sz w:val="32"/>
          <w:szCs w:val="32"/>
        </w:rPr>
      </w:pPr>
      <w:bookmarkStart w:id="0" w:name="_GoBack"/>
      <w:bookmarkEnd w:id="0"/>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13DFD06A">
      <w:pPr>
        <w:widowControl w:val="0"/>
        <w:wordWrap/>
        <w:adjustRightInd/>
        <w:snapToGrid w:val="0"/>
        <w:spacing w:line="560" w:lineRule="exact"/>
        <w:ind w:left="0" w:leftChars="0" w:right="0"/>
        <w:textAlignment w:val="auto"/>
        <w:outlineLvl w:val="9"/>
        <w:rPr>
          <w:rFonts w:ascii="仿宋" w:hAnsi="仿宋" w:eastAsia="仿宋" w:cs="仿宋"/>
          <w:sz w:val="32"/>
          <w:szCs w:val="32"/>
        </w:rPr>
      </w:pPr>
    </w:p>
    <w:p w14:paraId="2AAA861C">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lang w:val="en-US" w:eastAsia="zh-CN"/>
        </w:rPr>
      </w:pPr>
      <w:r>
        <w:rPr>
          <w:rFonts w:hint="eastAsia" w:ascii="宋体" w:hAnsi="宋体" w:cs="宋体"/>
          <w:b/>
          <w:bCs/>
          <w:kern w:val="0"/>
          <w:sz w:val="44"/>
          <w:szCs w:val="44"/>
          <w:lang w:val="en-US" w:eastAsia="zh-CN"/>
        </w:rPr>
        <w:t>吴家窑乡人民政府</w:t>
      </w:r>
    </w:p>
    <w:p w14:paraId="6B3CFCE8">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rPr>
        <w:t>年度</w:t>
      </w:r>
      <w:r>
        <w:rPr>
          <w:rFonts w:hint="eastAsia" w:ascii="宋体" w:hAnsi="宋体" w:cs="宋体"/>
          <w:b/>
          <w:bCs/>
          <w:sz w:val="44"/>
          <w:szCs w:val="44"/>
        </w:rPr>
        <w:t>绩效自评工作报告</w:t>
      </w:r>
    </w:p>
    <w:p w14:paraId="2860D845">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14:paraId="6AB90F29">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一、绩效自评工作组织开展情况</w:t>
      </w:r>
    </w:p>
    <w:p w14:paraId="4935CEE8">
      <w:pPr>
        <w:spacing w:line="560" w:lineRule="exact"/>
        <w:ind w:firstLine="640" w:firstLineChars="200"/>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按照井陉县财政局《关于开展202</w:t>
      </w:r>
      <w:r>
        <w:rPr>
          <w:rFonts w:hint="eastAsia" w:ascii="方正仿宋简体" w:hAnsi="方正仿宋简体" w:eastAsia="方正仿宋简体" w:cs="方正仿宋简体"/>
          <w:sz w:val="32"/>
          <w:szCs w:val="32"/>
          <w:lang w:val="en-US" w:eastAsia="zh-CN"/>
        </w:rPr>
        <w:t>6</w:t>
      </w:r>
      <w:r>
        <w:rPr>
          <w:rFonts w:hint="eastAsia" w:ascii="方正仿宋简体" w:hAnsi="方正仿宋简体" w:eastAsia="方正仿宋简体" w:cs="方正仿宋简体"/>
          <w:sz w:val="32"/>
          <w:szCs w:val="32"/>
        </w:rPr>
        <w:t>年</w:t>
      </w:r>
      <w:r>
        <w:rPr>
          <w:rFonts w:ascii="方正仿宋简体" w:hAnsi="方正仿宋简体" w:eastAsia="方正仿宋简体" w:cs="方正仿宋简体"/>
          <w:sz w:val="32"/>
          <w:szCs w:val="32"/>
        </w:rPr>
        <w:t>绩效自评工作</w:t>
      </w:r>
      <w:r>
        <w:rPr>
          <w:rFonts w:hint="eastAsia" w:ascii="方正仿宋简体" w:hAnsi="方正仿宋简体" w:eastAsia="方正仿宋简体" w:cs="方正仿宋简体"/>
          <w:sz w:val="32"/>
          <w:szCs w:val="32"/>
        </w:rPr>
        <w:t>的通知》（井财监〔202</w:t>
      </w:r>
      <w:r>
        <w:rPr>
          <w:rFonts w:hint="eastAsia" w:ascii="方正仿宋简体" w:hAnsi="方正仿宋简体" w:eastAsia="方正仿宋简体" w:cs="方正仿宋简体"/>
          <w:sz w:val="32"/>
          <w:szCs w:val="32"/>
          <w:lang w:val="en-US" w:eastAsia="zh-CN"/>
        </w:rPr>
        <w:t>6</w:t>
      </w:r>
      <w:r>
        <w:rPr>
          <w:rFonts w:hint="eastAsia" w:ascii="方正仿宋简体" w:hAnsi="方正仿宋简体" w:eastAsia="方正仿宋简体" w:cs="方正仿宋简体"/>
          <w:sz w:val="32"/>
          <w:szCs w:val="32"/>
        </w:rPr>
        <w:t>〕1号）文件要求，遵循“全面覆盖、程序简便、客观公正、公开透明”的原则</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对吴家窑乡财政所年度绩效进行了认真的自评。</w:t>
      </w:r>
    </w:p>
    <w:p w14:paraId="7AF3AEDF">
      <w:pPr>
        <w:widowControl/>
        <w:ind w:firstLine="640" w:firstLineChars="200"/>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此次自评工作，成立了由单位主管领导</w:t>
      </w:r>
      <w:r>
        <w:rPr>
          <w:rFonts w:hint="eastAsia" w:ascii="方正仿宋简体" w:hAnsi="方正仿宋简体" w:eastAsia="方正仿宋简体" w:cs="方正仿宋简体"/>
          <w:sz w:val="32"/>
          <w:szCs w:val="32"/>
          <w:lang w:val="en-US" w:eastAsia="zh-CN"/>
        </w:rPr>
        <w:t>张涛杰</w:t>
      </w:r>
      <w:r>
        <w:rPr>
          <w:rFonts w:hint="eastAsia" w:ascii="方正仿宋简体" w:hAnsi="方正仿宋简体" w:eastAsia="方正仿宋简体" w:cs="方正仿宋简体"/>
          <w:sz w:val="32"/>
          <w:szCs w:val="32"/>
        </w:rPr>
        <w:t>乡长任组长，财务主管、项目主管、实施单位为成员的项目评价小组。小组通过资料收集、统计数据，社会反映等环节，对我乡共</w:t>
      </w:r>
      <w:r>
        <w:rPr>
          <w:rFonts w:hint="eastAsia" w:ascii="方正仿宋简体" w:hAnsi="方正仿宋简体" w:eastAsia="方正仿宋简体" w:cs="方正仿宋简体"/>
          <w:sz w:val="32"/>
          <w:szCs w:val="32"/>
          <w:lang w:val="en-US" w:eastAsia="zh-CN"/>
        </w:rPr>
        <w:t>22</w:t>
      </w:r>
      <w:r>
        <w:rPr>
          <w:rFonts w:hint="eastAsia" w:ascii="方正仿宋简体" w:hAnsi="方正仿宋简体" w:eastAsia="方正仿宋简体" w:cs="方正仿宋简体"/>
          <w:sz w:val="32"/>
          <w:szCs w:val="32"/>
        </w:rPr>
        <w:t>个专项资金项目进行了绩效评价。</w:t>
      </w:r>
      <w:r>
        <w:rPr>
          <w:rFonts w:hint="eastAsia" w:ascii="方正仿宋简体" w:hAnsi="方正仿宋简体" w:eastAsia="方正仿宋简体" w:cs="方正仿宋简体"/>
          <w:sz w:val="32"/>
          <w:szCs w:val="32"/>
          <w:lang w:val="en-US" w:eastAsia="zh-CN"/>
        </w:rPr>
        <w:t>22</w:t>
      </w:r>
      <w:r>
        <w:rPr>
          <w:rFonts w:hint="eastAsia" w:ascii="方正仿宋简体" w:hAnsi="方正仿宋简体" w:eastAsia="方正仿宋简体" w:cs="方正仿宋简体"/>
          <w:sz w:val="32"/>
          <w:szCs w:val="32"/>
        </w:rPr>
        <w:t>个项目金额共计</w:t>
      </w:r>
      <w:r>
        <w:rPr>
          <w:rFonts w:hint="eastAsia" w:ascii="方正仿宋简体" w:hAnsi="方正仿宋简体" w:eastAsia="方正仿宋简体" w:cs="方正仿宋简体"/>
          <w:sz w:val="32"/>
          <w:szCs w:val="32"/>
          <w:lang w:val="en-US" w:eastAsia="zh-CN"/>
        </w:rPr>
        <w:t>157.318621</w:t>
      </w:r>
      <w:r>
        <w:rPr>
          <w:rFonts w:hint="eastAsia" w:ascii="方正仿宋简体" w:hAnsi="方正仿宋简体" w:eastAsia="方正仿宋简体" w:cs="方正仿宋简体"/>
          <w:sz w:val="32"/>
          <w:szCs w:val="32"/>
        </w:rPr>
        <w:t>万元，均与预算金额持平，其中各个</w:t>
      </w:r>
      <w:r>
        <w:rPr>
          <w:rFonts w:ascii="方正仿宋简体" w:hAnsi="方正仿宋简体" w:eastAsia="方正仿宋简体" w:cs="方正仿宋简体"/>
          <w:sz w:val="32"/>
          <w:szCs w:val="32"/>
        </w:rPr>
        <w:t>项目资金</w:t>
      </w:r>
      <w:r>
        <w:rPr>
          <w:rFonts w:hint="eastAsia" w:ascii="方正仿宋简体" w:hAnsi="方正仿宋简体" w:eastAsia="方正仿宋简体" w:cs="方正仿宋简体"/>
          <w:sz w:val="32"/>
          <w:szCs w:val="32"/>
        </w:rPr>
        <w:t>基本</w:t>
      </w:r>
      <w:r>
        <w:rPr>
          <w:rFonts w:ascii="方正仿宋简体" w:hAnsi="方正仿宋简体" w:eastAsia="方正仿宋简体" w:cs="方正仿宋简体"/>
          <w:sz w:val="32"/>
          <w:szCs w:val="32"/>
        </w:rPr>
        <w:t>情况</w:t>
      </w:r>
      <w:r>
        <w:rPr>
          <w:rFonts w:hint="eastAsia" w:ascii="方正仿宋简体" w:hAnsi="方正仿宋简体" w:eastAsia="方正仿宋简体" w:cs="方正仿宋简体"/>
          <w:sz w:val="32"/>
          <w:szCs w:val="32"/>
        </w:rPr>
        <w:t>如下:</w:t>
      </w:r>
    </w:p>
    <w:tbl>
      <w:tblPr>
        <w:tblStyle w:val="5"/>
        <w:tblW w:w="0" w:type="auto"/>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98"/>
        <w:gridCol w:w="2835"/>
        <w:gridCol w:w="1842"/>
      </w:tblGrid>
      <w:tr w14:paraId="2EDC1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0" w:hRule="atLeast"/>
        </w:trPr>
        <w:tc>
          <w:tcPr>
            <w:tcW w:w="9175" w:type="dxa"/>
            <w:gridSpan w:val="3"/>
            <w:tcBorders>
              <w:top w:val="nil"/>
              <w:left w:val="nil"/>
              <w:bottom w:val="single" w:color="auto" w:sz="4" w:space="0"/>
              <w:right w:val="nil"/>
            </w:tcBorders>
            <w:noWrap/>
            <w:vAlign w:val="center"/>
          </w:tcPr>
          <w:p w14:paraId="0FFB68B1">
            <w:pPr>
              <w:spacing w:line="560" w:lineRule="exact"/>
              <w:jc w:val="center"/>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202</w:t>
            </w:r>
            <w:r>
              <w:rPr>
                <w:rFonts w:hint="eastAsia" w:ascii="方正仿宋简体" w:hAnsi="方正仿宋简体" w:eastAsia="方正仿宋简体" w:cs="方正仿宋简体"/>
                <w:sz w:val="32"/>
                <w:szCs w:val="32"/>
                <w:lang w:val="en-US" w:eastAsia="zh-CN"/>
              </w:rPr>
              <w:t>5</w:t>
            </w:r>
            <w:r>
              <w:rPr>
                <w:rFonts w:hint="eastAsia" w:ascii="方正仿宋简体" w:hAnsi="方正仿宋简体" w:eastAsia="方正仿宋简体" w:cs="方正仿宋简体"/>
                <w:sz w:val="32"/>
                <w:szCs w:val="32"/>
              </w:rPr>
              <w:t>年</w:t>
            </w:r>
            <w:r>
              <w:rPr>
                <w:rFonts w:ascii="方正仿宋简体" w:hAnsi="方正仿宋简体" w:eastAsia="方正仿宋简体" w:cs="方正仿宋简体"/>
                <w:sz w:val="32"/>
                <w:szCs w:val="32"/>
              </w:rPr>
              <w:t>专项资金基本情况</w:t>
            </w:r>
          </w:p>
          <w:p w14:paraId="59B3E629">
            <w:pPr>
              <w:spacing w:line="560" w:lineRule="exact"/>
              <w:jc w:val="right"/>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单位:万元</w:t>
            </w:r>
          </w:p>
        </w:tc>
      </w:tr>
      <w:tr w14:paraId="2D320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tcBorders>
              <w:top w:val="single" w:color="auto" w:sz="4" w:space="0"/>
              <w:left w:val="single" w:color="auto" w:sz="4" w:space="0"/>
              <w:right w:val="single" w:color="auto" w:sz="4" w:space="0"/>
            </w:tcBorders>
            <w:noWrap/>
            <w:vAlign w:val="center"/>
          </w:tcPr>
          <w:p w14:paraId="40AC409F">
            <w:pPr>
              <w:spacing w:line="560" w:lineRule="exact"/>
              <w:jc w:val="center"/>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项目</w:t>
            </w:r>
            <w:r>
              <w:rPr>
                <w:rFonts w:ascii="方正仿宋简体" w:hAnsi="方正仿宋简体" w:eastAsia="方正仿宋简体" w:cs="方正仿宋简体"/>
                <w:sz w:val="32"/>
                <w:szCs w:val="32"/>
              </w:rPr>
              <w:t>名称</w:t>
            </w:r>
          </w:p>
        </w:tc>
        <w:tc>
          <w:tcPr>
            <w:tcW w:w="2835" w:type="dxa"/>
            <w:tcBorders>
              <w:top w:val="single" w:color="auto" w:sz="4" w:space="0"/>
              <w:left w:val="single" w:color="auto" w:sz="4" w:space="0"/>
              <w:right w:val="single" w:color="auto" w:sz="4" w:space="0"/>
            </w:tcBorders>
            <w:noWrap/>
            <w:vAlign w:val="center"/>
          </w:tcPr>
          <w:p w14:paraId="253F8CC5">
            <w:pPr>
              <w:spacing w:line="560" w:lineRule="exact"/>
              <w:jc w:val="center"/>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主管单位</w:t>
            </w:r>
          </w:p>
        </w:tc>
        <w:tc>
          <w:tcPr>
            <w:tcW w:w="1842" w:type="dxa"/>
            <w:tcBorders>
              <w:top w:val="single" w:color="auto" w:sz="4" w:space="0"/>
              <w:left w:val="single" w:color="auto" w:sz="4" w:space="0"/>
              <w:right w:val="single" w:color="auto" w:sz="4" w:space="0"/>
            </w:tcBorders>
            <w:noWrap/>
            <w:vAlign w:val="center"/>
          </w:tcPr>
          <w:p w14:paraId="3B415544">
            <w:pPr>
              <w:spacing w:line="560" w:lineRule="exact"/>
              <w:jc w:val="center"/>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项目</w:t>
            </w:r>
            <w:r>
              <w:rPr>
                <w:rFonts w:ascii="方正仿宋简体" w:hAnsi="方正仿宋简体" w:eastAsia="方正仿宋简体" w:cs="方正仿宋简体"/>
                <w:sz w:val="32"/>
                <w:szCs w:val="32"/>
              </w:rPr>
              <w:t>资金</w:t>
            </w:r>
          </w:p>
        </w:tc>
      </w:tr>
      <w:tr w14:paraId="5458A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shd w:val="clear" w:color="auto" w:fill="auto"/>
            <w:noWrap/>
            <w:vAlign w:val="bottom"/>
          </w:tcPr>
          <w:p w14:paraId="15F6A421">
            <w:pPr>
              <w:spacing w:line="560" w:lineRule="exact"/>
              <w:rPr>
                <w:rFonts w:hint="eastAsia" w:ascii="宋体" w:hAnsi="宋体" w:eastAsia="宋体" w:cs="宋体"/>
                <w:i w:val="0"/>
                <w:iCs w:val="0"/>
                <w:color w:val="000000"/>
                <w:kern w:val="2"/>
                <w:sz w:val="24"/>
                <w:szCs w:val="24"/>
                <w:u w:val="none"/>
                <w:lang w:val="en-US" w:eastAsia="zh-CN" w:bidi="ar-SA"/>
              </w:rPr>
            </w:pPr>
            <w:r>
              <w:rPr>
                <w:rFonts w:hint="eastAsia" w:ascii="方正仿宋简体" w:hAnsi="方正仿宋简体" w:eastAsia="方正仿宋简体" w:cs="方正仿宋简体"/>
                <w:sz w:val="32"/>
                <w:szCs w:val="32"/>
                <w:lang w:val="en-US" w:eastAsia="zh-CN"/>
              </w:rPr>
              <w:t>2025年交通道路占地补偿款</w:t>
            </w:r>
          </w:p>
        </w:tc>
        <w:tc>
          <w:tcPr>
            <w:tcW w:w="2835" w:type="dxa"/>
            <w:noWrap/>
          </w:tcPr>
          <w:p w14:paraId="6AB74608">
            <w:pPr>
              <w:spacing w:line="560" w:lineRule="exact"/>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吴家窑乡人民政府</w:t>
            </w:r>
          </w:p>
        </w:tc>
        <w:tc>
          <w:tcPr>
            <w:tcW w:w="1842" w:type="dxa"/>
            <w:noWrap/>
            <w:vAlign w:val="bottom"/>
          </w:tcPr>
          <w:p w14:paraId="5D7C8B82">
            <w:pPr>
              <w:spacing w:line="560" w:lineRule="exact"/>
              <w:jc w:val="center"/>
              <w:rPr>
                <w:rFonts w:hint="default"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sz w:val="32"/>
                <w:szCs w:val="32"/>
                <w:lang w:val="en-US" w:eastAsia="zh-CN"/>
              </w:rPr>
              <w:t>10.85112</w:t>
            </w:r>
          </w:p>
        </w:tc>
      </w:tr>
      <w:tr w14:paraId="77F1A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shd w:val="clear" w:color="auto" w:fill="auto"/>
            <w:noWrap/>
            <w:vAlign w:val="bottom"/>
          </w:tcPr>
          <w:p w14:paraId="4F37A681">
            <w:pPr>
              <w:spacing w:line="560" w:lineRule="exact"/>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党政事务工作经费</w:t>
            </w:r>
          </w:p>
        </w:tc>
        <w:tc>
          <w:tcPr>
            <w:tcW w:w="2835" w:type="dxa"/>
            <w:noWrap/>
          </w:tcPr>
          <w:p w14:paraId="22EEED08">
            <w:pPr>
              <w:spacing w:line="560" w:lineRule="exact"/>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吴家窑乡人民政府</w:t>
            </w:r>
          </w:p>
        </w:tc>
        <w:tc>
          <w:tcPr>
            <w:tcW w:w="1842" w:type="dxa"/>
            <w:noWrap/>
            <w:vAlign w:val="bottom"/>
          </w:tcPr>
          <w:p w14:paraId="4C71386C">
            <w:pPr>
              <w:spacing w:line="560" w:lineRule="exact"/>
              <w:jc w:val="center"/>
              <w:rPr>
                <w:rFonts w:hint="default"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6.04</w:t>
            </w:r>
          </w:p>
        </w:tc>
      </w:tr>
      <w:tr w14:paraId="366BC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shd w:val="clear" w:color="auto" w:fill="auto"/>
            <w:noWrap/>
            <w:vAlign w:val="bottom"/>
          </w:tcPr>
          <w:p w14:paraId="39CCD1FB">
            <w:pPr>
              <w:spacing w:line="560" w:lineRule="exact"/>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办公楼修缮经费</w:t>
            </w:r>
          </w:p>
        </w:tc>
        <w:tc>
          <w:tcPr>
            <w:tcW w:w="2835" w:type="dxa"/>
            <w:noWrap/>
          </w:tcPr>
          <w:p w14:paraId="60A6154E">
            <w:pPr>
              <w:spacing w:line="560" w:lineRule="exact"/>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吴家窑乡人民政府</w:t>
            </w:r>
          </w:p>
        </w:tc>
        <w:tc>
          <w:tcPr>
            <w:tcW w:w="1842" w:type="dxa"/>
            <w:noWrap/>
            <w:vAlign w:val="bottom"/>
          </w:tcPr>
          <w:p w14:paraId="0E91ECE1">
            <w:pPr>
              <w:spacing w:line="560" w:lineRule="exact"/>
              <w:jc w:val="center"/>
              <w:rPr>
                <w:rFonts w:hint="default"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1.3</w:t>
            </w:r>
          </w:p>
        </w:tc>
      </w:tr>
      <w:tr w14:paraId="249D9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shd w:val="clear" w:color="auto" w:fill="auto"/>
            <w:noWrap/>
            <w:vAlign w:val="bottom"/>
          </w:tcPr>
          <w:p w14:paraId="32C0C44A">
            <w:pPr>
              <w:spacing w:line="560" w:lineRule="exact"/>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基层武装经费</w:t>
            </w:r>
          </w:p>
        </w:tc>
        <w:tc>
          <w:tcPr>
            <w:tcW w:w="2835" w:type="dxa"/>
            <w:noWrap/>
          </w:tcPr>
          <w:p w14:paraId="33E6E2E2">
            <w:pPr>
              <w:spacing w:line="560" w:lineRule="exact"/>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吴家窑乡人民政府</w:t>
            </w:r>
          </w:p>
        </w:tc>
        <w:tc>
          <w:tcPr>
            <w:tcW w:w="1842" w:type="dxa"/>
            <w:noWrap/>
            <w:vAlign w:val="bottom"/>
          </w:tcPr>
          <w:p w14:paraId="37DC08AF">
            <w:pPr>
              <w:spacing w:line="560" w:lineRule="exact"/>
              <w:jc w:val="center"/>
              <w:rPr>
                <w:rFonts w:hint="default"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0.5</w:t>
            </w:r>
          </w:p>
        </w:tc>
      </w:tr>
      <w:tr w14:paraId="17BAC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shd w:val="clear" w:color="auto" w:fill="auto"/>
            <w:noWrap/>
            <w:vAlign w:val="bottom"/>
          </w:tcPr>
          <w:p w14:paraId="343CD2F5">
            <w:pPr>
              <w:spacing w:line="560" w:lineRule="exact"/>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办公楼取暖经费</w:t>
            </w:r>
          </w:p>
        </w:tc>
        <w:tc>
          <w:tcPr>
            <w:tcW w:w="2835" w:type="dxa"/>
            <w:noWrap/>
          </w:tcPr>
          <w:p w14:paraId="43373C9C">
            <w:pPr>
              <w:spacing w:line="560" w:lineRule="exact"/>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吴家窑乡人民政府</w:t>
            </w:r>
          </w:p>
        </w:tc>
        <w:tc>
          <w:tcPr>
            <w:tcW w:w="1842" w:type="dxa"/>
            <w:noWrap/>
            <w:vAlign w:val="bottom"/>
          </w:tcPr>
          <w:p w14:paraId="051F0E2F">
            <w:pPr>
              <w:spacing w:line="560" w:lineRule="exact"/>
              <w:jc w:val="center"/>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lang w:val="en-US" w:eastAsia="zh-CN"/>
              </w:rPr>
              <w:t>5</w:t>
            </w:r>
          </w:p>
        </w:tc>
      </w:tr>
      <w:tr w14:paraId="51E1A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shd w:val="clear" w:color="auto" w:fill="auto"/>
            <w:noWrap/>
            <w:vAlign w:val="bottom"/>
          </w:tcPr>
          <w:p w14:paraId="1224F625">
            <w:pPr>
              <w:spacing w:line="560" w:lineRule="exact"/>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吴家窑乡2025年劳务派遣人员经费</w:t>
            </w:r>
          </w:p>
        </w:tc>
        <w:tc>
          <w:tcPr>
            <w:tcW w:w="2835" w:type="dxa"/>
            <w:noWrap/>
          </w:tcPr>
          <w:p w14:paraId="15554DD0">
            <w:pPr>
              <w:spacing w:line="560" w:lineRule="exact"/>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吴家窑乡人民政府</w:t>
            </w:r>
          </w:p>
        </w:tc>
        <w:tc>
          <w:tcPr>
            <w:tcW w:w="1842" w:type="dxa"/>
            <w:noWrap/>
            <w:vAlign w:val="bottom"/>
          </w:tcPr>
          <w:p w14:paraId="19F6C207">
            <w:pPr>
              <w:spacing w:line="560" w:lineRule="exact"/>
              <w:jc w:val="center"/>
              <w:rPr>
                <w:rFonts w:hint="default"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sz w:val="32"/>
                <w:szCs w:val="32"/>
                <w:lang w:val="en-US" w:eastAsia="zh-CN"/>
              </w:rPr>
              <w:t>15.825384</w:t>
            </w:r>
          </w:p>
        </w:tc>
      </w:tr>
      <w:tr w14:paraId="002ED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shd w:val="clear" w:color="auto" w:fill="auto"/>
            <w:noWrap/>
            <w:vAlign w:val="bottom"/>
          </w:tcPr>
          <w:p w14:paraId="581E8175">
            <w:pPr>
              <w:spacing w:line="560" w:lineRule="exact"/>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吴家窑乡2025年三支一扶志愿者生活补贴</w:t>
            </w:r>
          </w:p>
        </w:tc>
        <w:tc>
          <w:tcPr>
            <w:tcW w:w="2835" w:type="dxa"/>
            <w:noWrap/>
          </w:tcPr>
          <w:p w14:paraId="51C3F4EC">
            <w:pPr>
              <w:spacing w:line="560" w:lineRule="exact"/>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吴家窑乡人民政府</w:t>
            </w:r>
          </w:p>
        </w:tc>
        <w:tc>
          <w:tcPr>
            <w:tcW w:w="1842" w:type="dxa"/>
            <w:noWrap/>
            <w:vAlign w:val="bottom"/>
          </w:tcPr>
          <w:p w14:paraId="1F2671B6">
            <w:pPr>
              <w:spacing w:line="560" w:lineRule="exact"/>
              <w:jc w:val="center"/>
              <w:rPr>
                <w:rFonts w:hint="default"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sz w:val="32"/>
                <w:szCs w:val="32"/>
                <w:lang w:val="en-US" w:eastAsia="zh-CN"/>
              </w:rPr>
              <w:t>0.0981</w:t>
            </w:r>
          </w:p>
        </w:tc>
      </w:tr>
      <w:tr w14:paraId="2B418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shd w:val="clear" w:color="auto" w:fill="auto"/>
            <w:noWrap/>
            <w:vAlign w:val="bottom"/>
          </w:tcPr>
          <w:p w14:paraId="4EA2CC41">
            <w:pPr>
              <w:spacing w:line="560" w:lineRule="exact"/>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团委工作经费</w:t>
            </w:r>
          </w:p>
        </w:tc>
        <w:tc>
          <w:tcPr>
            <w:tcW w:w="2835" w:type="dxa"/>
            <w:noWrap/>
          </w:tcPr>
          <w:p w14:paraId="2F4AFCAB">
            <w:pPr>
              <w:spacing w:line="560" w:lineRule="exact"/>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吴家窑乡人民政府</w:t>
            </w:r>
          </w:p>
        </w:tc>
        <w:tc>
          <w:tcPr>
            <w:tcW w:w="1842" w:type="dxa"/>
            <w:noWrap/>
            <w:vAlign w:val="bottom"/>
          </w:tcPr>
          <w:p w14:paraId="642308B5">
            <w:pPr>
              <w:spacing w:line="560" w:lineRule="exact"/>
              <w:jc w:val="center"/>
              <w:rPr>
                <w:rFonts w:hint="default"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sz w:val="32"/>
                <w:szCs w:val="32"/>
                <w:lang w:val="en-US" w:eastAsia="zh-CN"/>
              </w:rPr>
              <w:t>1</w:t>
            </w:r>
          </w:p>
        </w:tc>
      </w:tr>
      <w:tr w14:paraId="70C28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shd w:val="clear" w:color="auto" w:fill="auto"/>
            <w:noWrap/>
            <w:vAlign w:val="bottom"/>
          </w:tcPr>
          <w:p w14:paraId="30A234E7">
            <w:pPr>
              <w:spacing w:line="560" w:lineRule="exact"/>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信访稳定经费</w:t>
            </w:r>
          </w:p>
        </w:tc>
        <w:tc>
          <w:tcPr>
            <w:tcW w:w="2835" w:type="dxa"/>
            <w:noWrap/>
          </w:tcPr>
          <w:p w14:paraId="6B2A5C51">
            <w:pPr>
              <w:spacing w:line="560" w:lineRule="exact"/>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吴家窑乡人民政府</w:t>
            </w:r>
          </w:p>
        </w:tc>
        <w:tc>
          <w:tcPr>
            <w:tcW w:w="1842" w:type="dxa"/>
            <w:noWrap/>
            <w:vAlign w:val="bottom"/>
          </w:tcPr>
          <w:p w14:paraId="110AD404">
            <w:pPr>
              <w:spacing w:line="560" w:lineRule="exact"/>
              <w:jc w:val="center"/>
              <w:rPr>
                <w:rFonts w:hint="default"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sz w:val="32"/>
                <w:szCs w:val="32"/>
                <w:lang w:val="en-US" w:eastAsia="zh-CN"/>
              </w:rPr>
              <w:t>3.5</w:t>
            </w:r>
          </w:p>
        </w:tc>
      </w:tr>
      <w:tr w14:paraId="7CFF4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noWrap/>
            <w:vAlign w:val="bottom"/>
          </w:tcPr>
          <w:p w14:paraId="4FCB60DB">
            <w:pPr>
              <w:spacing w:line="560" w:lineRule="exact"/>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乡镇文化站免费开放运转经费</w:t>
            </w:r>
          </w:p>
        </w:tc>
        <w:tc>
          <w:tcPr>
            <w:tcW w:w="2835" w:type="dxa"/>
            <w:noWrap/>
          </w:tcPr>
          <w:p w14:paraId="32475ADC">
            <w:pPr>
              <w:spacing w:line="560" w:lineRule="exact"/>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吴家窑乡人民政府</w:t>
            </w:r>
          </w:p>
        </w:tc>
        <w:tc>
          <w:tcPr>
            <w:tcW w:w="1842" w:type="dxa"/>
            <w:noWrap/>
            <w:vAlign w:val="bottom"/>
          </w:tcPr>
          <w:p w14:paraId="68EAA236">
            <w:pPr>
              <w:spacing w:line="560" w:lineRule="exact"/>
              <w:jc w:val="center"/>
              <w:rPr>
                <w:rFonts w:hint="default"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sz w:val="32"/>
                <w:szCs w:val="32"/>
                <w:lang w:val="en-US" w:eastAsia="zh-CN"/>
              </w:rPr>
              <w:t>1.5</w:t>
            </w:r>
          </w:p>
        </w:tc>
      </w:tr>
      <w:tr w14:paraId="77494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noWrap/>
            <w:vAlign w:val="bottom"/>
          </w:tcPr>
          <w:p w14:paraId="1AEF8D0D">
            <w:pPr>
              <w:spacing w:line="560" w:lineRule="exact"/>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优化生育经费</w:t>
            </w:r>
          </w:p>
        </w:tc>
        <w:tc>
          <w:tcPr>
            <w:tcW w:w="2835" w:type="dxa"/>
            <w:noWrap/>
          </w:tcPr>
          <w:p w14:paraId="10E74264">
            <w:pPr>
              <w:spacing w:line="560" w:lineRule="exact"/>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吴家窑乡人民政府</w:t>
            </w:r>
          </w:p>
        </w:tc>
        <w:tc>
          <w:tcPr>
            <w:tcW w:w="1842" w:type="dxa"/>
            <w:noWrap/>
            <w:vAlign w:val="bottom"/>
          </w:tcPr>
          <w:p w14:paraId="4FBB6668">
            <w:pPr>
              <w:spacing w:line="560" w:lineRule="exact"/>
              <w:jc w:val="center"/>
              <w:rPr>
                <w:rFonts w:hint="default"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0.46</w:t>
            </w:r>
          </w:p>
        </w:tc>
      </w:tr>
      <w:tr w14:paraId="50E0B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noWrap/>
            <w:vAlign w:val="bottom"/>
          </w:tcPr>
          <w:p w14:paraId="35558D26">
            <w:pPr>
              <w:spacing w:line="560" w:lineRule="exact"/>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衡井线占地补偿款</w:t>
            </w:r>
          </w:p>
        </w:tc>
        <w:tc>
          <w:tcPr>
            <w:tcW w:w="2835" w:type="dxa"/>
            <w:noWrap/>
          </w:tcPr>
          <w:p w14:paraId="4117A582">
            <w:pPr>
              <w:spacing w:line="560" w:lineRule="exact"/>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吴家窑乡人民政府</w:t>
            </w:r>
          </w:p>
        </w:tc>
        <w:tc>
          <w:tcPr>
            <w:tcW w:w="1842" w:type="dxa"/>
            <w:noWrap/>
            <w:vAlign w:val="bottom"/>
          </w:tcPr>
          <w:p w14:paraId="1145AE92">
            <w:pPr>
              <w:spacing w:line="560" w:lineRule="exact"/>
              <w:jc w:val="center"/>
              <w:rPr>
                <w:rFonts w:hint="default"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sz w:val="32"/>
                <w:szCs w:val="32"/>
                <w:lang w:val="en-US" w:eastAsia="zh-CN"/>
              </w:rPr>
              <w:t>11.93934</w:t>
            </w:r>
          </w:p>
        </w:tc>
      </w:tr>
      <w:tr w14:paraId="77745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shd w:val="clear" w:color="auto" w:fill="auto"/>
            <w:noWrap/>
            <w:vAlign w:val="bottom"/>
          </w:tcPr>
          <w:p w14:paraId="6EBD1835">
            <w:pPr>
              <w:spacing w:line="560" w:lineRule="exact"/>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绿化经费</w:t>
            </w:r>
          </w:p>
        </w:tc>
        <w:tc>
          <w:tcPr>
            <w:tcW w:w="2835" w:type="dxa"/>
            <w:noWrap/>
          </w:tcPr>
          <w:p w14:paraId="2C4965AE">
            <w:pPr>
              <w:spacing w:line="560" w:lineRule="exact"/>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吴家窑乡人民政府</w:t>
            </w:r>
          </w:p>
        </w:tc>
        <w:tc>
          <w:tcPr>
            <w:tcW w:w="1842" w:type="dxa"/>
            <w:noWrap/>
            <w:vAlign w:val="bottom"/>
          </w:tcPr>
          <w:p w14:paraId="06DFE6B7">
            <w:pPr>
              <w:spacing w:line="560" w:lineRule="exact"/>
              <w:jc w:val="center"/>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lang w:val="en-US" w:eastAsia="zh-CN"/>
              </w:rPr>
              <w:t>2</w:t>
            </w:r>
          </w:p>
        </w:tc>
      </w:tr>
      <w:tr w14:paraId="473F6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noWrap/>
            <w:vAlign w:val="bottom"/>
          </w:tcPr>
          <w:p w14:paraId="47E383AD">
            <w:pPr>
              <w:spacing w:line="560" w:lineRule="exact"/>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护林防火经费</w:t>
            </w:r>
          </w:p>
        </w:tc>
        <w:tc>
          <w:tcPr>
            <w:tcW w:w="2835" w:type="dxa"/>
            <w:noWrap/>
          </w:tcPr>
          <w:p w14:paraId="7868CE2E">
            <w:pPr>
              <w:spacing w:line="560" w:lineRule="exact"/>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吴家窑乡人民政府</w:t>
            </w:r>
          </w:p>
        </w:tc>
        <w:tc>
          <w:tcPr>
            <w:tcW w:w="1842" w:type="dxa"/>
            <w:noWrap/>
            <w:vAlign w:val="bottom"/>
          </w:tcPr>
          <w:p w14:paraId="615750B2">
            <w:pPr>
              <w:spacing w:line="560" w:lineRule="exact"/>
              <w:jc w:val="center"/>
              <w:rPr>
                <w:rFonts w:hint="default"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sz w:val="32"/>
                <w:szCs w:val="32"/>
                <w:lang w:val="en-US" w:eastAsia="zh-CN"/>
              </w:rPr>
              <w:t>3.9</w:t>
            </w:r>
          </w:p>
        </w:tc>
      </w:tr>
      <w:tr w14:paraId="00FA0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shd w:val="clear" w:color="auto" w:fill="auto"/>
            <w:noWrap/>
            <w:vAlign w:val="bottom"/>
          </w:tcPr>
          <w:p w14:paraId="02319ED4">
            <w:pPr>
              <w:spacing w:line="560" w:lineRule="exact"/>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冀财教【2024】127号关于提前下达2025年支持市县科技创新和科学普及专项资金预算的通知</w:t>
            </w:r>
          </w:p>
        </w:tc>
        <w:tc>
          <w:tcPr>
            <w:tcW w:w="2835" w:type="dxa"/>
            <w:noWrap/>
          </w:tcPr>
          <w:p w14:paraId="58718C4D">
            <w:pPr>
              <w:spacing w:line="560" w:lineRule="exact"/>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吴家窑乡人民政府</w:t>
            </w:r>
          </w:p>
        </w:tc>
        <w:tc>
          <w:tcPr>
            <w:tcW w:w="1842" w:type="dxa"/>
            <w:noWrap/>
            <w:vAlign w:val="bottom"/>
          </w:tcPr>
          <w:p w14:paraId="1E73BB0C">
            <w:pPr>
              <w:spacing w:line="560" w:lineRule="exact"/>
              <w:jc w:val="center"/>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lang w:val="en-US" w:eastAsia="zh-CN"/>
              </w:rPr>
              <w:t>5</w:t>
            </w:r>
          </w:p>
        </w:tc>
      </w:tr>
      <w:tr w14:paraId="5716E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shd w:val="clear" w:color="auto" w:fill="auto"/>
            <w:noWrap/>
            <w:vAlign w:val="bottom"/>
          </w:tcPr>
          <w:p w14:paraId="076AB33D">
            <w:pPr>
              <w:spacing w:line="560" w:lineRule="exact"/>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冀财教[2024]149号提前下达2025年省级公共图书馆、美术馆、文化馆（站）免费开放补助资金预算的通知</w:t>
            </w:r>
          </w:p>
        </w:tc>
        <w:tc>
          <w:tcPr>
            <w:tcW w:w="2835" w:type="dxa"/>
            <w:noWrap/>
          </w:tcPr>
          <w:p w14:paraId="1FE8E24E">
            <w:pPr>
              <w:spacing w:line="560" w:lineRule="exact"/>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吴家窑乡人民政府</w:t>
            </w:r>
          </w:p>
        </w:tc>
        <w:tc>
          <w:tcPr>
            <w:tcW w:w="1842" w:type="dxa"/>
            <w:noWrap/>
            <w:vAlign w:val="bottom"/>
          </w:tcPr>
          <w:p w14:paraId="46D70DCB">
            <w:pPr>
              <w:spacing w:line="560" w:lineRule="exact"/>
              <w:jc w:val="center"/>
              <w:rPr>
                <w:rFonts w:hint="default"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sz w:val="32"/>
                <w:szCs w:val="32"/>
                <w:lang w:val="en-US" w:eastAsia="zh-CN"/>
              </w:rPr>
              <w:t>0.5</w:t>
            </w:r>
          </w:p>
        </w:tc>
      </w:tr>
      <w:tr w14:paraId="41055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shd w:val="clear" w:color="auto" w:fill="auto"/>
            <w:noWrap/>
            <w:vAlign w:val="bottom"/>
          </w:tcPr>
          <w:p w14:paraId="169101A9">
            <w:pPr>
              <w:spacing w:line="560" w:lineRule="exact"/>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冀财社[2024]161号关于提前下达2025年中央财政困难群众救助补助资金预算的通知</w:t>
            </w:r>
          </w:p>
        </w:tc>
        <w:tc>
          <w:tcPr>
            <w:tcW w:w="2835" w:type="dxa"/>
            <w:noWrap/>
          </w:tcPr>
          <w:p w14:paraId="7C3E6086">
            <w:pPr>
              <w:spacing w:line="560" w:lineRule="exact"/>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吴家窑乡人民政府</w:t>
            </w:r>
          </w:p>
        </w:tc>
        <w:tc>
          <w:tcPr>
            <w:tcW w:w="1842" w:type="dxa"/>
            <w:noWrap/>
            <w:vAlign w:val="bottom"/>
          </w:tcPr>
          <w:p w14:paraId="0E4D6ADC">
            <w:pPr>
              <w:spacing w:line="560" w:lineRule="exact"/>
              <w:jc w:val="center"/>
              <w:rPr>
                <w:rFonts w:hint="default"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sz w:val="32"/>
                <w:szCs w:val="32"/>
                <w:lang w:val="en-US" w:eastAsia="zh-CN"/>
              </w:rPr>
              <w:t>0.2</w:t>
            </w:r>
          </w:p>
        </w:tc>
      </w:tr>
      <w:tr w14:paraId="13CD7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shd w:val="clear" w:color="auto" w:fill="auto"/>
            <w:noWrap/>
            <w:vAlign w:val="bottom"/>
          </w:tcPr>
          <w:p w14:paraId="60C69B02">
            <w:pPr>
              <w:spacing w:line="560" w:lineRule="exact"/>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冀财农【2024】109号关于提前下达2025年省级农村综合改革转移支付预算的通知（农村公益事业建设奖补）</w:t>
            </w:r>
          </w:p>
        </w:tc>
        <w:tc>
          <w:tcPr>
            <w:tcW w:w="2835" w:type="dxa"/>
            <w:noWrap/>
          </w:tcPr>
          <w:p w14:paraId="6C40BAD1">
            <w:pPr>
              <w:spacing w:line="560" w:lineRule="exact"/>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吴家窑乡人民政府</w:t>
            </w:r>
          </w:p>
        </w:tc>
        <w:tc>
          <w:tcPr>
            <w:tcW w:w="1842" w:type="dxa"/>
            <w:noWrap/>
            <w:vAlign w:val="bottom"/>
          </w:tcPr>
          <w:p w14:paraId="31C54C25">
            <w:pPr>
              <w:spacing w:line="560" w:lineRule="exact"/>
              <w:jc w:val="center"/>
              <w:rPr>
                <w:rFonts w:hint="default"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sz w:val="32"/>
                <w:szCs w:val="32"/>
                <w:lang w:val="en-US" w:eastAsia="zh-CN"/>
              </w:rPr>
              <w:t>30</w:t>
            </w:r>
          </w:p>
        </w:tc>
      </w:tr>
      <w:tr w14:paraId="25F01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shd w:val="clear" w:color="auto" w:fill="auto"/>
            <w:noWrap/>
            <w:vAlign w:val="bottom"/>
          </w:tcPr>
          <w:p w14:paraId="68110216">
            <w:pPr>
              <w:spacing w:line="560" w:lineRule="exact"/>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井陉县吴家窑乡人民政府偿还政府拖欠企业账款项目（第四批）</w:t>
            </w:r>
          </w:p>
        </w:tc>
        <w:tc>
          <w:tcPr>
            <w:tcW w:w="2835" w:type="dxa"/>
            <w:noWrap/>
          </w:tcPr>
          <w:p w14:paraId="3286B9B9">
            <w:pPr>
              <w:spacing w:line="560" w:lineRule="exact"/>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吴家窑乡人民政府</w:t>
            </w:r>
          </w:p>
        </w:tc>
        <w:tc>
          <w:tcPr>
            <w:tcW w:w="1842" w:type="dxa"/>
            <w:noWrap/>
            <w:vAlign w:val="bottom"/>
          </w:tcPr>
          <w:p w14:paraId="2098A61A">
            <w:pPr>
              <w:spacing w:line="560" w:lineRule="exact"/>
              <w:jc w:val="center"/>
              <w:rPr>
                <w:rFonts w:hint="default"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sz w:val="32"/>
                <w:szCs w:val="32"/>
                <w:lang w:val="en-US" w:eastAsia="zh-CN"/>
              </w:rPr>
              <w:t>17.677877</w:t>
            </w:r>
          </w:p>
        </w:tc>
      </w:tr>
      <w:tr w14:paraId="342FA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noWrap/>
            <w:vAlign w:val="bottom"/>
          </w:tcPr>
          <w:p w14:paraId="5511D5BF">
            <w:pPr>
              <w:spacing w:line="560" w:lineRule="exact"/>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吴家窑乡人民政府偿还偿还政府拖欠企业账款项目（第八批）</w:t>
            </w:r>
          </w:p>
        </w:tc>
        <w:tc>
          <w:tcPr>
            <w:tcW w:w="2835" w:type="dxa"/>
            <w:noWrap/>
          </w:tcPr>
          <w:p w14:paraId="3D4CFC9E">
            <w:pPr>
              <w:spacing w:line="560" w:lineRule="exact"/>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吴家窑乡人民政府</w:t>
            </w:r>
          </w:p>
        </w:tc>
        <w:tc>
          <w:tcPr>
            <w:tcW w:w="1842" w:type="dxa"/>
            <w:noWrap/>
            <w:vAlign w:val="bottom"/>
          </w:tcPr>
          <w:p w14:paraId="20F52A39">
            <w:pPr>
              <w:spacing w:line="560" w:lineRule="exact"/>
              <w:jc w:val="center"/>
              <w:rPr>
                <w:rFonts w:hint="default"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sz w:val="32"/>
                <w:szCs w:val="32"/>
                <w:lang w:val="en-US" w:eastAsia="zh-CN"/>
              </w:rPr>
              <w:t>29.4268</w:t>
            </w:r>
          </w:p>
        </w:tc>
      </w:tr>
      <w:tr w14:paraId="13051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noWrap/>
            <w:vAlign w:val="bottom"/>
          </w:tcPr>
          <w:p w14:paraId="26EF3EAC">
            <w:pPr>
              <w:spacing w:line="560" w:lineRule="exact"/>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井陉县吴家窑乡人民政府偿还政府拖欠企业账款项目（第十批）</w:t>
            </w:r>
          </w:p>
        </w:tc>
        <w:tc>
          <w:tcPr>
            <w:tcW w:w="2835" w:type="dxa"/>
            <w:noWrap/>
          </w:tcPr>
          <w:p w14:paraId="6E80B04B">
            <w:pPr>
              <w:spacing w:line="560" w:lineRule="exact"/>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吴家窑乡人民政府</w:t>
            </w:r>
          </w:p>
        </w:tc>
        <w:tc>
          <w:tcPr>
            <w:tcW w:w="1842" w:type="dxa"/>
            <w:noWrap/>
            <w:vAlign w:val="bottom"/>
          </w:tcPr>
          <w:p w14:paraId="4FD76179">
            <w:pPr>
              <w:spacing w:line="560" w:lineRule="exact"/>
              <w:jc w:val="center"/>
              <w:rPr>
                <w:rFonts w:hint="default"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sz w:val="32"/>
                <w:szCs w:val="32"/>
                <w:lang w:val="en-US" w:eastAsia="zh-CN"/>
              </w:rPr>
              <w:t>4.6</w:t>
            </w:r>
          </w:p>
        </w:tc>
      </w:tr>
      <w:tr w14:paraId="313C2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98" w:type="dxa"/>
            <w:shd w:val="clear" w:color="auto" w:fill="auto"/>
            <w:noWrap/>
            <w:vAlign w:val="bottom"/>
          </w:tcPr>
          <w:p w14:paraId="6862DDFB">
            <w:pPr>
              <w:spacing w:line="560" w:lineRule="exact"/>
              <w:rPr>
                <w:rFonts w:hint="eastAsia" w:ascii="方正仿宋简体" w:hAnsi="方正仿宋简体" w:eastAsia="方正仿宋简体" w:cs="方正仿宋简体"/>
                <w:sz w:val="32"/>
                <w:szCs w:val="32"/>
                <w:lang w:val="en-US" w:eastAsia="zh-CN"/>
              </w:rPr>
            </w:pPr>
            <w:r>
              <w:rPr>
                <w:rFonts w:hint="eastAsia" w:ascii="方正仿宋简体" w:hAnsi="方正仿宋简体" w:eastAsia="方正仿宋简体" w:cs="方正仿宋简体"/>
                <w:sz w:val="32"/>
                <w:szCs w:val="32"/>
                <w:lang w:val="en-US" w:eastAsia="zh-CN"/>
              </w:rPr>
              <w:t>冀财教[2025]44号2025年中央支持地方公共文化服务体系建设补助资金</w:t>
            </w:r>
          </w:p>
        </w:tc>
        <w:tc>
          <w:tcPr>
            <w:tcW w:w="2835" w:type="dxa"/>
            <w:noWrap/>
          </w:tcPr>
          <w:p w14:paraId="29E50EB0">
            <w:pPr>
              <w:spacing w:line="560" w:lineRule="exact"/>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吴家窑乡人民政府</w:t>
            </w:r>
          </w:p>
        </w:tc>
        <w:tc>
          <w:tcPr>
            <w:tcW w:w="1842" w:type="dxa"/>
            <w:noWrap/>
            <w:vAlign w:val="bottom"/>
          </w:tcPr>
          <w:p w14:paraId="45262117">
            <w:pPr>
              <w:spacing w:line="560" w:lineRule="exact"/>
              <w:jc w:val="center"/>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lang w:val="en-US" w:eastAsia="zh-CN"/>
              </w:rPr>
              <w:t>3</w:t>
            </w:r>
          </w:p>
        </w:tc>
      </w:tr>
    </w:tbl>
    <w:p w14:paraId="26378D0C">
      <w:pPr>
        <w:spacing w:line="560" w:lineRule="exact"/>
        <w:ind w:firstLine="640" w:firstLineChars="200"/>
        <w:rPr>
          <w:rFonts w:ascii="仿宋" w:hAnsi="仿宋" w:eastAsia="仿宋" w:cs="仿宋"/>
          <w:sz w:val="32"/>
          <w:szCs w:val="32"/>
        </w:rPr>
      </w:pPr>
      <w:r>
        <w:rPr>
          <w:rFonts w:hint="eastAsia" w:ascii="方正仿宋简体" w:hAnsi="方正仿宋简体" w:eastAsia="方正仿宋简体" w:cs="方正仿宋简体"/>
          <w:sz w:val="32"/>
          <w:szCs w:val="32"/>
        </w:rPr>
        <w:t>财政所日常财务管理主要包括以下几点：一是各项收支管理按《井陉县财政财务管理暂行办法》执行，各类专项资金管理按《井陉县财政专项资金管理暂行办法》执行；二是预算资金必须按照“保工资、保运转、保重点、保稳定”的原则安排支出；三是公用经费支出和事业支出，财政所根据年度预算按月使用资金，专项资金实行专项管理，按规定用途使用，按进度拨款，专款专用，严禁挤占、挪用，</w:t>
      </w:r>
      <w:r>
        <w:rPr>
          <w:rFonts w:hint="eastAsia" w:ascii="方正仿宋简体" w:hAnsi="方正仿宋简体" w:eastAsia="方正仿宋简体" w:cs="方正仿宋简体"/>
          <w:sz w:val="32"/>
          <w:szCs w:val="32"/>
          <w:lang w:eastAsia="zh-CN"/>
        </w:rPr>
        <w:t>关联到</w:t>
      </w:r>
      <w:r>
        <w:rPr>
          <w:rFonts w:hint="eastAsia" w:ascii="方正仿宋简体" w:hAnsi="方正仿宋简体" w:eastAsia="方正仿宋简体" w:cs="方正仿宋简体"/>
          <w:sz w:val="32"/>
          <w:szCs w:val="32"/>
        </w:rPr>
        <w:t>基本建设和维修等方面的专项支出实行工程预决算制度和审计监督制度。属于报账管理的专项支出要按规定的报账程序执行，涉及政府采购的专项资金必须报请县政府采购办批准或由县政府采购办统一采购；四是非税收入实行收支两条线管理，乡取得的各类非税收入，直接缴入县级非税收入专户；五是乡财政所对专项资金和非税收入要进行跟踪监督，防止违法违纪现象发生；六是严格执行《现金管理暂行条例》，凡按规定要通过银行转账结算的，不得支付现金，不得坐支，不得以白条抵库。</w:t>
      </w:r>
    </w:p>
    <w:p w14:paraId="40B4A39B">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二、绩效目标实现情况</w:t>
      </w:r>
    </w:p>
    <w:p w14:paraId="25EAA697">
      <w:pPr>
        <w:snapToGrid w:val="0"/>
        <w:spacing w:line="560" w:lineRule="exact"/>
        <w:ind w:firstLine="640" w:firstLineChars="200"/>
        <w:rPr>
          <w:rFonts w:ascii="仿宋" w:hAnsi="仿宋" w:eastAsia="仿宋" w:cs="仿宋"/>
          <w:sz w:val="32"/>
          <w:szCs w:val="32"/>
        </w:rPr>
      </w:pPr>
      <w:r>
        <w:rPr>
          <w:rFonts w:hint="eastAsia" w:ascii="方正仿宋简体" w:hAnsi="方正仿宋简体" w:eastAsia="方正仿宋简体" w:cs="方正仿宋简体"/>
          <w:sz w:val="32"/>
          <w:szCs w:val="32"/>
        </w:rPr>
        <w:t>部门总体工作开展情况良好，列入自评有</w:t>
      </w:r>
      <w:r>
        <w:rPr>
          <w:rFonts w:hint="eastAsia" w:ascii="方正仿宋简体" w:hAnsi="方正仿宋简体" w:eastAsia="方正仿宋简体" w:cs="方正仿宋简体"/>
          <w:sz w:val="32"/>
          <w:szCs w:val="32"/>
          <w:lang w:val="en-US" w:eastAsia="zh-CN"/>
        </w:rPr>
        <w:t>22</w:t>
      </w:r>
      <w:r>
        <w:rPr>
          <w:rFonts w:hint="eastAsia" w:ascii="方正仿宋简体" w:hAnsi="方正仿宋简体" w:eastAsia="方正仿宋简体" w:cs="方正仿宋简体"/>
          <w:sz w:val="32"/>
          <w:szCs w:val="32"/>
        </w:rPr>
        <w:t>个项目，且各项目资金支出进度均为100%。在专项资金和具体预算支出项目的预期绩效目标中，也发现了一些问题，一是</w:t>
      </w:r>
      <w:r>
        <w:rPr>
          <w:rFonts w:hint="eastAsia" w:ascii="方正仿宋简体" w:hAnsi="方正仿宋简体" w:eastAsia="方正仿宋简体" w:cs="方正仿宋简体"/>
          <w:sz w:val="32"/>
          <w:szCs w:val="32"/>
          <w:lang w:val="en-US" w:eastAsia="zh-CN"/>
        </w:rPr>
        <w:t>护林防火</w:t>
      </w:r>
      <w:r>
        <w:rPr>
          <w:rFonts w:hint="eastAsia" w:ascii="方正仿宋简体" w:hAnsi="方正仿宋简体" w:eastAsia="方正仿宋简体" w:cs="方正仿宋简体"/>
          <w:sz w:val="32"/>
          <w:szCs w:val="32"/>
        </w:rPr>
        <w:t>项目中，仍需加大</w:t>
      </w:r>
      <w:r>
        <w:rPr>
          <w:rFonts w:hint="eastAsia" w:ascii="方正仿宋简体" w:hAnsi="方正仿宋简体" w:eastAsia="方正仿宋简体" w:cs="方正仿宋简体"/>
          <w:sz w:val="32"/>
          <w:szCs w:val="32"/>
          <w:lang w:val="en-US" w:eastAsia="zh-CN"/>
        </w:rPr>
        <w:t>防火</w:t>
      </w:r>
      <w:r>
        <w:rPr>
          <w:rFonts w:hint="eastAsia" w:ascii="方正仿宋简体" w:hAnsi="方正仿宋简体" w:eastAsia="方正仿宋简体" w:cs="方正仿宋简体"/>
          <w:sz w:val="32"/>
          <w:szCs w:val="32"/>
        </w:rPr>
        <w:t>法律法规的宣传力度，强化群众</w:t>
      </w:r>
      <w:r>
        <w:rPr>
          <w:rFonts w:hint="eastAsia" w:ascii="方正仿宋简体" w:hAnsi="方正仿宋简体" w:eastAsia="方正仿宋简体" w:cs="方正仿宋简体"/>
          <w:sz w:val="32"/>
          <w:szCs w:val="32"/>
          <w:lang w:val="en-US" w:eastAsia="zh-CN"/>
        </w:rPr>
        <w:t>防火</w:t>
      </w:r>
      <w:r>
        <w:rPr>
          <w:rFonts w:hint="eastAsia" w:ascii="方正仿宋简体" w:hAnsi="方正仿宋简体" w:eastAsia="方正仿宋简体" w:cs="方正仿宋简体"/>
          <w:sz w:val="32"/>
          <w:szCs w:val="32"/>
        </w:rPr>
        <w:t>意识，健全各项运行机制，从而有利于打造建设宜居人居环境；二是计生经费项目中，要加大流动人口的管理力度，提升人口政策和服务群众的覆盖率</w:t>
      </w:r>
      <w:r>
        <w:rPr>
          <w:rFonts w:hint="eastAsia" w:ascii="仿宋" w:hAnsi="仿宋" w:eastAsia="仿宋" w:cs="仿宋"/>
          <w:sz w:val="32"/>
          <w:szCs w:val="32"/>
        </w:rPr>
        <w:t>。</w:t>
      </w:r>
    </w:p>
    <w:p w14:paraId="3A0FB7C9">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三、绩效目标设定质量情况</w:t>
      </w:r>
    </w:p>
    <w:p w14:paraId="18F12EEE">
      <w:pPr>
        <w:snapToGrid w:val="0"/>
        <w:spacing w:line="560" w:lineRule="exact"/>
        <w:ind w:firstLine="640" w:firstLineChars="200"/>
        <w:rPr>
          <w:rFonts w:ascii="仿宋" w:hAnsi="仿宋" w:eastAsia="仿宋" w:cs="仿宋"/>
          <w:sz w:val="32"/>
          <w:szCs w:val="32"/>
        </w:rPr>
      </w:pPr>
      <w:r>
        <w:rPr>
          <w:rFonts w:hint="eastAsia" w:ascii="方正仿宋简体" w:hAnsi="方正仿宋简体" w:eastAsia="方正仿宋简体" w:cs="方正仿宋简体"/>
          <w:sz w:val="32"/>
          <w:szCs w:val="32"/>
        </w:rPr>
        <w:t>部门在开展本年度绩效评价工作时，针对具体绩效评价对象的特点，设计具体的绩效评价指标体系。除共性指标外，还设置了能够体现项目特点和绩效的个性指标；项目产出指标与项目效果指标设置数量在</w:t>
      </w:r>
      <w:r>
        <w:rPr>
          <w:rFonts w:ascii="方正仿宋简体" w:hAnsi="方正仿宋简体" w:eastAsia="方正仿宋简体" w:cs="方正仿宋简体"/>
          <w:sz w:val="32"/>
          <w:szCs w:val="32"/>
        </w:rPr>
        <w:t>6</w:t>
      </w:r>
      <w:r>
        <w:rPr>
          <w:rFonts w:hint="eastAsia" w:ascii="方正仿宋简体" w:hAnsi="方正仿宋简体" w:eastAsia="方正仿宋简体" w:cs="方正仿宋简体"/>
          <w:sz w:val="32"/>
          <w:szCs w:val="32"/>
        </w:rPr>
        <w:t>个（含）以上，分值权重占总体的</w:t>
      </w:r>
      <w:r>
        <w:rPr>
          <w:rFonts w:ascii="方正仿宋简体" w:hAnsi="方正仿宋简体" w:eastAsia="方正仿宋简体" w:cs="方正仿宋简体"/>
          <w:sz w:val="32"/>
          <w:szCs w:val="32"/>
        </w:rPr>
        <w:t>90</w:t>
      </w:r>
      <w:r>
        <w:rPr>
          <w:rFonts w:hint="eastAsia" w:ascii="方正仿宋简体" w:hAnsi="方正仿宋简体" w:eastAsia="方正仿宋简体" w:cs="方正仿宋简体"/>
          <w:sz w:val="32"/>
          <w:szCs w:val="32"/>
        </w:rPr>
        <w:t>%。按照对各项目设置的绩效评价指标体系，自评小组完成了对年初各项目进行绩效目标自评，结果显示绩效目标设定清晰合理，质量较高，且各项目资金1</w:t>
      </w:r>
      <w:r>
        <w:rPr>
          <w:rFonts w:ascii="方正仿宋简体" w:hAnsi="方正仿宋简体" w:eastAsia="方正仿宋简体" w:cs="方正仿宋简体"/>
          <w:sz w:val="32"/>
          <w:szCs w:val="32"/>
        </w:rPr>
        <w:t>00</w:t>
      </w:r>
      <w:r>
        <w:rPr>
          <w:rFonts w:hint="eastAsia" w:ascii="方正仿宋简体" w:hAnsi="方正仿宋简体" w:eastAsia="方正仿宋简体" w:cs="方正仿宋简体"/>
          <w:sz w:val="32"/>
          <w:szCs w:val="32"/>
        </w:rPr>
        <w:t>%落实形成有效支出，较好地完成了个项目年初制定的绩效目标。绩效指标设定方面，包括了产出指标、预算执行指标、效益指标等一级指标，同时二三级指标详细明确，指标描述及绩效标准清晰准确，能够较为全面科学地规范项目执行，有效方便地进行绩效目标评价</w:t>
      </w:r>
      <w:r>
        <w:rPr>
          <w:rFonts w:hint="eastAsia" w:ascii="仿宋" w:hAnsi="仿宋" w:eastAsia="仿宋" w:cs="仿宋"/>
          <w:sz w:val="32"/>
          <w:szCs w:val="32"/>
        </w:rPr>
        <w:t>。</w:t>
      </w:r>
    </w:p>
    <w:p w14:paraId="51A85836">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四、整改措施及结果应用</w:t>
      </w:r>
    </w:p>
    <w:p w14:paraId="04E44905">
      <w:pPr>
        <w:spacing w:line="560" w:lineRule="exact"/>
        <w:ind w:firstLine="640" w:firstLineChars="200"/>
        <w:rPr>
          <w:rFonts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1、进一步加强绩效指标体系建设。在计划年初预算项目时，明确项目目标、落实项目责任人、制定科学有效的绩效指标，加强项目执行的监督管理力度，提高预算资金使用效率，确保绩效目标高质量完成。</w:t>
      </w:r>
    </w:p>
    <w:p w14:paraId="55F6626F">
      <w:pPr>
        <w:snapToGrid w:val="0"/>
        <w:spacing w:line="560" w:lineRule="exact"/>
        <w:ind w:firstLine="640" w:firstLineChars="200"/>
        <w:rPr>
          <w:rFonts w:ascii="仿宋" w:hAnsi="仿宋" w:eastAsia="仿宋" w:cs="仿宋"/>
          <w:sz w:val="32"/>
          <w:szCs w:val="32"/>
        </w:rPr>
      </w:pPr>
      <w:r>
        <w:rPr>
          <w:rFonts w:hint="eastAsia" w:ascii="方正仿宋简体" w:hAnsi="方正仿宋简体" w:eastAsia="方正仿宋简体" w:cs="方正仿宋简体"/>
          <w:sz w:val="32"/>
          <w:szCs w:val="32"/>
        </w:rPr>
        <w:t>2、进一步完善内部控制制度建设。及时调整完善内部控制制度，防范项目执行中的风险，加大项目考核力度，强化项目责任，确保各项目资金使用规范、实现效益最大化</w:t>
      </w:r>
      <w:r>
        <w:rPr>
          <w:rFonts w:hint="eastAsia" w:ascii="仿宋" w:hAnsi="仿宋" w:eastAsia="仿宋" w:cs="仿宋"/>
          <w:sz w:val="32"/>
          <w:szCs w:val="32"/>
        </w:rPr>
        <w:t>。</w:t>
      </w:r>
    </w:p>
    <w:p w14:paraId="002D0A2E">
      <w:pPr>
        <w:widowControl w:val="0"/>
        <w:wordWrap/>
        <w:adjustRightInd/>
        <w:snapToGrid w:val="0"/>
        <w:spacing w:line="560" w:lineRule="exact"/>
        <w:ind w:left="0" w:leftChars="0" w:right="0" w:firstLine="640" w:firstLineChars="200"/>
        <w:textAlignment w:val="auto"/>
        <w:outlineLvl w:val="9"/>
        <w:rPr>
          <w:rFonts w:ascii="仿宋" w:hAnsi="仿宋" w:eastAsia="仿宋" w:cs="仿宋"/>
          <w:sz w:val="32"/>
          <w:szCs w:val="32"/>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仿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2B5EF3">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53F2B2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653F2B2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AEC511">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0EF16A3"/>
    <w:rsid w:val="000D193E"/>
    <w:rsid w:val="000D29F1"/>
    <w:rsid w:val="001627CF"/>
    <w:rsid w:val="001646B1"/>
    <w:rsid w:val="00176210"/>
    <w:rsid w:val="001D2D4C"/>
    <w:rsid w:val="003357D8"/>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2132"/>
    <w:rsid w:val="00DE50A2"/>
    <w:rsid w:val="00DF6FF4"/>
    <w:rsid w:val="00E03726"/>
    <w:rsid w:val="00E17D5D"/>
    <w:rsid w:val="00E61BFC"/>
    <w:rsid w:val="00E841B7"/>
    <w:rsid w:val="00ED5E84"/>
    <w:rsid w:val="00EF16A3"/>
    <w:rsid w:val="00F57E52"/>
    <w:rsid w:val="00FB4297"/>
    <w:rsid w:val="020D1043"/>
    <w:rsid w:val="024F1E56"/>
    <w:rsid w:val="04553F6E"/>
    <w:rsid w:val="055B525F"/>
    <w:rsid w:val="073935E8"/>
    <w:rsid w:val="09A83C44"/>
    <w:rsid w:val="0DFE7B03"/>
    <w:rsid w:val="0E2444C0"/>
    <w:rsid w:val="0EEB1D0A"/>
    <w:rsid w:val="107F2845"/>
    <w:rsid w:val="10815624"/>
    <w:rsid w:val="108D5700"/>
    <w:rsid w:val="13B61930"/>
    <w:rsid w:val="144913D0"/>
    <w:rsid w:val="19C301A8"/>
    <w:rsid w:val="20276775"/>
    <w:rsid w:val="224232CF"/>
    <w:rsid w:val="22802259"/>
    <w:rsid w:val="25E55C6E"/>
    <w:rsid w:val="26B0316F"/>
    <w:rsid w:val="29A123A7"/>
    <w:rsid w:val="29F46AE9"/>
    <w:rsid w:val="2ADF6F62"/>
    <w:rsid w:val="2E5F45A1"/>
    <w:rsid w:val="334B63B9"/>
    <w:rsid w:val="3AEF6FE7"/>
    <w:rsid w:val="3E667CEF"/>
    <w:rsid w:val="3FCB2D5B"/>
    <w:rsid w:val="43FC24CA"/>
    <w:rsid w:val="493B718D"/>
    <w:rsid w:val="4D1746C0"/>
    <w:rsid w:val="52DA7DF2"/>
    <w:rsid w:val="53A42ADD"/>
    <w:rsid w:val="5A1D1FAE"/>
    <w:rsid w:val="5A201A9E"/>
    <w:rsid w:val="5A500456"/>
    <w:rsid w:val="5BF122E7"/>
    <w:rsid w:val="5DF375E9"/>
    <w:rsid w:val="61B96A60"/>
    <w:rsid w:val="61F12AC0"/>
    <w:rsid w:val="62AC7AF3"/>
    <w:rsid w:val="68B74A5D"/>
    <w:rsid w:val="6F720B91"/>
    <w:rsid w:val="712D5824"/>
    <w:rsid w:val="776E7F47"/>
    <w:rsid w:val="77EF101D"/>
    <w:rsid w:val="7FAE435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rPr>
      <w:rFonts w:asciiTheme="minorHAnsi" w:hAnsiTheme="minorHAnsi" w:eastAsiaTheme="minorEastAsia" w:cstheme="minorBid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5</Pages>
  <Words>1922</Words>
  <Characters>2072</Characters>
  <Lines>3</Lines>
  <Paragraphs>1</Paragraphs>
  <TotalTime>3</TotalTime>
  <ScaleCrop>false</ScaleCrop>
  <LinksUpToDate>false</LinksUpToDate>
  <CharactersWithSpaces>2072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Fiona</cp:lastModifiedBy>
  <cp:lastPrinted>2024-03-06T07:40:00Z</cp:lastPrinted>
  <dcterms:modified xsi:type="dcterms:W3CDTF">2026-04-28T08:24:49Z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8F596227371D4900A5DAF88D633048EF</vt:lpwstr>
  </property>
  <property fmtid="{D5CDD505-2E9C-101B-9397-08002B2CF9AE}" pid="4" name="KSOTemplateDocerSaveRecord">
    <vt:lpwstr>eyJoZGlkIjoiZmNlYjhkODkzODVhZDQxZTIyOGFkZGVhMzBkNTUzZmEiLCJ1c2VySWQiOiIyNDgyNjgxOTkifQ==</vt:lpwstr>
  </property>
</Properties>
</file>