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AF40F3">
      <w:pPr>
        <w:spacing w:line="560" w:lineRule="exact"/>
        <w:jc w:val="center"/>
        <w:rPr>
          <w:rFonts w:ascii="宋体" w:hAnsi="宋体" w:cs="宋体"/>
          <w:b/>
          <w:bCs/>
          <w:color w:val="auto"/>
          <w:sz w:val="44"/>
          <w:szCs w:val="44"/>
          <w:highlight w:val="none"/>
        </w:rPr>
      </w:pPr>
    </w:p>
    <w:p w14:paraId="5DE9EFD2">
      <w:pPr>
        <w:spacing w:line="560" w:lineRule="exact"/>
        <w:jc w:val="center"/>
        <w:rPr>
          <w:rFonts w:hint="eastAsia" w:ascii="宋体" w:hAnsi="宋体" w:cs="宋体"/>
          <w:b/>
          <w:bCs/>
          <w:color w:val="auto"/>
          <w:sz w:val="44"/>
          <w:szCs w:val="44"/>
          <w:highlight w:val="none"/>
          <w:lang w:val="en-US" w:eastAsia="zh-CN"/>
        </w:rPr>
      </w:pPr>
      <w:r>
        <w:rPr>
          <w:rFonts w:hint="eastAsia" w:ascii="宋体" w:hAnsi="宋体" w:cs="宋体"/>
          <w:b/>
          <w:bCs/>
          <w:color w:val="auto"/>
          <w:sz w:val="44"/>
          <w:szCs w:val="44"/>
          <w:highlight w:val="none"/>
          <w:lang w:val="en-US" w:eastAsia="zh-CN"/>
        </w:rPr>
        <w:t>井陉县教育局</w:t>
      </w:r>
    </w:p>
    <w:p w14:paraId="7E31FDD6">
      <w:pPr>
        <w:spacing w:line="560" w:lineRule="exact"/>
        <w:jc w:val="center"/>
        <w:rPr>
          <w:rFonts w:ascii="宋体" w:hAnsi="宋体" w:cs="宋体"/>
          <w:b/>
          <w:bCs/>
          <w:color w:val="auto"/>
          <w:sz w:val="44"/>
          <w:szCs w:val="44"/>
          <w:highlight w:val="none"/>
        </w:rPr>
      </w:pPr>
      <w:r>
        <w:rPr>
          <w:rFonts w:hint="eastAsia" w:ascii="宋体" w:hAnsi="宋体" w:cs="宋体"/>
          <w:b/>
          <w:bCs/>
          <w:color w:val="auto"/>
          <w:sz w:val="44"/>
          <w:szCs w:val="44"/>
          <w:highlight w:val="none"/>
        </w:rPr>
        <w:t>202</w:t>
      </w:r>
      <w:r>
        <w:rPr>
          <w:rFonts w:hint="eastAsia" w:ascii="宋体" w:hAnsi="宋体" w:cs="宋体"/>
          <w:b/>
          <w:bCs/>
          <w:color w:val="auto"/>
          <w:sz w:val="44"/>
          <w:szCs w:val="44"/>
          <w:highlight w:val="none"/>
          <w:lang w:val="en-US" w:eastAsia="zh-CN"/>
        </w:rPr>
        <w:t>5</w:t>
      </w:r>
      <w:r>
        <w:rPr>
          <w:rFonts w:hint="eastAsia" w:ascii="宋体" w:hAnsi="宋体" w:cs="宋体"/>
          <w:b/>
          <w:bCs/>
          <w:color w:val="auto"/>
          <w:sz w:val="44"/>
          <w:szCs w:val="44"/>
          <w:highlight w:val="none"/>
        </w:rPr>
        <w:t>年度部门整体支出绩效自评报告</w:t>
      </w:r>
    </w:p>
    <w:p w14:paraId="0DE96E3E">
      <w:pPr>
        <w:spacing w:line="560" w:lineRule="exact"/>
        <w:jc w:val="center"/>
        <w:rPr>
          <w:rFonts w:ascii="华文楷体" w:eastAsia="华文楷体"/>
          <w:color w:val="auto"/>
          <w:sz w:val="32"/>
          <w:szCs w:val="32"/>
          <w:highlight w:val="none"/>
        </w:rPr>
      </w:pPr>
    </w:p>
    <w:p w14:paraId="707A26FC">
      <w:pPr>
        <w:adjustRightInd w:val="0"/>
        <w:snapToGrid w:val="0"/>
        <w:spacing w:line="560" w:lineRule="exact"/>
        <w:ind w:firstLine="640" w:firstLineChars="200"/>
        <w:rPr>
          <w:rFonts w:ascii="仿宋" w:hAnsi="仿宋" w:eastAsia="仿宋"/>
          <w:color w:val="auto"/>
          <w:sz w:val="32"/>
          <w:szCs w:val="32"/>
          <w:highlight w:val="none"/>
        </w:rPr>
      </w:pPr>
      <w:r>
        <w:rPr>
          <w:rFonts w:hint="eastAsia" w:ascii="仿宋" w:hAnsi="仿宋" w:eastAsia="仿宋"/>
          <w:color w:val="auto"/>
          <w:sz w:val="32"/>
          <w:szCs w:val="32"/>
          <w:highlight w:val="none"/>
        </w:rPr>
        <w:t>贯彻落实市委市政府《关于全面落实预算绩效管理的实施意见》（石发﹝2019﹞8号）文件精神，遵循“科学性、规范性、客观性和公正性”的原则，对</w:t>
      </w:r>
      <w:r>
        <w:rPr>
          <w:rFonts w:hint="eastAsia" w:ascii="仿宋" w:hAnsi="仿宋" w:eastAsia="仿宋"/>
          <w:color w:val="auto"/>
          <w:sz w:val="32"/>
          <w:szCs w:val="32"/>
          <w:highlight w:val="none"/>
          <w:lang w:val="en-US" w:eastAsia="zh-CN"/>
        </w:rPr>
        <w:t>井陉县教育局</w:t>
      </w:r>
      <w:r>
        <w:rPr>
          <w:rFonts w:hint="eastAsia" w:ascii="仿宋" w:hAnsi="仿宋" w:eastAsia="仿宋"/>
          <w:color w:val="auto"/>
          <w:sz w:val="32"/>
          <w:szCs w:val="32"/>
          <w:highlight w:val="none"/>
        </w:rPr>
        <w:t>202</w:t>
      </w:r>
      <w:r>
        <w:rPr>
          <w:rFonts w:hint="eastAsia" w:ascii="仿宋" w:hAnsi="仿宋" w:eastAsia="仿宋"/>
          <w:color w:val="auto"/>
          <w:sz w:val="32"/>
          <w:szCs w:val="32"/>
          <w:highlight w:val="none"/>
          <w:lang w:val="en-US" w:eastAsia="zh-CN"/>
        </w:rPr>
        <w:t>5</w:t>
      </w:r>
      <w:r>
        <w:rPr>
          <w:rFonts w:hint="eastAsia" w:ascii="仿宋" w:hAnsi="仿宋" w:eastAsia="仿宋"/>
          <w:color w:val="auto"/>
          <w:sz w:val="32"/>
          <w:szCs w:val="32"/>
          <w:highlight w:val="none"/>
        </w:rPr>
        <w:t>年部门整体支出情况实施了财政支出绩效自评价，形成本评价报告。</w:t>
      </w:r>
    </w:p>
    <w:p w14:paraId="1F355492">
      <w:pPr>
        <w:adjustRightInd w:val="0"/>
        <w:snapToGrid w:val="0"/>
        <w:spacing w:line="560" w:lineRule="exact"/>
        <w:rPr>
          <w:rFonts w:ascii="黑体" w:hAnsi="黑体" w:eastAsia="黑体"/>
          <w:b/>
          <w:bCs/>
          <w:color w:val="auto"/>
          <w:sz w:val="32"/>
          <w:szCs w:val="36"/>
          <w:highlight w:val="none"/>
        </w:rPr>
      </w:pPr>
      <w:r>
        <w:rPr>
          <w:rFonts w:hint="eastAsia" w:ascii="黑体" w:hAnsi="黑体" w:eastAsia="黑体"/>
          <w:color w:val="auto"/>
          <w:sz w:val="32"/>
          <w:szCs w:val="32"/>
          <w:highlight w:val="none"/>
        </w:rPr>
        <w:t xml:space="preserve">     一、部门</w:t>
      </w:r>
      <w:r>
        <w:rPr>
          <w:rFonts w:hint="eastAsia" w:ascii="黑体" w:hAnsi="黑体" w:eastAsia="黑体"/>
          <w:color w:val="auto"/>
          <w:sz w:val="32"/>
          <w:szCs w:val="36"/>
          <w:highlight w:val="none"/>
        </w:rPr>
        <w:t>基本情况</w:t>
      </w:r>
    </w:p>
    <w:p w14:paraId="2376207D">
      <w:pPr>
        <w:adjustRightInd w:val="0"/>
        <w:snapToGrid w:val="0"/>
        <w:spacing w:line="560" w:lineRule="exact"/>
        <w:ind w:firstLine="643" w:firstLineChars="200"/>
        <w:rPr>
          <w:rFonts w:ascii="楷体" w:hAnsi="楷体" w:eastAsia="楷体" w:cs="楷体_GB2312"/>
          <w:b/>
          <w:bCs w:val="0"/>
          <w:color w:val="auto"/>
          <w:sz w:val="32"/>
          <w:szCs w:val="32"/>
          <w:highlight w:val="none"/>
        </w:rPr>
      </w:pPr>
      <w:r>
        <w:rPr>
          <w:rFonts w:hint="eastAsia" w:ascii="楷体" w:hAnsi="楷体" w:eastAsia="楷体" w:cs="楷体_GB2312"/>
          <w:b/>
          <w:bCs w:val="0"/>
          <w:color w:val="auto"/>
          <w:sz w:val="32"/>
          <w:szCs w:val="32"/>
          <w:highlight w:val="none"/>
        </w:rPr>
        <w:t>（一）部门概况</w:t>
      </w:r>
    </w:p>
    <w:p w14:paraId="3E3ED9F9">
      <w:pPr>
        <w:pStyle w:val="11"/>
        <w:rPr>
          <w:rFonts w:hint="eastAsia" w:ascii="仿宋" w:hAnsi="仿宋" w:eastAsia="仿宋" w:cs="黑体"/>
          <w:b/>
          <w:bCs/>
          <w:color w:val="auto"/>
          <w:kern w:val="2"/>
          <w:sz w:val="32"/>
          <w:szCs w:val="32"/>
          <w:highlight w:val="none"/>
          <w:lang w:val="en-US" w:eastAsia="zh-CN" w:bidi="ar-SA"/>
        </w:rPr>
      </w:pPr>
      <w:r>
        <w:rPr>
          <w:rFonts w:hint="eastAsia" w:ascii="仿宋" w:hAnsi="仿宋" w:eastAsia="仿宋" w:cs="黑体"/>
          <w:b/>
          <w:bCs/>
          <w:color w:val="auto"/>
          <w:kern w:val="2"/>
          <w:sz w:val="32"/>
          <w:szCs w:val="32"/>
          <w:highlight w:val="none"/>
          <w:lang w:val="en-US" w:eastAsia="zh-CN" w:bidi="ar-SA"/>
        </w:rPr>
        <w:t>1.根据《井陉县教育局职能配置、内设机构和人员编制规定》，井陉县教育局的主要职责是：</w:t>
      </w:r>
    </w:p>
    <w:p w14:paraId="3E9626CD">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贯彻执行上级有关教育工作的法律法规和方针政策；拟订全县教育改革与发展规划并组织实施。</w:t>
      </w:r>
    </w:p>
    <w:p w14:paraId="4A503E2A">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负责各级各类教育的统筹规划和协调管理，拟订教育工作的长远规划和年度计划并组织实施。</w:t>
      </w:r>
    </w:p>
    <w:p w14:paraId="4DD1D356">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5ABF84EB">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负责统筹规划和协调指导全县教育体制改革工作。</w:t>
      </w:r>
    </w:p>
    <w:p w14:paraId="2444E8AD">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286A2A53">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负责省、市、县拨付教育经费的统筹管理，参与拟订教育经费筹集、教育拨款、教育基建投资政策，指导所属学校后勤管理，负责教育基本信息的统计分析。</w:t>
      </w:r>
    </w:p>
    <w:p w14:paraId="421AFE5A">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负责全县教育系统人才队伍建设的统筹规划、管理工作；负责全县中小学校长队伍建设和教师继续教育工作；负责全县教育系统校务公开工作。</w:t>
      </w:r>
    </w:p>
    <w:p w14:paraId="06871D03">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负责全县教育系统安全和维护稳定工作；会同有关部门做好学校安全、学校及周边环境治理、预防青少年犯罪工作；依法组织或参与组织有关安全事故的调查处理。</w:t>
      </w:r>
    </w:p>
    <w:p w14:paraId="0EA95C45">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负责组织各类教育招生、考试工作。</w:t>
      </w:r>
    </w:p>
    <w:p w14:paraId="1DBCCB23">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负责对外教育交流和合作工作。</w:t>
      </w:r>
    </w:p>
    <w:p w14:paraId="7FEA7378">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28D219FB">
      <w:pPr>
        <w:pStyle w:val="11"/>
        <w:rPr>
          <w:rFonts w:hint="eastAsia" w:ascii="仿宋" w:hAnsi="仿宋" w:eastAsia="仿宋" w:cs="黑体"/>
          <w:color w:val="auto"/>
          <w:kern w:val="2"/>
          <w:sz w:val="32"/>
          <w:szCs w:val="32"/>
          <w:highlight w:val="none"/>
          <w:lang w:val="en-US" w:eastAsia="zh-CN" w:bidi="ar-SA"/>
        </w:rPr>
      </w:pPr>
      <w:r>
        <w:rPr>
          <w:rFonts w:hint="eastAsia" w:ascii="仿宋" w:hAnsi="仿宋" w:eastAsia="仿宋" w:cs="黑体"/>
          <w:color w:val="auto"/>
          <w:kern w:val="2"/>
          <w:sz w:val="32"/>
          <w:szCs w:val="32"/>
          <w:highlight w:val="none"/>
          <w:lang w:val="en-US" w:eastAsia="zh-CN" w:bidi="ar-SA"/>
        </w:rPr>
        <w:t>负责全县教育系统党的政治建设、思想建设、组织建设、作风建设、纪律建设和制度建设。协调推动教育系统思想政治、意识形态工作，以及国家教育发展战略、中长期规划、教育重大政策和体制改革方案的落实。</w:t>
      </w:r>
    </w:p>
    <w:p w14:paraId="7EAB0F52">
      <w:pPr>
        <w:pStyle w:val="11"/>
        <w:rPr>
          <w:color w:val="auto"/>
          <w:highlight w:val="none"/>
        </w:rPr>
      </w:pPr>
      <w:r>
        <w:rPr>
          <w:rFonts w:hint="eastAsia" w:ascii="仿宋" w:hAnsi="仿宋" w:eastAsia="仿宋" w:cs="黑体"/>
          <w:color w:val="auto"/>
          <w:kern w:val="2"/>
          <w:sz w:val="32"/>
          <w:szCs w:val="32"/>
          <w:highlight w:val="none"/>
          <w:lang w:val="en-US" w:eastAsia="zh-CN" w:bidi="ar-SA"/>
        </w:rPr>
        <w:t>承办县委、县政府交办的其他任务。</w:t>
      </w:r>
    </w:p>
    <w:p w14:paraId="45EF5C3D">
      <w:pPr>
        <w:adjustRightInd w:val="0"/>
        <w:snapToGrid w:val="0"/>
        <w:spacing w:line="560" w:lineRule="exact"/>
        <w:ind w:firstLine="643" w:firstLineChars="200"/>
        <w:rPr>
          <w:rFonts w:hint="eastAsia" w:ascii="方正仿宋简体" w:hAnsi="方正仿宋简体" w:eastAsia="方正仿宋简体" w:cs="方正仿宋简体"/>
          <w:b/>
          <w:bCs/>
          <w:color w:val="auto"/>
          <w:sz w:val="32"/>
          <w:szCs w:val="32"/>
          <w:highlight w:val="none"/>
        </w:rPr>
      </w:pPr>
      <w:r>
        <w:rPr>
          <w:rFonts w:hint="eastAsia" w:ascii="方正仿宋简体" w:hAnsi="方正仿宋简体" w:eastAsia="方正仿宋简体" w:cs="方正仿宋简体"/>
          <w:b/>
          <w:bCs/>
          <w:color w:val="auto"/>
          <w:sz w:val="32"/>
          <w:szCs w:val="32"/>
          <w:highlight w:val="none"/>
        </w:rPr>
        <w:t>2.机构、人员构成</w:t>
      </w:r>
    </w:p>
    <w:p w14:paraId="419BC1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简体" w:hAnsi="方正仿宋简体" w:eastAsia="方正仿宋简体" w:cs="方正仿宋简体"/>
          <w:color w:val="auto"/>
          <w:sz w:val="32"/>
          <w:szCs w:val="32"/>
          <w:highlight w:val="none"/>
        </w:rPr>
      </w:pPr>
      <w:r>
        <w:rPr>
          <w:rFonts w:hint="eastAsia" w:ascii="方正仿宋简体" w:hAnsi="方正仿宋简体" w:eastAsia="方正仿宋简体" w:cs="方正仿宋简体"/>
          <w:color w:val="auto"/>
          <w:sz w:val="32"/>
          <w:szCs w:val="32"/>
          <w:highlight w:val="none"/>
        </w:rPr>
        <w:t>井陉县教育局共有预算单位</w:t>
      </w:r>
      <w:r>
        <w:rPr>
          <w:rFonts w:hint="eastAsia" w:ascii="方正仿宋简体" w:hAnsi="方正仿宋简体" w:eastAsia="方正仿宋简体" w:cs="方正仿宋简体"/>
          <w:color w:val="auto"/>
          <w:sz w:val="32"/>
          <w:szCs w:val="32"/>
          <w:highlight w:val="none"/>
          <w:lang w:val="en-US" w:eastAsia="zh-CN"/>
        </w:rPr>
        <w:t>37</w:t>
      </w:r>
      <w:r>
        <w:rPr>
          <w:rFonts w:hint="eastAsia" w:ascii="方正仿宋简体" w:hAnsi="方正仿宋简体" w:eastAsia="方正仿宋简体" w:cs="方正仿宋简体"/>
          <w:color w:val="auto"/>
          <w:sz w:val="32"/>
          <w:szCs w:val="32"/>
          <w:highlight w:val="none"/>
        </w:rPr>
        <w:t>个。包括局本级、各级各类学校所属二级预算单位。202</w:t>
      </w:r>
      <w:r>
        <w:rPr>
          <w:rFonts w:hint="eastAsia" w:ascii="方正仿宋简体" w:hAnsi="方正仿宋简体" w:eastAsia="方正仿宋简体" w:cs="方正仿宋简体"/>
          <w:color w:val="auto"/>
          <w:sz w:val="32"/>
          <w:szCs w:val="32"/>
          <w:highlight w:val="none"/>
          <w:lang w:val="en-US" w:eastAsia="zh-CN"/>
        </w:rPr>
        <w:t>5</w:t>
      </w:r>
      <w:r>
        <w:rPr>
          <w:rFonts w:hint="eastAsia" w:ascii="方正仿宋简体" w:hAnsi="方正仿宋简体" w:eastAsia="方正仿宋简体" w:cs="方正仿宋简体"/>
          <w:color w:val="auto"/>
          <w:sz w:val="32"/>
          <w:szCs w:val="32"/>
          <w:highlight w:val="none"/>
        </w:rPr>
        <w:t>年末部门实有在职</w:t>
      </w:r>
      <w:r>
        <w:rPr>
          <w:rFonts w:hint="eastAsia" w:ascii="方正仿宋简体" w:hAnsi="方正仿宋简体" w:eastAsia="方正仿宋简体" w:cs="方正仿宋简体"/>
          <w:color w:val="auto"/>
          <w:sz w:val="32"/>
          <w:szCs w:val="32"/>
          <w:highlight w:val="none"/>
          <w:lang w:val="en-US" w:eastAsia="zh-CN"/>
        </w:rPr>
        <w:t>2791</w:t>
      </w:r>
      <w:r>
        <w:rPr>
          <w:rFonts w:hint="eastAsia" w:ascii="方正仿宋简体" w:hAnsi="方正仿宋简体" w:eastAsia="方正仿宋简体" w:cs="方正仿宋简体"/>
          <w:color w:val="auto"/>
          <w:sz w:val="32"/>
          <w:szCs w:val="32"/>
          <w:highlight w:val="none"/>
        </w:rPr>
        <w:t>人，其中：行政在职人员1</w:t>
      </w:r>
      <w:r>
        <w:rPr>
          <w:rFonts w:hint="eastAsia" w:ascii="方正仿宋简体" w:hAnsi="方正仿宋简体" w:eastAsia="方正仿宋简体" w:cs="方正仿宋简体"/>
          <w:color w:val="auto"/>
          <w:sz w:val="32"/>
          <w:szCs w:val="32"/>
          <w:highlight w:val="none"/>
          <w:lang w:val="en-US" w:eastAsia="zh-CN"/>
        </w:rPr>
        <w:t>0</w:t>
      </w:r>
      <w:r>
        <w:rPr>
          <w:rFonts w:hint="eastAsia" w:ascii="方正仿宋简体" w:hAnsi="方正仿宋简体" w:eastAsia="方正仿宋简体" w:cs="方正仿宋简体"/>
          <w:color w:val="auto"/>
          <w:sz w:val="32"/>
          <w:szCs w:val="32"/>
          <w:highlight w:val="none"/>
        </w:rPr>
        <w:t>人，事业编制在职人员27</w:t>
      </w:r>
      <w:r>
        <w:rPr>
          <w:rFonts w:hint="eastAsia" w:ascii="方正仿宋简体" w:hAnsi="方正仿宋简体" w:eastAsia="方正仿宋简体" w:cs="方正仿宋简体"/>
          <w:color w:val="auto"/>
          <w:sz w:val="32"/>
          <w:szCs w:val="32"/>
          <w:highlight w:val="none"/>
          <w:lang w:val="en-US" w:eastAsia="zh-CN"/>
        </w:rPr>
        <w:t>79</w:t>
      </w:r>
      <w:r>
        <w:rPr>
          <w:rFonts w:hint="eastAsia" w:ascii="方正仿宋简体" w:hAnsi="方正仿宋简体" w:eastAsia="方正仿宋简体" w:cs="方正仿宋简体"/>
          <w:color w:val="auto"/>
          <w:sz w:val="32"/>
          <w:szCs w:val="32"/>
          <w:highlight w:val="none"/>
        </w:rPr>
        <w:t>人；离休人员</w:t>
      </w:r>
      <w:r>
        <w:rPr>
          <w:rFonts w:hint="eastAsia" w:ascii="方正仿宋简体" w:hAnsi="方正仿宋简体" w:eastAsia="方正仿宋简体" w:cs="方正仿宋简体"/>
          <w:color w:val="auto"/>
          <w:sz w:val="32"/>
          <w:szCs w:val="32"/>
          <w:highlight w:val="none"/>
          <w:lang w:val="en-US" w:eastAsia="zh-CN"/>
        </w:rPr>
        <w:t>2</w:t>
      </w:r>
      <w:r>
        <w:rPr>
          <w:rFonts w:hint="eastAsia" w:ascii="方正仿宋简体" w:hAnsi="方正仿宋简体" w:eastAsia="方正仿宋简体" w:cs="方正仿宋简体"/>
          <w:color w:val="auto"/>
          <w:sz w:val="32"/>
          <w:szCs w:val="32"/>
          <w:highlight w:val="none"/>
        </w:rPr>
        <w:t>人。</w:t>
      </w:r>
    </w:p>
    <w:p w14:paraId="3CB6F726">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highlight w:val="none"/>
        </w:rPr>
      </w:pPr>
      <w:r>
        <w:rPr>
          <w:rFonts w:hint="eastAsia" w:ascii="楷体" w:hAnsi="楷体" w:eastAsia="楷体" w:cs="楷体_GB2312"/>
          <w:bCs/>
          <w:color w:val="auto"/>
          <w:sz w:val="32"/>
          <w:szCs w:val="32"/>
          <w:highlight w:val="none"/>
        </w:rPr>
        <w:t>部门收支预决算情况</w:t>
      </w:r>
    </w:p>
    <w:p w14:paraId="7BD54978">
      <w:pPr>
        <w:pStyle w:val="4"/>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2025年预算收入59147.985971万元，其中：一般公共预算收入58020.709221万元，占总收入的98.09%；基金预算收入0.00万元，国有资本经营预算收入0.00万元，财政专户核拨收入813.481万元，占总收入的</w:t>
      </w:r>
      <w:r>
        <w:rPr>
          <w:rFonts w:hint="default" w:ascii="方正仿宋简体" w:hAnsi="方正仿宋简体" w:eastAsia="方正仿宋简体" w:cs="方正仿宋简体"/>
          <w:color w:val="auto"/>
          <w:kern w:val="2"/>
          <w:sz w:val="32"/>
          <w:szCs w:val="32"/>
          <w:highlight w:val="none"/>
          <w:lang w:eastAsia="zh-CN" w:bidi="ar-SA"/>
        </w:rPr>
        <w:t>1.3</w:t>
      </w:r>
      <w:r>
        <w:rPr>
          <w:rFonts w:hint="eastAsia" w:ascii="方正仿宋简体" w:hAnsi="方正仿宋简体" w:eastAsia="方正仿宋简体" w:cs="方正仿宋简体"/>
          <w:color w:val="auto"/>
          <w:kern w:val="2"/>
          <w:sz w:val="32"/>
          <w:szCs w:val="32"/>
          <w:highlight w:val="none"/>
          <w:lang w:val="en-US" w:eastAsia="zh-CN" w:bidi="ar-SA"/>
        </w:rPr>
        <w:t>8%</w:t>
      </w:r>
      <w:r>
        <w:rPr>
          <w:rFonts w:hint="default" w:ascii="方正仿宋简体" w:hAnsi="方正仿宋简体" w:eastAsia="方正仿宋简体" w:cs="方正仿宋简体"/>
          <w:color w:val="auto"/>
          <w:kern w:val="2"/>
          <w:sz w:val="32"/>
          <w:szCs w:val="32"/>
          <w:highlight w:val="none"/>
          <w:lang w:eastAsia="zh-CN" w:bidi="ar-SA"/>
        </w:rPr>
        <w:t>，</w:t>
      </w:r>
      <w:r>
        <w:rPr>
          <w:rFonts w:hint="eastAsia" w:ascii="方正仿宋简体" w:hAnsi="方正仿宋简体" w:eastAsia="方正仿宋简体" w:cs="方正仿宋简体"/>
          <w:color w:val="auto"/>
          <w:kern w:val="2"/>
          <w:sz w:val="32"/>
          <w:szCs w:val="32"/>
          <w:highlight w:val="none"/>
          <w:lang w:val="en-US" w:eastAsia="zh-CN" w:bidi="ar-SA"/>
        </w:rPr>
        <w:t>单位资金收入0.00万元，上年结转结余313.79575万元</w:t>
      </w:r>
      <w:r>
        <w:rPr>
          <w:rFonts w:hint="default" w:ascii="方正仿宋简体" w:hAnsi="方正仿宋简体" w:eastAsia="方正仿宋简体" w:cs="方正仿宋简体"/>
          <w:color w:val="auto"/>
          <w:kern w:val="2"/>
          <w:sz w:val="32"/>
          <w:szCs w:val="32"/>
          <w:highlight w:val="none"/>
          <w:lang w:eastAsia="zh-CN" w:bidi="ar-SA"/>
        </w:rPr>
        <w:t>，</w:t>
      </w:r>
      <w:r>
        <w:rPr>
          <w:rFonts w:hint="eastAsia" w:ascii="方正仿宋简体" w:hAnsi="方正仿宋简体" w:eastAsia="方正仿宋简体" w:cs="方正仿宋简体"/>
          <w:color w:val="auto"/>
          <w:kern w:val="2"/>
          <w:sz w:val="32"/>
          <w:szCs w:val="32"/>
          <w:highlight w:val="none"/>
          <w:lang w:val="en-US" w:eastAsia="zh-CN" w:bidi="ar-SA"/>
        </w:rPr>
        <w:t>占总收入的</w:t>
      </w:r>
      <w:r>
        <w:rPr>
          <w:rFonts w:hint="default" w:ascii="方正仿宋简体" w:hAnsi="方正仿宋简体" w:eastAsia="方正仿宋简体" w:cs="方正仿宋简体"/>
          <w:color w:val="auto"/>
          <w:kern w:val="2"/>
          <w:sz w:val="32"/>
          <w:szCs w:val="32"/>
          <w:highlight w:val="none"/>
          <w:lang w:eastAsia="zh-CN" w:bidi="ar-SA"/>
        </w:rPr>
        <w:t>0.53</w:t>
      </w:r>
      <w:r>
        <w:rPr>
          <w:rFonts w:hint="eastAsia" w:ascii="方正仿宋简体" w:hAnsi="方正仿宋简体" w:eastAsia="方正仿宋简体" w:cs="方正仿宋简体"/>
          <w:color w:val="auto"/>
          <w:kern w:val="2"/>
          <w:sz w:val="32"/>
          <w:szCs w:val="32"/>
          <w:highlight w:val="none"/>
          <w:lang w:val="en-US" w:eastAsia="zh-CN" w:bidi="ar-SA"/>
        </w:rPr>
        <w:t>%。</w:t>
      </w:r>
    </w:p>
    <w:p w14:paraId="16769843">
      <w:pPr>
        <w:pStyle w:val="4"/>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textAlignment w:val="auto"/>
        <w:rPr>
          <w:rFonts w:hint="eastAsia" w:ascii="楷体" w:hAnsi="楷体" w:eastAsia="楷体" w:cs="楷体_GB2312"/>
          <w:bCs/>
          <w:color w:val="auto"/>
          <w:sz w:val="32"/>
          <w:szCs w:val="32"/>
          <w:highlight w:val="none"/>
        </w:rPr>
      </w:pPr>
      <w:r>
        <w:rPr>
          <w:rFonts w:hint="eastAsia" w:ascii="方正仿宋简体" w:hAnsi="方正仿宋简体" w:eastAsia="方正仿宋简体" w:cs="方正仿宋简体"/>
          <w:color w:val="auto"/>
          <w:kern w:val="2"/>
          <w:sz w:val="32"/>
          <w:szCs w:val="32"/>
          <w:highlight w:val="none"/>
          <w:lang w:val="en-US" w:eastAsia="zh-CN" w:bidi="ar-SA"/>
        </w:rPr>
        <w:t>2025年决算支出为65451.239306万元，其中：基本支出45742.267519万元，占总支出的69.89%；项目支出19708.971787万元，占总支出的30.11%。</w:t>
      </w:r>
    </w:p>
    <w:p w14:paraId="1664CA87">
      <w:pPr>
        <w:adjustRightInd w:val="0"/>
        <w:snapToGrid w:val="0"/>
        <w:spacing w:line="560" w:lineRule="exact"/>
        <w:ind w:firstLine="640" w:firstLineChars="200"/>
        <w:rPr>
          <w:rFonts w:ascii="楷体" w:hAnsi="楷体" w:eastAsia="楷体" w:cs="楷体_GB2312"/>
          <w:bCs/>
          <w:color w:val="auto"/>
          <w:sz w:val="32"/>
          <w:szCs w:val="32"/>
          <w:highlight w:val="none"/>
        </w:rPr>
      </w:pPr>
      <w:r>
        <w:rPr>
          <w:rFonts w:hint="eastAsia" w:ascii="楷体" w:hAnsi="楷体" w:eastAsia="楷体" w:cs="楷体_GB2312"/>
          <w:bCs/>
          <w:color w:val="auto"/>
          <w:sz w:val="32"/>
          <w:szCs w:val="32"/>
          <w:highlight w:val="none"/>
        </w:rPr>
        <w:t>（三）部门整体支出绩效目标、指标</w:t>
      </w:r>
    </w:p>
    <w:tbl>
      <w:tblPr>
        <w:tblStyle w:val="8"/>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374"/>
        <w:gridCol w:w="2505"/>
        <w:gridCol w:w="2325"/>
        <w:gridCol w:w="1746"/>
      </w:tblGrid>
      <w:tr w14:paraId="12B5A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trPr>
        <w:tc>
          <w:tcPr>
            <w:tcW w:w="8640" w:type="dxa"/>
            <w:gridSpan w:val="5"/>
            <w:tcBorders>
              <w:top w:val="nil"/>
              <w:left w:val="nil"/>
              <w:bottom w:val="nil"/>
              <w:right w:val="nil"/>
            </w:tcBorders>
            <w:shd w:val="clear" w:color="auto" w:fill="auto"/>
            <w:vAlign w:val="center"/>
          </w:tcPr>
          <w:p w14:paraId="49B5446A">
            <w:pPr>
              <w:keepNext w:val="0"/>
              <w:keepLines w:val="0"/>
              <w:pageBreakBefore w:val="0"/>
              <w:widowControl/>
              <w:suppressLineNumbers w:val="0"/>
              <w:kinsoku/>
              <w:overflowPunct/>
              <w:topLinePunct w:val="0"/>
              <w:autoSpaceDE/>
              <w:autoSpaceDN/>
              <w:bidi w:val="0"/>
              <w:spacing w:line="600" w:lineRule="exact"/>
              <w:ind w:firstLine="640" w:firstLineChars="200"/>
              <w:jc w:val="left"/>
              <w:textAlignment w:val="center"/>
              <w:rPr>
                <w:rFonts w:hint="eastAsia" w:ascii="宋体" w:hAnsi="宋体" w:eastAsia="宋体" w:cs="宋体"/>
                <w:i w:val="0"/>
                <w:iCs w:val="0"/>
                <w:color w:val="auto"/>
                <w:sz w:val="18"/>
                <w:szCs w:val="18"/>
                <w:highlight w:val="none"/>
                <w:u w:val="none"/>
              </w:rPr>
            </w:pPr>
            <w:r>
              <w:rPr>
                <w:rFonts w:hint="eastAsia" w:ascii="方正仿宋简体" w:hAnsi="方正仿宋简体" w:eastAsia="方正仿宋简体" w:cs="方正仿宋简体"/>
                <w:i w:val="0"/>
                <w:iCs w:val="0"/>
                <w:color w:val="auto"/>
                <w:kern w:val="0"/>
                <w:sz w:val="32"/>
                <w:szCs w:val="32"/>
                <w:highlight w:val="none"/>
                <w:u w:val="none"/>
                <w:lang w:val="en-US" w:eastAsia="zh-CN" w:bidi="ar"/>
              </w:rPr>
              <w:t>根据部门整体支出绩效目标自评表，结合教育工作实际情况，特制定如下目标表：</w:t>
            </w:r>
          </w:p>
        </w:tc>
      </w:tr>
      <w:tr w14:paraId="0D32F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B2374B">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一级指标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85226E">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二级指标</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A8AAD6">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三级指标</w:t>
            </w:r>
          </w:p>
        </w:tc>
        <w:tc>
          <w:tcPr>
            <w:tcW w:w="23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150F9D">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年度指标值</w:t>
            </w:r>
          </w:p>
        </w:tc>
        <w:tc>
          <w:tcPr>
            <w:tcW w:w="1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83FC0">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分值</w:t>
            </w:r>
          </w:p>
        </w:tc>
      </w:tr>
      <w:tr w14:paraId="7111A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4C3B9">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93BFB6">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022353">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23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D677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6609F">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r>
      <w:tr w14:paraId="23B2F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ADAAD0">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管理指标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F8C78">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预算编审管理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3ED55">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预算编制完整性、准确性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40A4">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按要求编制完整、准确</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68404">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4816F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9E86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B5CFE4">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预算执行管理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8D84E">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部门预算完成率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DEE06">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272EB">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kern w:val="0"/>
                <w:sz w:val="18"/>
                <w:szCs w:val="18"/>
                <w:highlight w:val="none"/>
                <w:u w:val="none"/>
                <w:lang w:val="en-US" w:eastAsia="zh-CN" w:bidi="ar"/>
              </w:rPr>
              <w:t>3</w:t>
            </w:r>
          </w:p>
        </w:tc>
      </w:tr>
      <w:tr w14:paraId="4D39D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ED13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9FFB3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6FFB7">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公用经费控制率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47FA7">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0FC8E">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41F0B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2FA3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99F99">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C746">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三公经费控制率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A533D">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15CDA">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23C14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DF9C48">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5F7B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部门结转结余资金管理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B6A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结转结余率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366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CF2C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kern w:val="0"/>
                <w:sz w:val="18"/>
                <w:szCs w:val="18"/>
                <w:highlight w:val="none"/>
                <w:u w:val="none"/>
                <w:lang w:val="en-US" w:eastAsia="zh-CN" w:bidi="ar"/>
              </w:rPr>
              <w:t>3</w:t>
            </w:r>
          </w:p>
        </w:tc>
      </w:tr>
      <w:tr w14:paraId="0A40A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23322">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9750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预决算信息公开管理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45D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预决算信息公开性、基础信息完善性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6AC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信息公开性、完善性</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7366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1AF4A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87961B">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E124C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部门预算管理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45F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在职人员控制率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500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6A0C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5DFD7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116E62">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491DC">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2FA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资金使用合规性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96F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是否符合相关的预算财务管理制度的规定、预算资金的规范运行情况</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DDC8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48F34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C2DA7A">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6F30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资产管理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54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资产管理安全性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3E4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3D67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57BF2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32EE6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EA98C">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37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固定资产利用率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769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A0CE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3</w:t>
            </w:r>
          </w:p>
        </w:tc>
      </w:tr>
      <w:tr w14:paraId="7E71D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1449C">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产出指标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A6FD3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数量指标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1EC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部门政务服务情况完成率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B4C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E26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7</w:t>
            </w:r>
          </w:p>
        </w:tc>
      </w:tr>
      <w:tr w14:paraId="2DC3F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6AD26">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5AAEE">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44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部门年度重点工作完成率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8A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9885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7</w:t>
            </w:r>
          </w:p>
        </w:tc>
      </w:tr>
      <w:tr w14:paraId="76707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6E48B">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3BF6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质量指标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3705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sz w:val="18"/>
                <w:szCs w:val="18"/>
                <w:highlight w:val="none"/>
                <w:u w:val="none"/>
                <w:lang w:val="en-US" w:eastAsia="zh-CN"/>
              </w:rPr>
              <w:t>认真迎接各级各类督导检查，顺利通过率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E7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9052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kern w:val="0"/>
                <w:sz w:val="18"/>
                <w:szCs w:val="18"/>
                <w:highlight w:val="none"/>
                <w:u w:val="none"/>
                <w:lang w:val="en-US" w:eastAsia="zh-CN" w:bidi="ar"/>
              </w:rPr>
              <w:t>8</w:t>
            </w:r>
          </w:p>
        </w:tc>
      </w:tr>
      <w:tr w14:paraId="235C4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5062AB">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CF56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时效指标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AAA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资金给付的及时性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70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0D5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8</w:t>
            </w:r>
          </w:p>
        </w:tc>
      </w:tr>
      <w:tr w14:paraId="30DAC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C3CBD2">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效果指标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6B6E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经济效益指标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87D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宋体"/>
                <w:i w:val="0"/>
                <w:iCs w:val="0"/>
                <w:color w:val="auto"/>
                <w:sz w:val="18"/>
                <w:szCs w:val="18"/>
                <w:highlight w:val="none"/>
                <w:u w:val="none"/>
                <w:lang w:val="en-US"/>
              </w:rPr>
            </w:pPr>
            <w:r>
              <w:rPr>
                <w:rFonts w:hint="eastAsia" w:ascii="宋体" w:hAnsi="宋体" w:eastAsia="宋体" w:cs="宋体"/>
                <w:i w:val="0"/>
                <w:iCs w:val="0"/>
                <w:color w:val="auto"/>
                <w:kern w:val="0"/>
                <w:sz w:val="18"/>
                <w:szCs w:val="18"/>
                <w:highlight w:val="none"/>
                <w:u w:val="none"/>
                <w:lang w:val="en-US" w:eastAsia="zh-CN" w:bidi="ar"/>
              </w:rPr>
              <w:t>预算执行率，财政资金发挥最大效益</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4B7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0482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i w:val="0"/>
                <w:iCs w:val="0"/>
                <w:color w:val="auto"/>
                <w:sz w:val="18"/>
                <w:szCs w:val="18"/>
                <w:highlight w:val="none"/>
                <w:u w:val="none"/>
                <w:lang w:val="en-US"/>
              </w:rPr>
            </w:pPr>
            <w:r>
              <w:rPr>
                <w:rFonts w:hint="eastAsia" w:ascii="宋体" w:hAnsi="宋体" w:cs="宋体"/>
                <w:i w:val="0"/>
                <w:iCs w:val="0"/>
                <w:color w:val="auto"/>
                <w:kern w:val="0"/>
                <w:sz w:val="18"/>
                <w:szCs w:val="18"/>
                <w:highlight w:val="none"/>
                <w:u w:val="none"/>
                <w:lang w:val="en-US" w:eastAsia="zh-CN" w:bidi="ar"/>
              </w:rPr>
              <w:t>10</w:t>
            </w:r>
          </w:p>
        </w:tc>
      </w:tr>
      <w:tr w14:paraId="4A277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E51F56">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522D4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社会效益指标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A1D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办好学校教育,提升社会影响力</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4DB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提高社会影响力，得到广大师生的充分认可，提高学生入学率。</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1C8E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5</w:t>
            </w:r>
          </w:p>
        </w:tc>
      </w:tr>
      <w:tr w14:paraId="7756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A80B13">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736F69">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751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改善办学条件,提高办学水平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5AB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促进各级各类教育进一步发展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8303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5</w:t>
            </w:r>
          </w:p>
        </w:tc>
      </w:tr>
      <w:tr w14:paraId="0ED60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A4E66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B91E0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可持续发展能力</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A1E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kern w:val="0"/>
                <w:sz w:val="18"/>
                <w:szCs w:val="18"/>
                <w:highlight w:val="none"/>
                <w:u w:val="none"/>
                <w:lang w:val="en-US" w:eastAsia="zh-CN" w:bidi="ar"/>
              </w:rPr>
              <w:t>困难</w:t>
            </w:r>
            <w:r>
              <w:rPr>
                <w:rFonts w:hint="eastAsia" w:ascii="宋体" w:hAnsi="宋体" w:eastAsia="宋体" w:cs="宋体"/>
                <w:i w:val="0"/>
                <w:iCs w:val="0"/>
                <w:color w:val="auto"/>
                <w:kern w:val="0"/>
                <w:sz w:val="18"/>
                <w:szCs w:val="18"/>
                <w:highlight w:val="none"/>
                <w:u w:val="none"/>
                <w:lang w:val="en-US" w:eastAsia="zh-CN" w:bidi="ar"/>
              </w:rPr>
              <w:t>学生</w:t>
            </w:r>
            <w:r>
              <w:rPr>
                <w:rFonts w:hint="eastAsia" w:ascii="宋体" w:hAnsi="宋体" w:cs="宋体"/>
                <w:i w:val="0"/>
                <w:iCs w:val="0"/>
                <w:color w:val="auto"/>
                <w:kern w:val="0"/>
                <w:sz w:val="18"/>
                <w:szCs w:val="18"/>
                <w:highlight w:val="none"/>
                <w:u w:val="none"/>
                <w:lang w:val="en-US" w:eastAsia="zh-CN" w:bidi="ar"/>
              </w:rPr>
              <w:t>安心</w:t>
            </w:r>
            <w:r>
              <w:rPr>
                <w:rFonts w:hint="eastAsia" w:ascii="宋体" w:hAnsi="宋体" w:eastAsia="宋体" w:cs="宋体"/>
                <w:i w:val="0"/>
                <w:iCs w:val="0"/>
                <w:color w:val="auto"/>
                <w:kern w:val="0"/>
                <w:sz w:val="18"/>
                <w:szCs w:val="18"/>
                <w:highlight w:val="none"/>
                <w:u w:val="none"/>
                <w:lang w:val="en-US" w:eastAsia="zh-CN" w:bidi="ar"/>
              </w:rPr>
              <w:t>学习</w:t>
            </w:r>
            <w:r>
              <w:rPr>
                <w:rFonts w:hint="eastAsia" w:ascii="宋体" w:hAnsi="宋体" w:cs="宋体"/>
                <w:i w:val="0"/>
                <w:iCs w:val="0"/>
                <w:color w:val="auto"/>
                <w:kern w:val="0"/>
                <w:sz w:val="18"/>
                <w:szCs w:val="18"/>
                <w:highlight w:val="none"/>
                <w:u w:val="none"/>
                <w:lang w:val="en-US" w:eastAsia="zh-CN" w:bidi="ar"/>
              </w:rPr>
              <w:t>，顺利完成学业，持续推动教育公平。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7D9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cs="宋体"/>
                <w:i w:val="0"/>
                <w:iCs w:val="0"/>
                <w:color w:val="auto"/>
                <w:kern w:val="0"/>
                <w:sz w:val="18"/>
                <w:szCs w:val="18"/>
                <w:highlight w:val="none"/>
                <w:u w:val="none"/>
                <w:lang w:val="en-US" w:eastAsia="zh-CN" w:bidi="ar"/>
              </w:rPr>
              <w:t>困难</w:t>
            </w:r>
            <w:r>
              <w:rPr>
                <w:rFonts w:hint="eastAsia" w:ascii="宋体" w:hAnsi="宋体" w:eastAsia="宋体" w:cs="宋体"/>
                <w:i w:val="0"/>
                <w:iCs w:val="0"/>
                <w:color w:val="auto"/>
                <w:kern w:val="0"/>
                <w:sz w:val="18"/>
                <w:szCs w:val="18"/>
                <w:highlight w:val="none"/>
                <w:u w:val="none"/>
                <w:lang w:val="en-US" w:eastAsia="zh-CN" w:bidi="ar"/>
              </w:rPr>
              <w:t>学生</w:t>
            </w:r>
            <w:r>
              <w:rPr>
                <w:rFonts w:hint="eastAsia" w:ascii="宋体" w:hAnsi="宋体" w:cs="宋体"/>
                <w:i w:val="0"/>
                <w:iCs w:val="0"/>
                <w:color w:val="auto"/>
                <w:kern w:val="0"/>
                <w:sz w:val="18"/>
                <w:szCs w:val="18"/>
                <w:highlight w:val="none"/>
                <w:u w:val="none"/>
                <w:lang w:val="en-US" w:eastAsia="zh-CN" w:bidi="ar"/>
              </w:rPr>
              <w:t>安心</w:t>
            </w:r>
            <w:r>
              <w:rPr>
                <w:rFonts w:hint="eastAsia" w:ascii="宋体" w:hAnsi="宋体" w:eastAsia="宋体" w:cs="宋体"/>
                <w:i w:val="0"/>
                <w:iCs w:val="0"/>
                <w:color w:val="auto"/>
                <w:kern w:val="0"/>
                <w:sz w:val="18"/>
                <w:szCs w:val="18"/>
                <w:highlight w:val="none"/>
                <w:u w:val="none"/>
                <w:lang w:val="en-US" w:eastAsia="zh-CN" w:bidi="ar"/>
              </w:rPr>
              <w:t>学习</w:t>
            </w:r>
            <w:r>
              <w:rPr>
                <w:rFonts w:hint="eastAsia" w:ascii="宋体" w:hAnsi="宋体" w:cs="宋体"/>
                <w:i w:val="0"/>
                <w:iCs w:val="0"/>
                <w:color w:val="auto"/>
                <w:kern w:val="0"/>
                <w:sz w:val="18"/>
                <w:szCs w:val="18"/>
                <w:highlight w:val="none"/>
                <w:u w:val="none"/>
                <w:lang w:val="en-US" w:eastAsia="zh-CN" w:bidi="ar"/>
              </w:rPr>
              <w:t>，顺利完成学业，持续推动教育公平。</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86C8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5</w:t>
            </w:r>
          </w:p>
        </w:tc>
      </w:tr>
      <w:tr w14:paraId="5B7C2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C633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auto"/>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5FC21">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EE7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教育部门工作持续发展</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461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教育部门工作持续、平稳、优质、高效发展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7A00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5</w:t>
            </w:r>
          </w:p>
        </w:tc>
      </w:tr>
      <w:tr w14:paraId="358FB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C425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满意度指标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3206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满意度指标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76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服务对象满意度</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27B0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609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w:t>
            </w:r>
          </w:p>
        </w:tc>
      </w:tr>
    </w:tbl>
    <w:p w14:paraId="25C4149F">
      <w:pPr>
        <w:adjustRightInd w:val="0"/>
        <w:snapToGrid w:val="0"/>
        <w:spacing w:line="560" w:lineRule="exact"/>
        <w:ind w:firstLine="640" w:firstLineChars="200"/>
        <w:rPr>
          <w:rFonts w:ascii="黑体" w:hAnsi="黑体" w:eastAsia="黑体"/>
          <w:color w:val="auto"/>
          <w:sz w:val="32"/>
          <w:szCs w:val="32"/>
          <w:highlight w:val="none"/>
        </w:rPr>
      </w:pPr>
      <w:r>
        <w:rPr>
          <w:rFonts w:hint="eastAsia" w:ascii="黑体" w:hAnsi="黑体" w:eastAsia="黑体"/>
          <w:color w:val="auto"/>
          <w:sz w:val="32"/>
          <w:szCs w:val="32"/>
          <w:highlight w:val="none"/>
        </w:rPr>
        <w:t>二、自评工作开展情况</w:t>
      </w:r>
    </w:p>
    <w:p w14:paraId="7DB04D08">
      <w:pPr>
        <w:keepNext w:val="0"/>
        <w:keepLines w:val="0"/>
        <w:pageBreakBefore w:val="0"/>
        <w:kinsoku/>
        <w:wordWrap/>
        <w:overflowPunct/>
        <w:topLinePunct w:val="0"/>
        <w:autoSpaceDE/>
        <w:autoSpaceDN/>
        <w:bidi w:val="0"/>
        <w:spacing w:line="560" w:lineRule="exact"/>
        <w:textAlignment w:val="auto"/>
        <w:rPr>
          <w:rFonts w:ascii="楷体" w:hAnsi="楷体" w:eastAsia="楷体" w:cs="楷体_GB2312"/>
          <w:color w:val="auto"/>
          <w:sz w:val="32"/>
          <w:szCs w:val="32"/>
          <w:highlight w:val="none"/>
        </w:rPr>
      </w:pPr>
      <w:r>
        <w:rPr>
          <w:rFonts w:hint="eastAsia" w:ascii="仿宋" w:hAnsi="仿宋" w:eastAsia="仿宋" w:cs="楷体_GB2312"/>
          <w:b/>
          <w:bCs/>
          <w:color w:val="auto"/>
          <w:sz w:val="32"/>
          <w:szCs w:val="32"/>
          <w:highlight w:val="none"/>
        </w:rPr>
        <w:t xml:space="preserve">    </w:t>
      </w:r>
      <w:r>
        <w:rPr>
          <w:rFonts w:hint="eastAsia" w:ascii="方正楷体简体" w:hAnsi="方正楷体简体" w:eastAsia="方正楷体简体" w:cs="方正楷体简体"/>
          <w:b/>
          <w:bCs w:val="0"/>
          <w:color w:val="auto"/>
          <w:sz w:val="32"/>
          <w:szCs w:val="32"/>
          <w:highlight w:val="none"/>
        </w:rPr>
        <w:t>（一）自评的组织工作</w:t>
      </w:r>
    </w:p>
    <w:p w14:paraId="5BFE3BB4">
      <w:pPr>
        <w:keepNext w:val="0"/>
        <w:keepLines w:val="0"/>
        <w:pageBreakBefore w:val="0"/>
        <w:kinsoku/>
        <w:wordWrap/>
        <w:overflowPunct/>
        <w:topLinePunct w:val="0"/>
        <w:autoSpaceDE/>
        <w:autoSpaceDN/>
        <w:bidi w:val="0"/>
        <w:adjustRightInd/>
        <w:snapToGrid/>
        <w:spacing w:line="560" w:lineRule="exact"/>
        <w:ind w:left="0" w:leftChars="0" w:firstLine="640"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color w:val="auto"/>
          <w:sz w:val="32"/>
          <w:szCs w:val="32"/>
          <w:highlight w:val="none"/>
        </w:rPr>
        <w:t>根据《</w:t>
      </w:r>
      <w:r>
        <w:rPr>
          <w:rFonts w:hint="eastAsia" w:ascii="方正仿宋简体" w:hAnsi="方正仿宋简体" w:eastAsia="方正仿宋简体" w:cs="方正仿宋简体"/>
          <w:color w:val="auto"/>
          <w:sz w:val="32"/>
          <w:szCs w:val="32"/>
          <w:highlight w:val="none"/>
          <w:lang w:val="en-US" w:eastAsia="zh-CN"/>
        </w:rPr>
        <w:t>中华人民共和国</w:t>
      </w:r>
      <w:r>
        <w:rPr>
          <w:rFonts w:hint="eastAsia" w:ascii="方正仿宋简体" w:hAnsi="方正仿宋简体" w:eastAsia="方正仿宋简体" w:cs="方正仿宋简体"/>
          <w:color w:val="auto"/>
          <w:sz w:val="32"/>
          <w:szCs w:val="32"/>
          <w:highlight w:val="none"/>
        </w:rPr>
        <w:t>会计法》《</w:t>
      </w:r>
      <w:r>
        <w:rPr>
          <w:rFonts w:hint="eastAsia" w:ascii="方正仿宋简体" w:hAnsi="方正仿宋简体" w:eastAsia="方正仿宋简体" w:cs="方正仿宋简体"/>
          <w:color w:val="auto"/>
          <w:sz w:val="32"/>
          <w:szCs w:val="32"/>
          <w:highlight w:val="none"/>
          <w:lang w:val="en-US" w:eastAsia="zh-CN"/>
        </w:rPr>
        <w:t>中华人民共和国</w:t>
      </w:r>
      <w:r>
        <w:rPr>
          <w:rFonts w:hint="eastAsia" w:ascii="方正仿宋简体" w:hAnsi="方正仿宋简体" w:eastAsia="方正仿宋简体" w:cs="方正仿宋简体"/>
          <w:color w:val="auto"/>
          <w:sz w:val="32"/>
          <w:szCs w:val="32"/>
          <w:highlight w:val="none"/>
        </w:rPr>
        <w:t>预算法》《行政事业单位财务规则》规定，</w:t>
      </w:r>
      <w:r>
        <w:rPr>
          <w:rFonts w:hint="eastAsia" w:ascii="方正仿宋简体" w:hAnsi="方正仿宋简体" w:eastAsia="方正仿宋简体" w:cs="方正仿宋简体"/>
          <w:color w:val="auto"/>
          <w:sz w:val="32"/>
          <w:szCs w:val="32"/>
          <w:highlight w:val="none"/>
          <w:shd w:val="clear" w:color="auto" w:fill="FFFFFF"/>
        </w:rPr>
        <w:t>严格按照专项资金管理制度认真落实专项资金专款专用</w:t>
      </w:r>
      <w:r>
        <w:rPr>
          <w:rFonts w:hint="eastAsia" w:ascii="方正仿宋简体" w:hAnsi="方正仿宋简体" w:eastAsia="方正仿宋简体" w:cs="方正仿宋简体"/>
          <w:color w:val="auto"/>
          <w:sz w:val="32"/>
          <w:szCs w:val="32"/>
          <w:highlight w:val="none"/>
          <w:shd w:val="clear" w:color="auto" w:fill="FFFFFF"/>
          <w:lang w:eastAsia="zh-CN"/>
        </w:rPr>
        <w:t>，</w:t>
      </w:r>
      <w:r>
        <w:rPr>
          <w:rFonts w:hint="eastAsia" w:ascii="方正仿宋简体" w:hAnsi="方正仿宋简体" w:eastAsia="方正仿宋简体" w:cs="方正仿宋简体"/>
          <w:color w:val="auto"/>
          <w:sz w:val="32"/>
          <w:szCs w:val="32"/>
          <w:highlight w:val="none"/>
          <w:shd w:val="clear" w:color="auto" w:fill="FFFFFF"/>
        </w:rPr>
        <w:t>确保专项资金使用达到实效。</w:t>
      </w:r>
    </w:p>
    <w:p w14:paraId="0FE4554E">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auto"/>
        <w:outlineLvl w:val="9"/>
        <w:rPr>
          <w:rFonts w:ascii="仿宋" w:hAnsi="仿宋" w:eastAsia="仿宋"/>
          <w:color w:val="auto"/>
          <w:sz w:val="32"/>
          <w:szCs w:val="32"/>
          <w:highlight w:val="none"/>
        </w:rPr>
      </w:pPr>
      <w:r>
        <w:rPr>
          <w:rFonts w:hint="eastAsia" w:ascii="方正仿宋简体" w:hAnsi="方正仿宋简体" w:eastAsia="方正仿宋简体" w:cs="方正仿宋简体"/>
          <w:color w:val="auto"/>
          <w:sz w:val="32"/>
          <w:szCs w:val="32"/>
          <w:highlight w:val="none"/>
        </w:rPr>
        <w:t>资金拨付有完整的审批程序和手续；项目资金按规定机关评估论证，支出符合专项资金的用途，资金使用无截留、挤占、挪用、虚列支出等情况，较好地发挥了项目资金使用效益和社会效益，达到了项目所设立的绩效目标。</w:t>
      </w:r>
    </w:p>
    <w:p w14:paraId="7CB4C18E">
      <w:pPr>
        <w:keepNext w:val="0"/>
        <w:keepLines w:val="0"/>
        <w:pageBreakBefore w:val="0"/>
        <w:numPr>
          <w:ilvl w:val="0"/>
          <w:numId w:val="0"/>
        </w:numPr>
        <w:kinsoku/>
        <w:wordWrap/>
        <w:overflowPunct/>
        <w:topLinePunct w:val="0"/>
        <w:autoSpaceDE/>
        <w:autoSpaceDN/>
        <w:bidi w:val="0"/>
        <w:spacing w:line="560" w:lineRule="exact"/>
        <w:ind w:firstLine="643" w:firstLineChars="200"/>
        <w:textAlignment w:val="auto"/>
        <w:rPr>
          <w:rFonts w:hint="eastAsia" w:ascii="方正楷体简体" w:hAnsi="方正楷体简体" w:eastAsia="方正楷体简体" w:cs="方正楷体简体"/>
          <w:b/>
          <w:bCs w:val="0"/>
          <w:color w:val="auto"/>
          <w:sz w:val="32"/>
          <w:szCs w:val="32"/>
          <w:highlight w:val="none"/>
        </w:rPr>
      </w:pPr>
      <w:r>
        <w:rPr>
          <w:rFonts w:hint="eastAsia" w:ascii="方正楷体简体" w:hAnsi="方正楷体简体" w:eastAsia="方正楷体简体" w:cs="方正楷体简体"/>
          <w:b/>
          <w:bCs w:val="0"/>
          <w:color w:val="auto"/>
          <w:sz w:val="32"/>
          <w:szCs w:val="32"/>
          <w:highlight w:val="none"/>
          <w:lang w:eastAsia="zh-CN"/>
        </w:rPr>
        <w:t>（</w:t>
      </w:r>
      <w:r>
        <w:rPr>
          <w:rFonts w:hint="eastAsia" w:ascii="方正楷体简体" w:hAnsi="方正楷体简体" w:eastAsia="方正楷体简体" w:cs="方正楷体简体"/>
          <w:b/>
          <w:bCs w:val="0"/>
          <w:color w:val="auto"/>
          <w:sz w:val="32"/>
          <w:szCs w:val="32"/>
          <w:highlight w:val="none"/>
          <w:lang w:val="en-US" w:eastAsia="zh-CN"/>
        </w:rPr>
        <w:t>二</w:t>
      </w:r>
      <w:r>
        <w:rPr>
          <w:rFonts w:hint="eastAsia" w:ascii="方正楷体简体" w:hAnsi="方正楷体简体" w:eastAsia="方正楷体简体" w:cs="方正楷体简体"/>
          <w:b/>
          <w:bCs w:val="0"/>
          <w:color w:val="auto"/>
          <w:sz w:val="32"/>
          <w:szCs w:val="32"/>
          <w:highlight w:val="none"/>
          <w:lang w:eastAsia="zh-CN"/>
        </w:rPr>
        <w:t>）</w:t>
      </w:r>
      <w:r>
        <w:rPr>
          <w:rFonts w:hint="eastAsia" w:ascii="方正楷体简体" w:hAnsi="方正楷体简体" w:eastAsia="方正楷体简体" w:cs="方正楷体简体"/>
          <w:b/>
          <w:bCs w:val="0"/>
          <w:color w:val="auto"/>
          <w:sz w:val="32"/>
          <w:szCs w:val="32"/>
          <w:highlight w:val="none"/>
        </w:rPr>
        <w:t>自评的方法和过程</w:t>
      </w:r>
    </w:p>
    <w:p w14:paraId="0440AF6E">
      <w:pPr>
        <w:keepNext w:val="0"/>
        <w:keepLines w:val="0"/>
        <w:pageBreakBefore w:val="0"/>
        <w:kinsoku/>
        <w:wordWrap/>
        <w:overflowPunct/>
        <w:topLinePunct w:val="0"/>
        <w:autoSpaceDE/>
        <w:autoSpaceDN/>
        <w:bidi w:val="0"/>
        <w:adjustRightInd/>
        <w:snapToGrid/>
        <w:spacing w:line="560" w:lineRule="exact"/>
        <w:ind w:left="0" w:leftChars="0" w:firstLine="643"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b/>
          <w:bCs/>
          <w:color w:val="auto"/>
          <w:sz w:val="32"/>
          <w:szCs w:val="32"/>
          <w:highlight w:val="none"/>
          <w:shd w:val="clear" w:color="auto" w:fill="FFFFFF"/>
        </w:rPr>
        <w:t>1.评价方法：</w:t>
      </w:r>
      <w:r>
        <w:rPr>
          <w:rFonts w:hint="eastAsia" w:ascii="方正仿宋简体" w:hAnsi="方正仿宋简体" w:eastAsia="方正仿宋简体" w:cs="方正仿宋简体"/>
          <w:color w:val="auto"/>
          <w:sz w:val="32"/>
          <w:szCs w:val="32"/>
          <w:highlight w:val="none"/>
          <w:shd w:val="clear" w:color="auto" w:fill="FFFFFF"/>
        </w:rPr>
        <w:t>一是对照“部门整体支出绩效评价指标体系评分表”的主要考评内容及工作完成情况，对照当年工作计划和上级交办的各项工作内容，进行自评、复核，形成总体得分。二是组织纳入部门整体支出绩效评价范围的项目，实施绩效自评。</w:t>
      </w:r>
    </w:p>
    <w:p w14:paraId="62551DD7">
      <w:pPr>
        <w:pStyle w:val="4"/>
        <w:keepNext w:val="0"/>
        <w:keepLines w:val="0"/>
        <w:pageBreakBefore w:val="0"/>
        <w:kinsoku/>
        <w:wordWrap/>
        <w:overflowPunct/>
        <w:topLinePunct w:val="0"/>
        <w:autoSpaceDE/>
        <w:autoSpaceDN/>
        <w:bidi w:val="0"/>
        <w:spacing w:after="0" w:afterLines="0" w:line="560" w:lineRule="exact"/>
        <w:ind w:firstLine="643" w:firstLineChars="200"/>
        <w:textAlignment w:val="auto"/>
        <w:rPr>
          <w:rFonts w:ascii="楷体" w:hAnsi="楷体" w:eastAsia="楷体" w:cs="楷体_GB2312"/>
          <w:bCs/>
          <w:color w:val="auto"/>
          <w:sz w:val="32"/>
          <w:szCs w:val="32"/>
          <w:highlight w:val="none"/>
        </w:rPr>
      </w:pPr>
      <w:r>
        <w:rPr>
          <w:rFonts w:hint="eastAsia" w:ascii="方正仿宋简体" w:hAnsi="方正仿宋简体" w:eastAsia="方正仿宋简体" w:cs="方正仿宋简体"/>
          <w:b/>
          <w:bCs/>
          <w:color w:val="auto"/>
          <w:sz w:val="32"/>
          <w:szCs w:val="32"/>
          <w:highlight w:val="none"/>
          <w:shd w:val="clear" w:color="auto" w:fill="FFFFFF"/>
        </w:rPr>
        <w:t>2.实施过程：</w:t>
      </w:r>
      <w:r>
        <w:rPr>
          <w:rFonts w:hint="eastAsia" w:ascii="方正仿宋简体" w:hAnsi="方正仿宋简体" w:eastAsia="方正仿宋简体" w:cs="方正仿宋简体"/>
          <w:color w:val="auto"/>
          <w:sz w:val="32"/>
          <w:szCs w:val="32"/>
          <w:highlight w:val="none"/>
          <w:shd w:val="clear" w:color="auto" w:fill="FFFFFF"/>
        </w:rPr>
        <w:t>成立项目自评小组，主管局长任组长，各科室负责人任副组长，科室成员任小组成员。项目执行科室为项目自评的组织科室，负责项目工作的组织、实施、自评。通过填写“县级部门预算项目绩效自评表”，撰写“自评报告”形式，进行自评。</w:t>
      </w:r>
    </w:p>
    <w:p w14:paraId="420C8105">
      <w:pPr>
        <w:spacing w:line="560" w:lineRule="exact"/>
        <w:rPr>
          <w:rFonts w:ascii="黑体" w:hAnsi="黑体" w:eastAsia="黑体"/>
          <w:b/>
          <w:bCs/>
          <w:color w:val="auto"/>
          <w:sz w:val="32"/>
          <w:szCs w:val="32"/>
          <w:highlight w:val="none"/>
        </w:rPr>
      </w:pPr>
      <w:r>
        <w:rPr>
          <w:rFonts w:hint="eastAsia" w:ascii="黑体" w:hAnsi="黑体" w:eastAsia="黑体"/>
          <w:color w:val="auto"/>
          <w:sz w:val="32"/>
          <w:szCs w:val="32"/>
          <w:highlight w:val="none"/>
        </w:rPr>
        <w:t xml:space="preserve">    三、部门整体支出绩效目标实现情况及指标分析</w:t>
      </w:r>
    </w:p>
    <w:p w14:paraId="183370FC">
      <w:pPr>
        <w:numPr>
          <w:ilvl w:val="0"/>
          <w:numId w:val="0"/>
        </w:numPr>
        <w:spacing w:line="560" w:lineRule="exact"/>
        <w:ind w:firstLine="643" w:firstLineChars="200"/>
        <w:rPr>
          <w:rFonts w:ascii="楷体" w:hAnsi="楷体" w:eastAsia="楷体" w:cs="楷体_GB2312"/>
          <w:bCs/>
          <w:color w:val="auto"/>
          <w:sz w:val="32"/>
          <w:szCs w:val="32"/>
          <w:highlight w:val="none"/>
        </w:rPr>
      </w:pPr>
      <w:r>
        <w:rPr>
          <w:rFonts w:hint="eastAsia" w:ascii="方正楷体简体" w:hAnsi="方正楷体简体" w:eastAsia="方正楷体简体" w:cs="方正楷体简体"/>
          <w:b/>
          <w:bCs w:val="0"/>
          <w:color w:val="auto"/>
          <w:sz w:val="32"/>
          <w:szCs w:val="32"/>
          <w:highlight w:val="none"/>
          <w:lang w:eastAsia="zh-CN"/>
        </w:rPr>
        <w:t>（</w:t>
      </w:r>
      <w:r>
        <w:rPr>
          <w:rFonts w:hint="eastAsia" w:ascii="方正楷体简体" w:hAnsi="方正楷体简体" w:eastAsia="方正楷体简体" w:cs="方正楷体简体"/>
          <w:b/>
          <w:bCs w:val="0"/>
          <w:color w:val="auto"/>
          <w:sz w:val="32"/>
          <w:szCs w:val="32"/>
          <w:highlight w:val="none"/>
          <w:lang w:val="en-US" w:eastAsia="zh-CN"/>
        </w:rPr>
        <w:t>一</w:t>
      </w:r>
      <w:r>
        <w:rPr>
          <w:rFonts w:hint="eastAsia" w:ascii="方正楷体简体" w:hAnsi="方正楷体简体" w:eastAsia="方正楷体简体" w:cs="方正楷体简体"/>
          <w:b/>
          <w:bCs w:val="0"/>
          <w:color w:val="auto"/>
          <w:sz w:val="32"/>
          <w:szCs w:val="32"/>
          <w:highlight w:val="none"/>
          <w:lang w:eastAsia="zh-CN"/>
        </w:rPr>
        <w:t>）</w:t>
      </w:r>
      <w:r>
        <w:rPr>
          <w:rFonts w:hint="eastAsia" w:ascii="方正楷体简体" w:hAnsi="方正楷体简体" w:eastAsia="方正楷体简体" w:cs="方正楷体简体"/>
          <w:b/>
          <w:bCs w:val="0"/>
          <w:color w:val="auto"/>
          <w:sz w:val="32"/>
          <w:szCs w:val="32"/>
          <w:highlight w:val="none"/>
        </w:rPr>
        <w:t>总体绩效目标实现情况</w:t>
      </w:r>
    </w:p>
    <w:p w14:paraId="31B1590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3"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b/>
          <w:bCs/>
          <w:color w:val="auto"/>
          <w:sz w:val="32"/>
          <w:szCs w:val="32"/>
          <w:highlight w:val="none"/>
          <w:lang w:val="en-US" w:eastAsia="zh-CN"/>
        </w:rPr>
        <w:t>1.资金执行情况。</w:t>
      </w:r>
      <w:r>
        <w:rPr>
          <w:rFonts w:hint="eastAsia" w:ascii="方正仿宋简体" w:hAnsi="方正仿宋简体" w:eastAsia="方正仿宋简体" w:cs="方正仿宋简体"/>
          <w:color w:val="auto"/>
          <w:sz w:val="32"/>
          <w:szCs w:val="32"/>
          <w:highlight w:val="none"/>
          <w:lang w:val="en-US" w:eastAsia="zh-CN"/>
        </w:rPr>
        <w:t>2025年我部门年度预算安排项目123个，预算资金26230.558644万元，执行资金</w:t>
      </w:r>
      <w:r>
        <w:rPr>
          <w:rFonts w:hint="eastAsia" w:ascii="方正仿宋简体" w:hAnsi="方正仿宋简体" w:eastAsia="方正仿宋简体" w:cs="方正仿宋简体"/>
          <w:color w:val="auto"/>
          <w:kern w:val="2"/>
          <w:sz w:val="32"/>
          <w:szCs w:val="32"/>
          <w:highlight w:val="none"/>
          <w:lang w:val="en-US" w:eastAsia="zh-CN" w:bidi="ar-SA"/>
        </w:rPr>
        <w:t>19708.971787</w:t>
      </w:r>
      <w:r>
        <w:rPr>
          <w:rFonts w:hint="eastAsia" w:ascii="方正仿宋简体" w:hAnsi="方正仿宋简体" w:eastAsia="方正仿宋简体" w:cs="方正仿宋简体"/>
          <w:color w:val="auto"/>
          <w:sz w:val="32"/>
          <w:szCs w:val="32"/>
          <w:highlight w:val="none"/>
          <w:lang w:val="en-US" w:eastAsia="zh-CN"/>
        </w:rPr>
        <w:t>万元，预算执行率为75.14%，结余资金6521.586857万元，资金结转结余率24.86%</w:t>
      </w:r>
      <w:r>
        <w:rPr>
          <w:rFonts w:hint="eastAsia" w:ascii="方正仿宋简体" w:hAnsi="方正仿宋简体" w:eastAsia="方正仿宋简体" w:cs="方正仿宋简体"/>
          <w:color w:val="auto"/>
          <w:sz w:val="32"/>
          <w:szCs w:val="32"/>
          <w:highlight w:val="none"/>
          <w:lang w:eastAsia="zh-CN"/>
        </w:rPr>
        <w:t>。</w:t>
      </w:r>
      <w:r>
        <w:rPr>
          <w:rFonts w:hint="eastAsia" w:ascii="方正仿宋简体" w:hAnsi="方正仿宋简体" w:eastAsia="方正仿宋简体" w:cs="方正仿宋简体"/>
          <w:color w:val="auto"/>
          <w:sz w:val="32"/>
          <w:szCs w:val="32"/>
          <w:highlight w:val="none"/>
          <w:lang w:val="en-US" w:eastAsia="zh-CN"/>
        </w:rPr>
        <w:t>其中，一般公共预算安排项目95个，预算资金16474.77763万元，执行资金12946.555026万元，预算资金执行率78.58%，结余资金3528.222604万元，</w:t>
      </w:r>
      <w:r>
        <w:rPr>
          <w:rFonts w:hint="eastAsia" w:ascii="方正仿宋简体" w:hAnsi="方正仿宋简体" w:eastAsia="方正仿宋简体" w:cs="方正仿宋简体"/>
          <w:color w:val="auto"/>
          <w:sz w:val="32"/>
          <w:szCs w:val="32"/>
          <w:highlight w:val="none"/>
        </w:rPr>
        <w:t>项目</w:t>
      </w:r>
      <w:r>
        <w:rPr>
          <w:rFonts w:hint="eastAsia" w:ascii="方正仿宋简体" w:hAnsi="方正仿宋简体" w:eastAsia="方正仿宋简体" w:cs="方正仿宋简体"/>
          <w:color w:val="auto"/>
          <w:sz w:val="32"/>
          <w:szCs w:val="32"/>
          <w:highlight w:val="none"/>
          <w:lang w:val="en-US" w:eastAsia="zh-CN"/>
        </w:rPr>
        <w:t>资金</w:t>
      </w:r>
      <w:r>
        <w:rPr>
          <w:rFonts w:hint="eastAsia" w:ascii="方正仿宋简体" w:hAnsi="方正仿宋简体" w:eastAsia="方正仿宋简体" w:cs="方正仿宋简体"/>
          <w:color w:val="auto"/>
          <w:sz w:val="32"/>
          <w:szCs w:val="32"/>
          <w:highlight w:val="none"/>
        </w:rPr>
        <w:t>主要用于</w:t>
      </w:r>
      <w:r>
        <w:rPr>
          <w:rFonts w:hint="eastAsia" w:ascii="方正仿宋简体" w:hAnsi="方正仿宋简体" w:eastAsia="方正仿宋简体" w:cs="方正仿宋简体"/>
          <w:color w:val="auto"/>
          <w:sz w:val="32"/>
          <w:szCs w:val="32"/>
          <w:highlight w:val="none"/>
          <w:lang w:val="en-US" w:eastAsia="zh-CN"/>
        </w:rPr>
        <w:t>支持学前教育发展、城乡义务教育补助、改善普通高中教育、提升中职学校教育、特教学校等改善办学条件，义务教育薄弱学校改造、新区高级中学建设、教师培训、学生资助等。政府性基金预算安排项目28个，预算资金9755.781014万元，执行资金6762.416761万元，预算资金执行率69.32%，结转资金2993.364253万元，</w:t>
      </w:r>
      <w:r>
        <w:rPr>
          <w:rFonts w:hint="eastAsia" w:ascii="方正仿宋简体" w:hAnsi="方正仿宋简体" w:eastAsia="方正仿宋简体" w:cs="方正仿宋简体"/>
          <w:color w:val="auto"/>
          <w:sz w:val="32"/>
          <w:szCs w:val="32"/>
          <w:highlight w:val="none"/>
        </w:rPr>
        <w:t>项目</w:t>
      </w:r>
      <w:r>
        <w:rPr>
          <w:rFonts w:hint="eastAsia" w:ascii="方正仿宋简体" w:hAnsi="方正仿宋简体" w:eastAsia="方正仿宋简体" w:cs="方正仿宋简体"/>
          <w:color w:val="auto"/>
          <w:sz w:val="32"/>
          <w:szCs w:val="32"/>
          <w:highlight w:val="none"/>
          <w:lang w:val="en-US" w:eastAsia="zh-CN"/>
        </w:rPr>
        <w:t>资金</w:t>
      </w:r>
      <w:r>
        <w:rPr>
          <w:rFonts w:hint="eastAsia" w:ascii="方正仿宋简体" w:hAnsi="方正仿宋简体" w:eastAsia="方正仿宋简体" w:cs="方正仿宋简体"/>
          <w:color w:val="auto"/>
          <w:sz w:val="32"/>
          <w:szCs w:val="32"/>
          <w:highlight w:val="none"/>
        </w:rPr>
        <w:t>主要用于井陉县新区高级中学建设项目</w:t>
      </w:r>
      <w:r>
        <w:rPr>
          <w:rFonts w:hint="eastAsia" w:ascii="方正仿宋简体" w:hAnsi="方正仿宋简体" w:eastAsia="方正仿宋简体" w:cs="方正仿宋简体"/>
          <w:color w:val="auto"/>
          <w:sz w:val="32"/>
          <w:szCs w:val="32"/>
          <w:highlight w:val="none"/>
          <w:lang w:val="en-US" w:eastAsia="zh-CN"/>
        </w:rPr>
        <w:t>、</w:t>
      </w:r>
      <w:r>
        <w:rPr>
          <w:rFonts w:hint="eastAsia" w:ascii="方正仿宋简体" w:hAnsi="方正仿宋简体" w:eastAsia="方正仿宋简体" w:cs="方正仿宋简体"/>
          <w:color w:val="auto"/>
          <w:kern w:val="2"/>
          <w:sz w:val="32"/>
          <w:szCs w:val="32"/>
          <w:highlight w:val="none"/>
          <w:lang w:val="en-US" w:eastAsia="zh-CN" w:bidi="ar-SA"/>
        </w:rPr>
        <w:t>皆山中学操场改造提升项目及偿还政府拖欠企业账款项目。</w:t>
      </w:r>
    </w:p>
    <w:p w14:paraId="6A92D26B">
      <w:pPr>
        <w:pStyle w:val="4"/>
        <w:keepNext w:val="0"/>
        <w:keepLines w:val="0"/>
        <w:pageBreakBefore w:val="0"/>
        <w:widowControl w:val="0"/>
        <w:numPr>
          <w:ilvl w:val="0"/>
          <w:numId w:val="0"/>
        </w:numPr>
        <w:kinsoku/>
        <w:wordWrap/>
        <w:overflowPunct/>
        <w:topLinePunct w:val="0"/>
        <w:autoSpaceDE/>
        <w:autoSpaceDN/>
        <w:bidi w:val="0"/>
        <w:adjustRightInd/>
        <w:snapToGrid w:val="0"/>
        <w:spacing w:after="0" w:afterLines="0" w:line="560" w:lineRule="exact"/>
        <w:ind w:firstLine="640"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财政专户资金安排项目6个，预算资金821.797万元，执行资金777.42758万元，预算执行率94.6%，结余资金44.36942万元，项目资金主要用于一中、二中、职教教育教学经费、进修学校教师培训经费、中考考试考务费等。</w:t>
      </w:r>
    </w:p>
    <w:p w14:paraId="2F412035">
      <w:pPr>
        <w:pStyle w:val="4"/>
        <w:keepNext w:val="0"/>
        <w:keepLines w:val="0"/>
        <w:pageBreakBefore w:val="0"/>
        <w:widowControl w:val="0"/>
        <w:kinsoku/>
        <w:wordWrap/>
        <w:overflowPunct/>
        <w:topLinePunct w:val="0"/>
        <w:autoSpaceDE/>
        <w:autoSpaceDN/>
        <w:bidi w:val="0"/>
        <w:adjustRightInd/>
        <w:snapToGrid/>
        <w:spacing w:before="0" w:line="560" w:lineRule="exact"/>
        <w:ind w:firstLine="643" w:firstLineChars="200"/>
        <w:textAlignment w:val="auto"/>
        <w:rPr>
          <w:rFonts w:hint="eastAsia"/>
          <w:color w:val="auto"/>
          <w:kern w:val="0"/>
          <w:highlight w:val="none"/>
        </w:rPr>
      </w:pPr>
      <w:r>
        <w:rPr>
          <w:rFonts w:hint="eastAsia" w:ascii="方正仿宋简体" w:hAnsi="方正仿宋简体" w:eastAsia="方正仿宋简体" w:cs="方正仿宋简体"/>
          <w:b/>
          <w:bCs/>
          <w:color w:val="auto"/>
          <w:sz w:val="32"/>
          <w:szCs w:val="32"/>
          <w:highlight w:val="none"/>
          <w:lang w:val="en-US" w:eastAsia="zh-CN"/>
        </w:rPr>
        <w:t>2.目标实现情况。</w:t>
      </w:r>
      <w:r>
        <w:rPr>
          <w:rFonts w:hint="eastAsia" w:ascii="方正仿宋简体" w:hAnsi="方正仿宋简体" w:eastAsia="方正仿宋简体" w:cs="方正仿宋简体"/>
          <w:color w:val="auto"/>
          <w:kern w:val="2"/>
          <w:sz w:val="32"/>
          <w:szCs w:val="32"/>
          <w:highlight w:val="none"/>
          <w:lang w:val="en-US" w:eastAsia="zh-CN" w:bidi="ar-SA"/>
        </w:rPr>
        <w:t>教育工程项目顺利实施。一是投资</w:t>
      </w:r>
      <w:r>
        <w:rPr>
          <w:rFonts w:hint="eastAsia" w:ascii="方正仿宋简体" w:hAnsi="方正仿宋简体" w:eastAsia="方正仿宋简体" w:cs="方正仿宋简体"/>
          <w:color w:val="auto"/>
          <w:sz w:val="32"/>
          <w:szCs w:val="32"/>
          <w:highlight w:val="none"/>
          <w:lang w:val="en-US" w:eastAsia="zh-CN"/>
        </w:rPr>
        <w:t>2.37</w:t>
      </w:r>
      <w:r>
        <w:rPr>
          <w:rFonts w:hint="eastAsia" w:ascii="方正仿宋简体" w:hAnsi="方正仿宋简体" w:eastAsia="方正仿宋简体" w:cs="方正仿宋简体"/>
          <w:color w:val="auto"/>
          <w:sz w:val="32"/>
          <w:szCs w:val="32"/>
          <w:highlight w:val="none"/>
        </w:rPr>
        <w:t>亿元</w:t>
      </w:r>
      <w:r>
        <w:rPr>
          <w:rFonts w:hint="eastAsia" w:ascii="方正仿宋简体" w:hAnsi="方正仿宋简体" w:eastAsia="方正仿宋简体" w:cs="方正仿宋简体"/>
          <w:color w:val="auto"/>
          <w:sz w:val="32"/>
          <w:szCs w:val="32"/>
          <w:highlight w:val="none"/>
          <w:lang w:val="en-US" w:eastAsia="zh-CN"/>
        </w:rPr>
        <w:t>用</w:t>
      </w:r>
      <w:r>
        <w:rPr>
          <w:rFonts w:hint="eastAsia" w:ascii="方正仿宋简体" w:hAnsi="方正仿宋简体" w:eastAsia="方正仿宋简体" w:cs="方正仿宋简体"/>
          <w:color w:val="auto"/>
          <w:kern w:val="2"/>
          <w:sz w:val="32"/>
          <w:szCs w:val="32"/>
          <w:highlight w:val="none"/>
          <w:lang w:val="en-US" w:eastAsia="zh-CN" w:bidi="ar-SA"/>
        </w:rPr>
        <w:t>于新区高级中学建设，已完成临水临电接入、道路硬化、围挡及板房搭建、喷淋设备安装、现场清表等工作，完成原土强夯40000平方米，正在进行1号宿舍楼地基处理。二是投资700万元，完成皆山中学、小作中学等12所学校义务教育薄弱环节改善和能力提升项目。三是投资600万元，完成56所学校校舍维修、加固改造、环境提升等项目。四是争取中央专项彩票公益金275万元，完成皆山中学操场改造提升项目。五是投资180万元，为16所中小学配备多媒体69套、录播室1个、计算机48台，在5所学校建成同步课堂5个，实现教育资源互通共享。</w:t>
      </w:r>
    </w:p>
    <w:p w14:paraId="35A34BA5">
      <w:pPr>
        <w:keepNext w:val="0"/>
        <w:keepLines w:val="0"/>
        <w:pageBreakBefore w:val="0"/>
        <w:widowControl w:val="0"/>
        <w:kinsoku/>
        <w:wordWrap/>
        <w:overflowPunct/>
        <w:topLinePunct w:val="0"/>
        <w:autoSpaceDE/>
        <w:autoSpaceDN/>
        <w:bidi w:val="0"/>
        <w:adjustRightInd/>
        <w:snapToGrid/>
        <w:spacing w:line="560" w:lineRule="exact"/>
        <w:ind w:firstLine="643"/>
        <w:jc w:val="both"/>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i w:val="0"/>
          <w:iCs w:val="0"/>
          <w:caps w:val="0"/>
          <w:color w:val="auto"/>
          <w:spacing w:val="0"/>
          <w:sz w:val="32"/>
          <w:szCs w:val="32"/>
          <w:highlight w:val="none"/>
          <w:shd w:val="clear" w:fill="FFFFFF"/>
        </w:rPr>
        <w:t>课后服务提质扩面，义务教育阶段</w:t>
      </w:r>
      <w:r>
        <w:rPr>
          <w:rFonts w:hint="eastAsia" w:ascii="方正仿宋简体" w:hAnsi="方正仿宋简体" w:eastAsia="方正仿宋简体" w:cs="方正仿宋简体"/>
          <w:i w:val="0"/>
          <w:iCs w:val="0"/>
          <w:caps w:val="0"/>
          <w:color w:val="auto"/>
          <w:spacing w:val="0"/>
          <w:sz w:val="32"/>
          <w:szCs w:val="32"/>
          <w:highlight w:val="none"/>
          <w:shd w:val="clear" w:fill="FFFFFF"/>
          <w:lang w:val="en-US" w:eastAsia="zh-CN"/>
        </w:rPr>
        <w:t>参与课后服务</w:t>
      </w:r>
      <w:r>
        <w:rPr>
          <w:rFonts w:hint="eastAsia" w:ascii="方正仿宋简体" w:hAnsi="方正仿宋简体" w:eastAsia="方正仿宋简体" w:cs="方正仿宋简体"/>
          <w:i w:val="0"/>
          <w:iCs w:val="0"/>
          <w:caps w:val="0"/>
          <w:color w:val="auto"/>
          <w:spacing w:val="0"/>
          <w:sz w:val="32"/>
          <w:szCs w:val="32"/>
          <w:highlight w:val="none"/>
          <w:shd w:val="clear" w:fill="FFFFFF"/>
        </w:rPr>
        <w:t>学生</w:t>
      </w:r>
      <w:r>
        <w:rPr>
          <w:rFonts w:hint="eastAsia" w:ascii="方正仿宋简体" w:hAnsi="方正仿宋简体" w:eastAsia="方正仿宋简体" w:cs="方正仿宋简体"/>
          <w:i w:val="0"/>
          <w:iCs w:val="0"/>
          <w:caps w:val="0"/>
          <w:color w:val="auto"/>
          <w:spacing w:val="0"/>
          <w:sz w:val="32"/>
          <w:szCs w:val="32"/>
          <w:highlight w:val="none"/>
          <w:shd w:val="clear" w:fill="FFFFFF"/>
          <w:lang w:val="en-US" w:eastAsia="zh-CN"/>
        </w:rPr>
        <w:t>23015人</w:t>
      </w:r>
      <w:r>
        <w:rPr>
          <w:rFonts w:hint="eastAsia" w:ascii="方正仿宋简体" w:hAnsi="方正仿宋简体" w:eastAsia="方正仿宋简体" w:cs="方正仿宋简体"/>
          <w:i w:val="0"/>
          <w:iCs w:val="0"/>
          <w:caps w:val="0"/>
          <w:color w:val="auto"/>
          <w:spacing w:val="0"/>
          <w:sz w:val="32"/>
          <w:szCs w:val="32"/>
          <w:highlight w:val="none"/>
          <w:shd w:val="clear" w:fill="FFFFFF"/>
        </w:rPr>
        <w:t>，参与率达99.51%。</w:t>
      </w:r>
      <w:r>
        <w:rPr>
          <w:rFonts w:hint="eastAsia" w:ascii="方正仿宋简体" w:hAnsi="方正仿宋简体" w:eastAsia="方正仿宋简体" w:cs="方正仿宋简体"/>
          <w:color w:val="auto"/>
          <w:kern w:val="2"/>
          <w:sz w:val="32"/>
          <w:szCs w:val="32"/>
          <w:highlight w:val="none"/>
          <w:lang w:val="en-US" w:eastAsia="zh-CN" w:bidi="ar-SA"/>
        </w:rPr>
        <w:t>组织思政教师全员培训，提高思政教学能力，全县各中小学校长、书记共讲授思政课264</w:t>
      </w:r>
      <w:r>
        <w:rPr>
          <w:rFonts w:hint="eastAsia" w:ascii="方正仿宋简体" w:hAnsi="方正仿宋简体" w:eastAsia="方正仿宋简体" w:cs="方正仿宋简体"/>
          <w:color w:val="auto"/>
          <w:kern w:val="2"/>
          <w:sz w:val="32"/>
          <w:szCs w:val="32"/>
          <w:highlight w:val="none"/>
          <w:lang w:val="zh-CN" w:eastAsia="zh-CN" w:bidi="ar-SA"/>
        </w:rPr>
        <w:t>节，</w:t>
      </w:r>
      <w:r>
        <w:rPr>
          <w:rFonts w:hint="eastAsia" w:ascii="方正仿宋简体" w:hAnsi="方正仿宋简体" w:eastAsia="方正仿宋简体" w:cs="方正仿宋简体"/>
          <w:color w:val="auto"/>
          <w:kern w:val="2"/>
          <w:sz w:val="32"/>
          <w:szCs w:val="32"/>
          <w:highlight w:val="none"/>
          <w:lang w:val="en-US" w:eastAsia="zh-CN" w:bidi="ar-SA"/>
        </w:rPr>
        <w:t>授课学生9.4万余人次。全年资助困难学生6631人次，金额557万元。全面落实农村小学生营养改善计划，惠及全县83所农村小学的6715名学生。实施农村小学生免费就餐措施，全县33所农村小学、教学点实施免费就餐措施，惠及学生3000余人。</w:t>
      </w:r>
    </w:p>
    <w:p w14:paraId="0F6C37BD">
      <w:pPr>
        <w:keepNext w:val="0"/>
        <w:keepLines w:val="0"/>
        <w:pageBreakBefore w:val="0"/>
        <w:widowControl w:val="0"/>
        <w:kinsoku/>
        <w:wordWrap/>
        <w:overflowPunct/>
        <w:topLinePunct w:val="0"/>
        <w:autoSpaceDE/>
        <w:autoSpaceDN/>
        <w:bidi w:val="0"/>
        <w:adjustRightInd/>
        <w:snapToGrid w:val="0"/>
        <w:spacing w:line="560" w:lineRule="exact"/>
        <w:textAlignment w:val="auto"/>
        <w:rPr>
          <w:rFonts w:ascii="楷体" w:hAnsi="楷体" w:eastAsia="楷体"/>
          <w:bCs/>
          <w:color w:val="auto"/>
          <w:sz w:val="32"/>
          <w:szCs w:val="32"/>
          <w:highlight w:val="none"/>
        </w:rPr>
      </w:pPr>
      <w:r>
        <w:rPr>
          <w:rFonts w:hint="eastAsia" w:ascii="仿宋" w:hAnsi="仿宋" w:eastAsia="仿宋" w:cs="楷体_GB2312"/>
          <w:b/>
          <w:bCs/>
          <w:color w:val="auto"/>
          <w:sz w:val="32"/>
          <w:szCs w:val="32"/>
          <w:highlight w:val="none"/>
        </w:rPr>
        <w:t xml:space="preserve">    </w:t>
      </w:r>
      <w:r>
        <w:rPr>
          <w:rFonts w:hint="eastAsia" w:ascii="方正楷体简体" w:hAnsi="方正楷体简体" w:eastAsia="方正楷体简体" w:cs="方正楷体简体"/>
          <w:b/>
          <w:bCs w:val="0"/>
          <w:color w:val="auto"/>
          <w:sz w:val="32"/>
          <w:szCs w:val="32"/>
          <w:highlight w:val="none"/>
        </w:rPr>
        <w:t>（二）分项绩效目标实现情况及指标分析</w:t>
      </w:r>
    </w:p>
    <w:p w14:paraId="37857712">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方正仿宋简体" w:hAnsi="方正仿宋简体" w:eastAsia="方正仿宋简体" w:cs="方正仿宋简体"/>
          <w:b/>
          <w:bCs/>
          <w:color w:val="auto"/>
          <w:sz w:val="32"/>
          <w:szCs w:val="32"/>
          <w:highlight w:val="none"/>
          <w:lang w:val="en-US" w:eastAsia="zh-CN"/>
        </w:rPr>
      </w:pPr>
      <w:r>
        <w:rPr>
          <w:rFonts w:hint="eastAsia" w:ascii="方正仿宋简体" w:hAnsi="方正仿宋简体" w:eastAsia="方正仿宋简体" w:cs="方正仿宋简体"/>
          <w:b/>
          <w:bCs/>
          <w:color w:val="auto"/>
          <w:sz w:val="32"/>
          <w:szCs w:val="32"/>
          <w:highlight w:val="none"/>
          <w:lang w:val="en-US" w:eastAsia="zh-CN"/>
        </w:rPr>
        <w:t>1.部门管理指标满分为30分，自评得分22分。</w:t>
      </w:r>
    </w:p>
    <w:p w14:paraId="0EC957F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按要求完整准确编制年初预算，得分3分；部门预算完成率</w:t>
      </w:r>
      <w:bookmarkStart w:id="0" w:name="OLE_LINK3"/>
      <w:r>
        <w:rPr>
          <w:rFonts w:hint="eastAsia" w:ascii="方正仿宋简体" w:hAnsi="方正仿宋简体" w:eastAsia="方正仿宋简体" w:cs="方正仿宋简体"/>
          <w:color w:val="auto"/>
          <w:sz w:val="32"/>
          <w:szCs w:val="32"/>
          <w:highlight w:val="none"/>
          <w:lang w:val="en-US" w:eastAsia="zh-CN"/>
        </w:rPr>
        <w:t>75.14%</w:t>
      </w:r>
      <w:bookmarkEnd w:id="0"/>
      <w:r>
        <w:rPr>
          <w:rFonts w:hint="eastAsia" w:ascii="方正仿宋简体" w:hAnsi="方正仿宋简体" w:eastAsia="方正仿宋简体" w:cs="方正仿宋简体"/>
          <w:color w:val="auto"/>
          <w:sz w:val="32"/>
          <w:szCs w:val="32"/>
          <w:highlight w:val="none"/>
          <w:lang w:val="en-US" w:eastAsia="zh-CN"/>
        </w:rPr>
        <w:t>，得分1分；严格落实各级各类学校公用经费不低于政策标准，得分3分；三公经费不超年初预算，得分3分；部门全部资金结转结余率13.59%，高于5%，得分0分；预决算信息按要求完整正式公开，基础信息完善，得分3分；人员经费编制齐全，落实到位，得分3分；资金使用合规，规范运行，得分3分；固定资产严格管理，定期清查盘点，下属单位存在入账不及时，处置不及时的情况，得分1分；固定资产利用率98%，有闲置的资产，得分2分。</w:t>
      </w:r>
    </w:p>
    <w:p w14:paraId="4DF5C744">
      <w:pPr>
        <w:pStyle w:val="4"/>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2.部门产出指标满分为30分，自评得分29分。</w:t>
      </w:r>
    </w:p>
    <w:p w14:paraId="1111BE4F">
      <w:pPr>
        <w:pStyle w:val="4"/>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部门职能完整，部门年度工作计划与部门年度工作目标相一致，得分7分；部门股室人员按照工作职责，认真履行，完成重点任务，得分7分；积极认真迎接各级各类督导检查工作，顺利通过各项检查，得分7分；资金及时拨付至预算单位，不存在截留、挪用等问题，得分8分。</w:t>
      </w:r>
    </w:p>
    <w:p w14:paraId="6EBF6B44">
      <w:pPr>
        <w:pStyle w:val="4"/>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3.部门效果指标满分为30分，自评得分27分。</w:t>
      </w:r>
    </w:p>
    <w:p w14:paraId="23A23ED9">
      <w:pPr>
        <w:pStyle w:val="4"/>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预算资金执行率</w:t>
      </w:r>
      <w:r>
        <w:rPr>
          <w:rFonts w:hint="eastAsia" w:ascii="方正仿宋简体" w:hAnsi="方正仿宋简体" w:eastAsia="方正仿宋简体" w:cs="方正仿宋简体"/>
          <w:color w:val="auto"/>
          <w:sz w:val="32"/>
          <w:szCs w:val="32"/>
          <w:highlight w:val="none"/>
          <w:lang w:val="en-US" w:eastAsia="zh-CN"/>
        </w:rPr>
        <w:t>75.14%</w:t>
      </w:r>
      <w:r>
        <w:rPr>
          <w:rFonts w:hint="eastAsia" w:ascii="方正仿宋简体" w:hAnsi="方正仿宋简体" w:eastAsia="方正仿宋简体" w:cs="方正仿宋简体"/>
          <w:color w:val="auto"/>
          <w:kern w:val="2"/>
          <w:sz w:val="32"/>
          <w:szCs w:val="32"/>
          <w:highlight w:val="none"/>
          <w:lang w:val="en-US" w:eastAsia="zh-CN" w:bidi="ar-SA"/>
        </w:rPr>
        <w:t>，切实发挥财政资金效益，得分7分；各级各类学校教学质量稳步提升，得到了广大师生及社会的认可，得分5分；通过支持学前教育、义务教育、普通高中、职业教育等各级改善资金的投入，大大提升了学校办学条件，促进县域内各级各类学校进一步优化提高，得分5分；优先实施农村地区教育改善工程，严格落实各学段学生资助政策，保障困难学生顺利完成学业，持续推动教育公平，得分5分；教育部门工作持续、平稳、优质、高效发展，得分5分。</w:t>
      </w:r>
    </w:p>
    <w:p w14:paraId="03C88EBC">
      <w:pPr>
        <w:pStyle w:val="4"/>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4.部门满意度指标满分为10分，自评得分10分。</w:t>
      </w:r>
    </w:p>
    <w:p w14:paraId="546AC331">
      <w:pPr>
        <w:pStyle w:val="4"/>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对教育部门综合满意度测评，测评结果98%，超过年初预期指标，得分10分。</w:t>
      </w:r>
    </w:p>
    <w:p w14:paraId="2BFC4A3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方正黑体简体" w:hAnsi="方正黑体简体" w:eastAsia="方正黑体简体" w:cs="方正黑体简体"/>
          <w:b w:val="0"/>
          <w:bCs w:val="0"/>
          <w:color w:val="auto"/>
          <w:sz w:val="32"/>
          <w:szCs w:val="32"/>
          <w:highlight w:val="none"/>
        </w:rPr>
      </w:pPr>
      <w:r>
        <w:rPr>
          <w:rFonts w:hint="eastAsia" w:ascii="方正黑体简体" w:hAnsi="方正黑体简体" w:eastAsia="方正黑体简体" w:cs="方正黑体简体"/>
          <w:b w:val="0"/>
          <w:bCs w:val="0"/>
          <w:color w:val="auto"/>
          <w:sz w:val="32"/>
          <w:szCs w:val="32"/>
          <w:highlight w:val="none"/>
        </w:rPr>
        <w:t>四、评价结论和评价等级</w:t>
      </w:r>
    </w:p>
    <w:p w14:paraId="2534AC44">
      <w:pPr>
        <w:spacing w:line="560" w:lineRule="exact"/>
        <w:ind w:firstLine="640" w:firstLineChars="200"/>
        <w:rPr>
          <w:rFonts w:ascii="仿宋" w:hAnsi="仿宋" w:eastAsia="仿宋"/>
          <w:color w:val="auto"/>
          <w:sz w:val="32"/>
          <w:szCs w:val="32"/>
          <w:highlight w:val="none"/>
        </w:rPr>
      </w:pPr>
      <w:r>
        <w:rPr>
          <w:rFonts w:hint="eastAsia" w:ascii="方正仿宋简体" w:hAnsi="方正仿宋简体" w:eastAsia="方正仿宋简体" w:cs="方正仿宋简体"/>
          <w:color w:val="auto"/>
          <w:kern w:val="2"/>
          <w:sz w:val="32"/>
          <w:szCs w:val="32"/>
          <w:highlight w:val="none"/>
          <w:lang w:val="en-US" w:eastAsia="zh-CN" w:bidi="ar-SA"/>
        </w:rPr>
        <w:t>根据部门职责定位和各项工作履职情况进行综合评价，我部门2025年绩效评价得分88分，部门整体支出综合绩效等级为优秀。</w:t>
      </w:r>
    </w:p>
    <w:p w14:paraId="6C3340BB">
      <w:pPr>
        <w:spacing w:line="560" w:lineRule="exact"/>
        <w:ind w:firstLine="640" w:firstLineChars="200"/>
        <w:rPr>
          <w:rFonts w:ascii="黑体" w:hAnsi="黑体" w:eastAsia="黑体"/>
          <w:color w:val="auto"/>
          <w:sz w:val="32"/>
          <w:szCs w:val="32"/>
          <w:highlight w:val="none"/>
        </w:rPr>
      </w:pPr>
      <w:r>
        <w:rPr>
          <w:rFonts w:hint="eastAsia" w:ascii="方正黑体简体" w:hAnsi="方正黑体简体" w:eastAsia="方正黑体简体" w:cs="方正黑体简体"/>
          <w:b w:val="0"/>
          <w:bCs w:val="0"/>
          <w:color w:val="auto"/>
          <w:sz w:val="32"/>
          <w:szCs w:val="32"/>
          <w:highlight w:val="none"/>
        </w:rPr>
        <w:t>五、存在的问题及改进措施</w:t>
      </w:r>
    </w:p>
    <w:p w14:paraId="4F0F6BDE">
      <w:pPr>
        <w:spacing w:line="560" w:lineRule="exact"/>
        <w:ind w:firstLine="643" w:firstLineChars="200"/>
        <w:rPr>
          <w:rFonts w:hint="eastAsia" w:ascii="楷体" w:hAnsi="楷体" w:eastAsia="楷体"/>
          <w:bCs/>
          <w:color w:val="auto"/>
          <w:sz w:val="32"/>
          <w:szCs w:val="32"/>
          <w:highlight w:val="none"/>
        </w:rPr>
      </w:pPr>
      <w:r>
        <w:rPr>
          <w:rFonts w:hint="eastAsia" w:ascii="方正楷体简体" w:hAnsi="方正楷体简体" w:eastAsia="方正楷体简体" w:cs="方正楷体简体"/>
          <w:b/>
          <w:bCs w:val="0"/>
          <w:color w:val="auto"/>
          <w:sz w:val="32"/>
          <w:szCs w:val="32"/>
          <w:highlight w:val="none"/>
        </w:rPr>
        <w:t>（一）存在的主要问题</w:t>
      </w:r>
    </w:p>
    <w:p w14:paraId="0669F74C">
      <w:pPr>
        <w:pStyle w:val="4"/>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一是资产管理意识有待加强，个别下属预算单位的固定资产存在已达到使用年限且报废的资产处置不及时、资产闲置的情况。二是部门、单位内控制度不健全，内控工作仅浮于表面。三是下级单位年初预算时未做整体支出预算绩效目标，年末评价时未能客观地设计部门产出与效果，也未能进行预算完成情况评价。四是财务人员业务水平良莠不齐，新老会计工作交接不顺畅，财务工作偶有滞后的现象。</w:t>
      </w:r>
    </w:p>
    <w:p w14:paraId="4179B433">
      <w:pPr>
        <w:numPr>
          <w:ilvl w:val="0"/>
          <w:numId w:val="2"/>
        </w:numPr>
        <w:spacing w:line="560" w:lineRule="exact"/>
        <w:ind w:firstLine="643" w:firstLineChars="200"/>
        <w:rPr>
          <w:rFonts w:hint="eastAsia" w:ascii="方正楷体简体" w:hAnsi="方正楷体简体" w:eastAsia="方正楷体简体" w:cs="方正楷体简体"/>
          <w:b/>
          <w:bCs w:val="0"/>
          <w:color w:val="auto"/>
          <w:sz w:val="32"/>
          <w:szCs w:val="32"/>
          <w:highlight w:val="none"/>
        </w:rPr>
      </w:pPr>
      <w:r>
        <w:rPr>
          <w:rFonts w:hint="eastAsia" w:ascii="方正楷体简体" w:hAnsi="方正楷体简体" w:eastAsia="方正楷体简体" w:cs="方正楷体简体"/>
          <w:b/>
          <w:bCs w:val="0"/>
          <w:color w:val="auto"/>
          <w:sz w:val="32"/>
          <w:szCs w:val="32"/>
          <w:highlight w:val="none"/>
        </w:rPr>
        <w:t>针对问题提出具体的改进措施或建议</w:t>
      </w:r>
    </w:p>
    <w:p w14:paraId="424AACD6">
      <w:pPr>
        <w:pStyle w:val="4"/>
        <w:keepNext w:val="0"/>
        <w:keepLines w:val="0"/>
        <w:pageBreakBefore w:val="0"/>
        <w:widowControl w:val="0"/>
        <w:numPr>
          <w:ilvl w:val="0"/>
          <w:numId w:val="0"/>
        </w:numPr>
        <w:kinsoku/>
        <w:wordWrap/>
        <w:overflowPunct/>
        <w:topLinePunct w:val="0"/>
        <w:autoSpaceDE/>
        <w:autoSpaceDN/>
        <w:bidi w:val="0"/>
        <w:adjustRightInd/>
        <w:snapToGrid/>
        <w:spacing w:after="0" w:line="560" w:lineRule="exact"/>
        <w:textAlignment w:val="auto"/>
        <w:rPr>
          <w:rFonts w:hint="default" w:eastAsia="宋体"/>
          <w:color w:val="auto"/>
          <w:highlight w:val="none"/>
          <w:lang w:val="en-US" w:eastAsia="zh-CN"/>
        </w:rPr>
      </w:pPr>
      <w:r>
        <w:rPr>
          <w:rFonts w:hint="eastAsia"/>
          <w:color w:val="auto"/>
          <w:highlight w:val="none"/>
          <w:lang w:val="en-US" w:eastAsia="zh-CN"/>
        </w:rPr>
        <w:t xml:space="preserve">       </w:t>
      </w:r>
      <w:r>
        <w:rPr>
          <w:rFonts w:hint="eastAsia" w:ascii="方正仿宋简体" w:hAnsi="方正仿宋简体" w:eastAsia="方正仿宋简体" w:cs="方正仿宋简体"/>
          <w:color w:val="auto"/>
          <w:kern w:val="2"/>
          <w:sz w:val="32"/>
          <w:szCs w:val="32"/>
          <w:highlight w:val="none"/>
          <w:lang w:val="en-US" w:eastAsia="zh-CN" w:bidi="ar-SA"/>
        </w:rPr>
        <w:t>一是加强对系统内财务人员的业务培训，不断提升财务人员的业务能力，重点对内控制度、资产管理、预算编制、资金支出等重要环节有针对性的进行指导，加快新财务人员的成长进度。二是按照《行政事业单位内部控制规范》要求，健全完善部门财务、合同、资产、往来款等制度，加大执行力度，落实管理职责，促使部门实现规范、有效的管控。三是加强对项目的立项审查工作，重点审查项目实施的必要性、前期准备工作情况及项目实施的条件，确保财政资金下达后项目得以快速实施，提高资金使用效率和效益。</w:t>
      </w:r>
    </w:p>
    <w:p w14:paraId="04047F69">
      <w:pPr>
        <w:adjustRightInd w:val="0"/>
        <w:snapToGrid w:val="0"/>
        <w:spacing w:line="560" w:lineRule="exact"/>
        <w:ind w:firstLine="640" w:firstLineChars="200"/>
        <w:rPr>
          <w:rFonts w:ascii="黑体" w:hAnsi="黑体" w:eastAsia="黑体"/>
          <w:color w:val="auto"/>
          <w:sz w:val="32"/>
          <w:szCs w:val="32"/>
          <w:highlight w:val="none"/>
        </w:rPr>
      </w:pPr>
      <w:r>
        <w:rPr>
          <w:rFonts w:hint="eastAsia" w:ascii="黑体" w:hAnsi="黑体" w:eastAsia="黑体"/>
          <w:color w:val="auto"/>
          <w:sz w:val="32"/>
          <w:szCs w:val="32"/>
          <w:highlight w:val="none"/>
        </w:rPr>
        <w:t>六、评价工作组人员名单及签字（姓名、工作单位、职务、职称）</w:t>
      </w:r>
    </w:p>
    <w:tbl>
      <w:tblPr>
        <w:tblStyle w:val="9"/>
        <w:tblpPr w:leftFromText="180" w:rightFromText="180" w:vertAnchor="text" w:horzAnchor="page" w:tblpX="1620" w:tblpY="1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0"/>
        <w:gridCol w:w="2040"/>
        <w:gridCol w:w="2895"/>
        <w:gridCol w:w="2533"/>
      </w:tblGrid>
      <w:tr w14:paraId="3B676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17943B3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color w:val="auto"/>
                <w:sz w:val="32"/>
                <w:szCs w:val="32"/>
                <w:highlight w:val="none"/>
                <w:vertAlign w:val="baseline"/>
                <w:lang w:val="en-US" w:eastAsia="zh-CN"/>
              </w:rPr>
            </w:pPr>
            <w:r>
              <w:rPr>
                <w:rFonts w:hint="eastAsia" w:ascii="黑体" w:hAnsi="黑体" w:eastAsia="黑体" w:cs="黑体"/>
                <w:color w:val="auto"/>
                <w:sz w:val="32"/>
                <w:szCs w:val="32"/>
                <w:highlight w:val="none"/>
                <w:vertAlign w:val="baseline"/>
                <w:lang w:val="en-US" w:eastAsia="zh-CN"/>
              </w:rPr>
              <w:t>姓名</w:t>
            </w:r>
          </w:p>
        </w:tc>
        <w:tc>
          <w:tcPr>
            <w:tcW w:w="2040" w:type="dxa"/>
          </w:tcPr>
          <w:p w14:paraId="42C1923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color w:val="auto"/>
                <w:sz w:val="32"/>
                <w:szCs w:val="32"/>
                <w:highlight w:val="none"/>
                <w:vertAlign w:val="baseline"/>
                <w:lang w:val="en-US" w:eastAsia="zh-CN"/>
              </w:rPr>
            </w:pPr>
            <w:r>
              <w:rPr>
                <w:rFonts w:hint="eastAsia" w:ascii="黑体" w:hAnsi="黑体" w:eastAsia="黑体" w:cs="黑体"/>
                <w:color w:val="auto"/>
                <w:sz w:val="32"/>
                <w:szCs w:val="32"/>
                <w:highlight w:val="none"/>
                <w:vertAlign w:val="baseline"/>
                <w:lang w:val="en-US" w:eastAsia="zh-CN"/>
              </w:rPr>
              <w:t>工作单位</w:t>
            </w:r>
          </w:p>
        </w:tc>
        <w:tc>
          <w:tcPr>
            <w:tcW w:w="2895" w:type="dxa"/>
          </w:tcPr>
          <w:p w14:paraId="01C75A4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color w:val="auto"/>
                <w:sz w:val="32"/>
                <w:szCs w:val="32"/>
                <w:highlight w:val="none"/>
                <w:vertAlign w:val="baseline"/>
                <w:lang w:val="en-US" w:eastAsia="zh-CN"/>
              </w:rPr>
            </w:pPr>
            <w:r>
              <w:rPr>
                <w:rFonts w:hint="eastAsia" w:ascii="黑体" w:hAnsi="黑体" w:eastAsia="黑体" w:cs="黑体"/>
                <w:color w:val="auto"/>
                <w:sz w:val="32"/>
                <w:szCs w:val="32"/>
                <w:highlight w:val="none"/>
                <w:vertAlign w:val="baseline"/>
                <w:lang w:val="en-US" w:eastAsia="zh-CN"/>
              </w:rPr>
              <w:t>职务</w:t>
            </w:r>
          </w:p>
        </w:tc>
        <w:tc>
          <w:tcPr>
            <w:tcW w:w="2533" w:type="dxa"/>
          </w:tcPr>
          <w:p w14:paraId="5028D0B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color w:val="auto"/>
                <w:sz w:val="32"/>
                <w:szCs w:val="32"/>
                <w:highlight w:val="none"/>
                <w:vertAlign w:val="baseline"/>
                <w:lang w:val="en-US" w:eastAsia="zh-CN"/>
              </w:rPr>
            </w:pPr>
            <w:r>
              <w:rPr>
                <w:rFonts w:hint="eastAsia" w:ascii="黑体" w:hAnsi="黑体" w:eastAsia="黑体" w:cs="黑体"/>
                <w:color w:val="auto"/>
                <w:sz w:val="32"/>
                <w:szCs w:val="32"/>
                <w:highlight w:val="none"/>
                <w:vertAlign w:val="baseline"/>
                <w:lang w:val="en-US" w:eastAsia="zh-CN"/>
              </w:rPr>
              <w:t>职称</w:t>
            </w:r>
          </w:p>
        </w:tc>
      </w:tr>
      <w:tr w14:paraId="291D1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3273D97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许彦会</w:t>
            </w:r>
          </w:p>
        </w:tc>
        <w:tc>
          <w:tcPr>
            <w:tcW w:w="2040" w:type="dxa"/>
          </w:tcPr>
          <w:p w14:paraId="54662B7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tcPr>
          <w:p w14:paraId="281AF49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党组成员</w:t>
            </w:r>
          </w:p>
        </w:tc>
        <w:tc>
          <w:tcPr>
            <w:tcW w:w="2533" w:type="dxa"/>
            <w:vAlign w:val="top"/>
          </w:tcPr>
          <w:p w14:paraId="0ABA8D8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default"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中小学高级教师</w:t>
            </w:r>
          </w:p>
        </w:tc>
      </w:tr>
      <w:tr w14:paraId="73152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2B01CA0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color w:val="auto"/>
                <w:sz w:val="28"/>
                <w:szCs w:val="28"/>
                <w:highlight w:val="none"/>
                <w:vertAlign w:val="baseline"/>
                <w:lang w:val="en-US" w:eastAsia="zh-CN"/>
              </w:rPr>
            </w:pPr>
            <w:bookmarkStart w:id="1" w:name="OLE_LINK4" w:colFirst="3" w:colLast="3"/>
            <w:r>
              <w:rPr>
                <w:rFonts w:hint="eastAsia" w:ascii="方正仿宋简体" w:hAnsi="方正仿宋简体" w:eastAsia="方正仿宋简体" w:cs="方正仿宋简体"/>
                <w:color w:val="auto"/>
                <w:sz w:val="28"/>
                <w:szCs w:val="28"/>
                <w:highlight w:val="none"/>
                <w:vertAlign w:val="baseline"/>
                <w:lang w:val="en-US" w:eastAsia="zh-CN"/>
              </w:rPr>
              <w:t>张志勇</w:t>
            </w:r>
          </w:p>
        </w:tc>
        <w:tc>
          <w:tcPr>
            <w:tcW w:w="2040" w:type="dxa"/>
          </w:tcPr>
          <w:p w14:paraId="2181204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tcPr>
          <w:p w14:paraId="620F40A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党组成员</w:t>
            </w:r>
          </w:p>
        </w:tc>
        <w:tc>
          <w:tcPr>
            <w:tcW w:w="2533" w:type="dxa"/>
          </w:tcPr>
          <w:p w14:paraId="2C52F0A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中小学高级教师</w:t>
            </w:r>
          </w:p>
        </w:tc>
      </w:tr>
      <w:bookmarkEnd w:id="1"/>
      <w:tr w14:paraId="7A6AD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58FC92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刘海忠</w:t>
            </w:r>
          </w:p>
        </w:tc>
        <w:tc>
          <w:tcPr>
            <w:tcW w:w="2040" w:type="dxa"/>
          </w:tcPr>
          <w:p w14:paraId="63D7259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tcPr>
          <w:p w14:paraId="681D666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发展规划股股长</w:t>
            </w:r>
          </w:p>
        </w:tc>
        <w:tc>
          <w:tcPr>
            <w:tcW w:w="2533" w:type="dxa"/>
          </w:tcPr>
          <w:p w14:paraId="714397C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中小学一级教师</w:t>
            </w:r>
          </w:p>
        </w:tc>
      </w:tr>
      <w:tr w14:paraId="46718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212B420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李海鹏</w:t>
            </w:r>
          </w:p>
        </w:tc>
        <w:tc>
          <w:tcPr>
            <w:tcW w:w="2040" w:type="dxa"/>
            <w:vAlign w:val="top"/>
          </w:tcPr>
          <w:p w14:paraId="45CE6D1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vAlign w:val="top"/>
          </w:tcPr>
          <w:p w14:paraId="37113B6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财务股股长</w:t>
            </w:r>
          </w:p>
        </w:tc>
        <w:tc>
          <w:tcPr>
            <w:tcW w:w="2533" w:type="dxa"/>
            <w:vAlign w:val="top"/>
          </w:tcPr>
          <w:p w14:paraId="44F3D20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中小学一级教师</w:t>
            </w:r>
          </w:p>
        </w:tc>
      </w:tr>
      <w:tr w14:paraId="6EB2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48CC3A6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尹丽荣</w:t>
            </w:r>
          </w:p>
        </w:tc>
        <w:tc>
          <w:tcPr>
            <w:tcW w:w="2040" w:type="dxa"/>
          </w:tcPr>
          <w:p w14:paraId="6A8489B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tcPr>
          <w:p w14:paraId="7309AD6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会计</w:t>
            </w:r>
          </w:p>
        </w:tc>
        <w:tc>
          <w:tcPr>
            <w:tcW w:w="2533" w:type="dxa"/>
          </w:tcPr>
          <w:p w14:paraId="08B38EA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中小学二级教师</w:t>
            </w:r>
          </w:p>
        </w:tc>
      </w:tr>
      <w:tr w14:paraId="297A0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7822CF2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王丽娜</w:t>
            </w:r>
          </w:p>
        </w:tc>
        <w:tc>
          <w:tcPr>
            <w:tcW w:w="2040" w:type="dxa"/>
            <w:vAlign w:val="top"/>
          </w:tcPr>
          <w:p w14:paraId="3046B3A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vAlign w:val="top"/>
          </w:tcPr>
          <w:p w14:paraId="2538B88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color w:val="auto"/>
                <w:kern w:val="2"/>
                <w:sz w:val="28"/>
                <w:szCs w:val="28"/>
                <w:highlight w:val="none"/>
                <w:vertAlign w:val="baseline"/>
                <w:lang w:val="en-US" w:eastAsia="zh-CN" w:bidi="ar-SA"/>
              </w:rPr>
            </w:pPr>
            <w:r>
              <w:rPr>
                <w:rFonts w:hint="eastAsia" w:ascii="方正仿宋简体" w:hAnsi="方正仿宋简体" w:eastAsia="方正仿宋简体" w:cs="方正仿宋简体"/>
                <w:color w:val="auto"/>
                <w:sz w:val="28"/>
                <w:szCs w:val="28"/>
                <w:highlight w:val="none"/>
                <w:vertAlign w:val="baseline"/>
                <w:lang w:val="en-US" w:eastAsia="zh-CN"/>
              </w:rPr>
              <w:t>会计</w:t>
            </w:r>
          </w:p>
        </w:tc>
        <w:tc>
          <w:tcPr>
            <w:tcW w:w="2533" w:type="dxa"/>
          </w:tcPr>
          <w:p w14:paraId="0FF2979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中小学一级教师</w:t>
            </w:r>
          </w:p>
        </w:tc>
      </w:tr>
      <w:tr w14:paraId="31448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1664F60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冀海花</w:t>
            </w:r>
          </w:p>
        </w:tc>
        <w:tc>
          <w:tcPr>
            <w:tcW w:w="2040" w:type="dxa"/>
          </w:tcPr>
          <w:p w14:paraId="6DC1270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井陉县教育局</w:t>
            </w:r>
          </w:p>
        </w:tc>
        <w:tc>
          <w:tcPr>
            <w:tcW w:w="2895" w:type="dxa"/>
          </w:tcPr>
          <w:p w14:paraId="5A9C370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lang w:val="en-US" w:eastAsia="zh-CN"/>
              </w:rPr>
            </w:pPr>
            <w:r>
              <w:rPr>
                <w:rFonts w:hint="eastAsia" w:ascii="方正仿宋简体" w:hAnsi="方正仿宋简体" w:eastAsia="方正仿宋简体" w:cs="方正仿宋简体"/>
                <w:color w:val="auto"/>
                <w:sz w:val="28"/>
                <w:szCs w:val="28"/>
                <w:highlight w:val="none"/>
                <w:vertAlign w:val="baseline"/>
                <w:lang w:val="en-US" w:eastAsia="zh-CN"/>
              </w:rPr>
              <w:t>出纳</w:t>
            </w:r>
          </w:p>
        </w:tc>
        <w:tc>
          <w:tcPr>
            <w:tcW w:w="2533" w:type="dxa"/>
          </w:tcPr>
          <w:p w14:paraId="21AC457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color w:val="auto"/>
                <w:sz w:val="28"/>
                <w:szCs w:val="28"/>
                <w:highlight w:val="none"/>
                <w:vertAlign w:val="baseline"/>
              </w:rPr>
            </w:pPr>
            <w:r>
              <w:rPr>
                <w:rFonts w:hint="eastAsia" w:ascii="方正仿宋简体" w:hAnsi="方正仿宋简体" w:eastAsia="方正仿宋简体" w:cs="方正仿宋简体"/>
                <w:color w:val="auto"/>
                <w:sz w:val="28"/>
                <w:szCs w:val="28"/>
                <w:highlight w:val="none"/>
                <w:vertAlign w:val="baseline"/>
                <w:lang w:val="en-US" w:eastAsia="zh-CN"/>
              </w:rPr>
              <w:t>中小学一级教师</w:t>
            </w:r>
          </w:p>
        </w:tc>
      </w:tr>
    </w:tbl>
    <w:p w14:paraId="32CBA79B">
      <w:pPr>
        <w:spacing w:line="560" w:lineRule="exact"/>
        <w:rPr>
          <w:rFonts w:ascii="仿宋" w:hAnsi="仿宋" w:eastAsia="仿宋"/>
          <w:color w:val="auto"/>
          <w:highlight w:val="none"/>
        </w:rPr>
      </w:pPr>
    </w:p>
    <w:p w14:paraId="16C9AED0">
      <w:pPr>
        <w:pStyle w:val="4"/>
        <w:keepNext w:val="0"/>
        <w:keepLines w:val="0"/>
        <w:pageBreakBefore w:val="0"/>
        <w:widowControl w:val="0"/>
        <w:numPr>
          <w:ilvl w:val="0"/>
          <w:numId w:val="0"/>
        </w:numPr>
        <w:kinsoku/>
        <w:wordWrap/>
        <w:overflowPunct/>
        <w:topLinePunct w:val="0"/>
        <w:autoSpaceDE/>
        <w:autoSpaceDN/>
        <w:bidi w:val="0"/>
        <w:adjustRightInd/>
        <w:snapToGrid/>
        <w:spacing w:after="0" w:line="560" w:lineRule="exact"/>
        <w:textAlignment w:val="auto"/>
        <w:rPr>
          <w:rFonts w:hint="eastAsia" w:ascii="方正仿宋简体" w:hAnsi="方正仿宋简体" w:eastAsia="方正仿宋简体" w:cs="方正仿宋简体"/>
          <w:color w:val="auto"/>
          <w:kern w:val="2"/>
          <w:sz w:val="32"/>
          <w:szCs w:val="32"/>
          <w:highlight w:val="none"/>
          <w:lang w:val="en-US" w:eastAsia="zh-CN" w:bidi="ar-SA"/>
        </w:rPr>
      </w:pPr>
    </w:p>
    <w:p w14:paraId="07783CD4">
      <w:pPr>
        <w:pStyle w:val="4"/>
        <w:keepNext w:val="0"/>
        <w:keepLines w:val="0"/>
        <w:pageBreakBefore w:val="0"/>
        <w:widowControl w:val="0"/>
        <w:numPr>
          <w:ilvl w:val="0"/>
          <w:numId w:val="0"/>
        </w:numPr>
        <w:kinsoku/>
        <w:wordWrap/>
        <w:overflowPunct/>
        <w:topLinePunct w:val="0"/>
        <w:autoSpaceDE/>
        <w:autoSpaceDN/>
        <w:bidi w:val="0"/>
        <w:adjustRightInd/>
        <w:snapToGrid/>
        <w:spacing w:after="0" w:line="560" w:lineRule="exact"/>
        <w:jc w:val="right"/>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 xml:space="preserve">                                                         井陉县教育局                                                          2026年4月27日</w:t>
      </w:r>
    </w:p>
    <w:p w14:paraId="7B55D0F0">
      <w:pPr>
        <w:spacing w:line="560" w:lineRule="exact"/>
        <w:rPr>
          <w:rFonts w:ascii="仿宋" w:hAnsi="仿宋" w:eastAsia="仿宋"/>
          <w:color w:val="auto"/>
          <w:highlight w:val="none"/>
        </w:rPr>
      </w:pPr>
      <w:bookmarkStart w:id="2" w:name="_GoBack"/>
      <w:bookmarkEnd w:id="2"/>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简体">
    <w:panose1 w:val="02010601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方正楷体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A476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E3D1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7E3D1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3CA17F"/>
    <w:multiLevelType w:val="singleLevel"/>
    <w:tmpl w:val="933CA17F"/>
    <w:lvl w:ilvl="0" w:tentative="0">
      <w:start w:val="2"/>
      <w:numFmt w:val="chineseCounting"/>
      <w:suff w:val="nothing"/>
      <w:lvlText w:val="（%1）"/>
      <w:lvlJc w:val="left"/>
      <w:rPr>
        <w:rFonts w:hint="eastAsia"/>
      </w:rPr>
    </w:lvl>
  </w:abstractNum>
  <w:abstractNum w:abstractNumId="1">
    <w:nsid w:val="B8D261DD"/>
    <w:multiLevelType w:val="singleLevel"/>
    <w:tmpl w:val="B8D261DD"/>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4C177D"/>
    <w:rsid w:val="01B104CA"/>
    <w:rsid w:val="02106AB0"/>
    <w:rsid w:val="02B43A28"/>
    <w:rsid w:val="046F331E"/>
    <w:rsid w:val="07956271"/>
    <w:rsid w:val="09721397"/>
    <w:rsid w:val="0BB63BED"/>
    <w:rsid w:val="0EB97A43"/>
    <w:rsid w:val="0EBD2122"/>
    <w:rsid w:val="0F214EAE"/>
    <w:rsid w:val="11B71E6A"/>
    <w:rsid w:val="131B4645"/>
    <w:rsid w:val="144B521C"/>
    <w:rsid w:val="192F3F45"/>
    <w:rsid w:val="1AAF0063"/>
    <w:rsid w:val="1BE140DE"/>
    <w:rsid w:val="1C726FD2"/>
    <w:rsid w:val="1EE20114"/>
    <w:rsid w:val="248C197D"/>
    <w:rsid w:val="252959AF"/>
    <w:rsid w:val="277A6671"/>
    <w:rsid w:val="292D35B7"/>
    <w:rsid w:val="2D444BF9"/>
    <w:rsid w:val="31151E97"/>
    <w:rsid w:val="33EB6CFF"/>
    <w:rsid w:val="35A12947"/>
    <w:rsid w:val="37387040"/>
    <w:rsid w:val="37533F49"/>
    <w:rsid w:val="39986745"/>
    <w:rsid w:val="3B0548E0"/>
    <w:rsid w:val="3B625C0A"/>
    <w:rsid w:val="3CEE1963"/>
    <w:rsid w:val="436B78D3"/>
    <w:rsid w:val="438D102F"/>
    <w:rsid w:val="479F062A"/>
    <w:rsid w:val="48B60C1B"/>
    <w:rsid w:val="496F29A9"/>
    <w:rsid w:val="4C9C27FE"/>
    <w:rsid w:val="4D140CDA"/>
    <w:rsid w:val="509B19DB"/>
    <w:rsid w:val="512260B4"/>
    <w:rsid w:val="52BD6ACB"/>
    <w:rsid w:val="54BD0AD4"/>
    <w:rsid w:val="55022D9A"/>
    <w:rsid w:val="55537534"/>
    <w:rsid w:val="561A74F1"/>
    <w:rsid w:val="582C7CB7"/>
    <w:rsid w:val="597244E8"/>
    <w:rsid w:val="5CF60894"/>
    <w:rsid w:val="5D3129C7"/>
    <w:rsid w:val="5EB71C30"/>
    <w:rsid w:val="5F575B54"/>
    <w:rsid w:val="6078165F"/>
    <w:rsid w:val="62854B94"/>
    <w:rsid w:val="66AF0CE5"/>
    <w:rsid w:val="6AA27932"/>
    <w:rsid w:val="6AC537CF"/>
    <w:rsid w:val="6E5B14A6"/>
    <w:rsid w:val="6F834209"/>
    <w:rsid w:val="711466EA"/>
    <w:rsid w:val="711B255E"/>
    <w:rsid w:val="716A4DB0"/>
    <w:rsid w:val="75152C28"/>
    <w:rsid w:val="77810564"/>
    <w:rsid w:val="788039DC"/>
    <w:rsid w:val="79BC0FAD"/>
    <w:rsid w:val="7B544DE1"/>
    <w:rsid w:val="7BB51E06"/>
    <w:rsid w:val="7C387F7C"/>
    <w:rsid w:val="7FAB4125"/>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keepNext w:val="0"/>
      <w:keepLines w:val="0"/>
      <w:spacing w:beforeLines="0" w:beforeAutospacing="0" w:afterLines="0" w:afterAutospacing="0" w:line="600" w:lineRule="exact"/>
      <w:outlineLvl w:val="1"/>
    </w:pPr>
    <w:rPr>
      <w:rFonts w:ascii="方正黑体简体" w:hAnsi="方正黑体简体" w:eastAsia="方正黑体简体" w:cs="方正黑体简体"/>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w:basedOn w:val="1"/>
    <w:next w:val="1"/>
    <w:unhideWhenUsed/>
    <w:qFormat/>
    <w:uiPriority w:val="99"/>
    <w:pPr>
      <w:spacing w:after="120" w:afterLines="0" w:afterAutospacing="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3761</Words>
  <Characters>4148</Characters>
  <Lines>4</Lines>
  <Paragraphs>1</Paragraphs>
  <TotalTime>196</TotalTime>
  <ScaleCrop>false</ScaleCrop>
  <LinksUpToDate>false</LinksUpToDate>
  <CharactersWithSpaces>4165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wps123</cp:lastModifiedBy>
  <cp:lastPrinted>2024-03-06T07:40:00Z</cp:lastPrinted>
  <dcterms:modified xsi:type="dcterms:W3CDTF">2026-04-27T06:03:55Z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eyJoZGlkIjoiMGNiZTc1ZmM1ZGFiMDUyNzg5MGQ0YjY2MDViZjkxMjciLCJ1c2VySWQiOiIxNjYxNzczNzE1In0=</vt:lpwstr>
  </property>
</Properties>
</file>