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D214C">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438DBA7">
      <w:pPr>
        <w:spacing w:line="560" w:lineRule="exact"/>
        <w:jc w:val="center"/>
        <w:rPr>
          <w:rFonts w:ascii="宋体" w:hAnsi="宋体" w:cs="宋体"/>
          <w:b/>
          <w:bCs/>
          <w:sz w:val="44"/>
          <w:szCs w:val="44"/>
        </w:rPr>
      </w:pPr>
    </w:p>
    <w:p w14:paraId="6756F520">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井陉县科学技术协会</w:t>
      </w:r>
    </w:p>
    <w:p w14:paraId="4C6EDAA2">
      <w:pPr>
        <w:spacing w:line="560" w:lineRule="exact"/>
        <w:jc w:val="center"/>
        <w:rPr>
          <w:rFonts w:ascii="华文楷体" w:eastAsia="华文楷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097A5BD">
      <w:pPr>
        <w:ind w:firstLine="640" w:firstLineChars="200"/>
      </w:pPr>
      <w:r>
        <w:rPr>
          <w:rFonts w:hint="eastAsia" w:ascii="黑体" w:hAnsi="黑体" w:eastAsia="黑体"/>
          <w:sz w:val="32"/>
          <w:szCs w:val="32"/>
        </w:rPr>
        <w:t xml:space="preserve">    </w:t>
      </w:r>
    </w:p>
    <w:p w14:paraId="378974F7">
      <w:pPr>
        <w:spacing w:line="560" w:lineRule="exact"/>
        <w:ind w:firstLine="800" w:firstLineChars="250"/>
        <w:rPr>
          <w:rFonts w:ascii="仿宋" w:hAnsi="仿宋" w:eastAsia="仿宋"/>
          <w:sz w:val="32"/>
          <w:szCs w:val="32"/>
        </w:rPr>
      </w:pPr>
      <w:r>
        <w:rPr>
          <w:rFonts w:hint="eastAsia" w:ascii="黑体" w:hAnsi="黑体" w:eastAsia="黑体"/>
          <w:sz w:val="32"/>
          <w:szCs w:val="32"/>
        </w:rPr>
        <w:t xml:space="preserve">  </w:t>
      </w:r>
    </w:p>
    <w:p w14:paraId="1B45C76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井陉县科学技术协会</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766312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EC4851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567AE0A">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Times New Roman" w:hAnsi="Times New Roman" w:eastAsia="仿宋" w:cs="Times New Roman"/>
          <w:sz w:val="32"/>
          <w:szCs w:val="32"/>
        </w:rPr>
      </w:pPr>
      <w:r>
        <w:rPr>
          <w:rFonts w:hint="eastAsia" w:ascii="仿宋" w:hAnsi="仿宋" w:eastAsia="仿宋"/>
          <w:b/>
          <w:bCs/>
          <w:sz w:val="32"/>
          <w:szCs w:val="32"/>
          <w:lang w:val="en-US" w:eastAsia="zh-CN"/>
        </w:rPr>
        <w:t>1、</w:t>
      </w:r>
      <w:r>
        <w:rPr>
          <w:rFonts w:hint="eastAsia" w:ascii="仿宋" w:hAnsi="仿宋" w:eastAsia="仿宋"/>
          <w:b/>
          <w:bCs/>
          <w:sz w:val="32"/>
          <w:szCs w:val="32"/>
          <w:lang w:eastAsia="zh-CN"/>
        </w:rPr>
        <w:t>部门职能</w:t>
      </w:r>
      <w:r>
        <w:rPr>
          <w:rFonts w:hint="eastAsia" w:ascii="Times New Roman" w:hAnsi="Times New Roman" w:eastAsia="仿宋" w:cs="Times New Roman"/>
          <w:sz w:val="32"/>
          <w:szCs w:val="32"/>
        </w:rPr>
        <w:t>：贯彻实施科教兴国战略、人才强国战略、创新驱动发展战略，把自觉接受党的领导、团结服务科技工作者、依法依章程开展工作有机统一起来，面向社会提供科技类公共服务产品，服务国家治理体系和治理能力现代化，充分发挥县级学会和县科协的积极作用，践行党的群众路线，健全联系广泛、服务群众的工作体系，全心全意为科技工作者办实事。</w:t>
      </w:r>
    </w:p>
    <w:p w14:paraId="00145B50">
      <w:pPr>
        <w:adjustRightInd w:val="0"/>
        <w:snapToGrid w:val="0"/>
        <w:spacing w:line="560" w:lineRule="exact"/>
        <w:ind w:firstLine="643" w:firstLineChars="200"/>
        <w:rPr>
          <w:rFonts w:hint="default" w:ascii="仿宋" w:hAnsi="仿宋" w:eastAsia="仿宋"/>
          <w:sz w:val="32"/>
          <w:szCs w:val="32"/>
          <w:lang w:val="en-US" w:eastAsia="zh-CN"/>
        </w:rPr>
      </w:pPr>
      <w:r>
        <w:rPr>
          <w:rFonts w:hint="eastAsia" w:ascii="仿宋" w:hAnsi="仿宋" w:eastAsia="仿宋"/>
          <w:b/>
          <w:bCs/>
          <w:sz w:val="32"/>
          <w:szCs w:val="32"/>
          <w:lang w:val="en-US" w:eastAsia="zh-CN"/>
        </w:rPr>
        <w:t>2、</w:t>
      </w:r>
      <w:r>
        <w:rPr>
          <w:rFonts w:hint="eastAsia" w:ascii="仿宋" w:hAnsi="仿宋" w:eastAsia="仿宋"/>
          <w:b/>
          <w:bCs/>
          <w:sz w:val="32"/>
          <w:szCs w:val="32"/>
          <w:lang w:eastAsia="zh-CN"/>
        </w:rPr>
        <w:t>组织机构及</w:t>
      </w:r>
      <w:r>
        <w:rPr>
          <w:rFonts w:hint="eastAsia" w:ascii="仿宋" w:hAnsi="仿宋" w:eastAsia="仿宋"/>
          <w:b/>
          <w:bCs/>
          <w:color w:val="auto"/>
          <w:sz w:val="32"/>
          <w:szCs w:val="32"/>
          <w:lang w:eastAsia="zh-CN"/>
        </w:rPr>
        <w:t>人员</w:t>
      </w:r>
      <w:r>
        <w:rPr>
          <w:rFonts w:hint="eastAsia" w:ascii="仿宋" w:hAnsi="仿宋" w:eastAsia="仿宋"/>
          <w:sz w:val="32"/>
          <w:szCs w:val="32"/>
          <w:lang w:eastAsia="zh-CN"/>
        </w:rPr>
        <w:t>：井陉县科学技术协会是财政拨款的正科级行政机关，编制</w:t>
      </w:r>
      <w:r>
        <w:rPr>
          <w:rFonts w:hint="eastAsia" w:ascii="仿宋" w:hAnsi="仿宋" w:eastAsia="仿宋"/>
          <w:sz w:val="32"/>
          <w:szCs w:val="32"/>
          <w:lang w:val="en-US" w:eastAsia="zh-CN"/>
        </w:rPr>
        <w:t>5人，实际在职人数5人；下属井陉县科技馆是财政拨款的公益一类股级单位，编制4人，实际在职人数4人，未独立核算。</w:t>
      </w:r>
    </w:p>
    <w:p w14:paraId="0D7BE5B6">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sz w:val="32"/>
          <w:szCs w:val="32"/>
          <w:lang w:eastAsia="zh-CN"/>
        </w:rPr>
      </w:pPr>
      <w:r>
        <w:rPr>
          <w:rFonts w:hint="eastAsia" w:ascii="仿宋" w:hAnsi="仿宋" w:eastAsia="仿宋"/>
          <w:b/>
          <w:bCs/>
          <w:sz w:val="32"/>
          <w:szCs w:val="32"/>
          <w:lang w:eastAsia="zh-CN"/>
        </w:rPr>
        <w:t>资产情况</w:t>
      </w:r>
      <w:r>
        <w:rPr>
          <w:rFonts w:hint="eastAsia" w:ascii="仿宋" w:hAnsi="仿宋" w:eastAsia="仿宋"/>
          <w:sz w:val="32"/>
          <w:szCs w:val="32"/>
          <w:lang w:eastAsia="zh-CN"/>
        </w:rPr>
        <w:t>：</w:t>
      </w:r>
    </w:p>
    <w:p w14:paraId="2ED3A879">
      <w:pPr>
        <w:pStyle w:val="4"/>
        <w:ind w:firstLine="640" w:firstLineChars="200"/>
        <w:rPr>
          <w:rFonts w:hint="default"/>
          <w:lang w:val="en-US" w:eastAsia="zh-CN"/>
        </w:rPr>
      </w:pPr>
      <w:r>
        <w:rPr>
          <w:rFonts w:hint="eastAsia" w:ascii="仿宋" w:hAnsi="仿宋" w:eastAsia="仿宋" w:cs="仿宋"/>
          <w:sz w:val="32"/>
          <w:szCs w:val="32"/>
        </w:rPr>
        <w:t>截至20</w:t>
      </w:r>
      <w:r>
        <w:rPr>
          <w:rFonts w:hint="eastAsia" w:ascii="仿宋" w:hAnsi="仿宋" w:eastAsia="仿宋" w:cs="仿宋"/>
          <w:sz w:val="32"/>
          <w:szCs w:val="32"/>
          <w:lang w:val="en-US" w:eastAsia="zh-CN"/>
        </w:rPr>
        <w:t>25</w:t>
      </w:r>
      <w:r>
        <w:rPr>
          <w:rFonts w:hint="eastAsia" w:ascii="仿宋" w:hAnsi="仿宋" w:eastAsia="仿宋" w:cs="仿宋"/>
          <w:sz w:val="32"/>
          <w:szCs w:val="32"/>
        </w:rPr>
        <w:t>年12月31日，</w:t>
      </w:r>
      <w:r>
        <w:rPr>
          <w:rFonts w:hint="eastAsia" w:ascii="仿宋" w:hAnsi="仿宋" w:eastAsia="仿宋"/>
          <w:sz w:val="32"/>
          <w:szCs w:val="32"/>
          <w:lang w:eastAsia="zh-CN"/>
        </w:rPr>
        <w:t>井陉县科学技术协会</w:t>
      </w:r>
      <w:r>
        <w:rPr>
          <w:rFonts w:hint="eastAsia" w:ascii="仿宋" w:hAnsi="仿宋" w:eastAsia="仿宋" w:cs="仿宋"/>
          <w:sz w:val="32"/>
          <w:szCs w:val="32"/>
        </w:rPr>
        <w:t>资产总额（账面净值）</w:t>
      </w:r>
      <w:r>
        <w:rPr>
          <w:rFonts w:hint="eastAsia" w:ascii="仿宋" w:hAnsi="仿宋" w:eastAsia="仿宋" w:cs="仿宋"/>
          <w:sz w:val="32"/>
          <w:szCs w:val="32"/>
          <w:lang w:val="en-US" w:eastAsia="zh-CN"/>
        </w:rPr>
        <w:t>24.36</w:t>
      </w:r>
      <w:r>
        <w:rPr>
          <w:rFonts w:hint="eastAsia" w:ascii="仿宋" w:hAnsi="仿宋" w:eastAsia="仿宋" w:cs="仿宋"/>
          <w:sz w:val="32"/>
          <w:szCs w:val="32"/>
        </w:rPr>
        <w:t>万元，净资产</w:t>
      </w:r>
      <w:r>
        <w:rPr>
          <w:rFonts w:hint="eastAsia" w:ascii="仿宋" w:hAnsi="仿宋" w:eastAsia="仿宋" w:cs="仿宋"/>
          <w:sz w:val="32"/>
          <w:szCs w:val="32"/>
          <w:lang w:val="en-US" w:eastAsia="zh-CN"/>
        </w:rPr>
        <w:t>24.36</w:t>
      </w:r>
      <w:r>
        <w:rPr>
          <w:rFonts w:hint="eastAsia" w:ascii="仿宋" w:hAnsi="仿宋" w:eastAsia="仿宋" w:cs="仿宋"/>
          <w:sz w:val="32"/>
          <w:szCs w:val="32"/>
        </w:rPr>
        <w:t>万元。</w:t>
      </w:r>
      <w:r>
        <w:rPr>
          <w:rFonts w:hint="eastAsia" w:ascii="仿宋" w:hAnsi="仿宋" w:eastAsia="仿宋" w:cs="仿宋"/>
          <w:sz w:val="32"/>
          <w:szCs w:val="32"/>
          <w:lang w:eastAsia="zh-CN"/>
        </w:rPr>
        <w:t>其中，银行存款</w:t>
      </w:r>
      <w:r>
        <w:rPr>
          <w:rFonts w:hint="eastAsia" w:ascii="仿宋" w:hAnsi="仿宋" w:eastAsia="仿宋" w:cs="仿宋"/>
          <w:sz w:val="32"/>
          <w:szCs w:val="32"/>
          <w:lang w:val="en-US" w:eastAsia="zh-CN"/>
        </w:rPr>
        <w:t>16.12万元，是中科协“惠民兴县”科技志愿服务项目资助资金（执行期限2025年6月至2026年6月）未完成部分，</w:t>
      </w:r>
      <w:r>
        <w:rPr>
          <w:rFonts w:hint="eastAsia" w:ascii="仿宋" w:hAnsi="仿宋" w:eastAsia="仿宋" w:cs="仿宋"/>
          <w:sz w:val="32"/>
          <w:szCs w:val="32"/>
        </w:rPr>
        <w:t>固定资产</w:t>
      </w:r>
      <w:r>
        <w:rPr>
          <w:rFonts w:hint="eastAsia" w:ascii="仿宋" w:hAnsi="仿宋" w:eastAsia="仿宋" w:cs="仿宋"/>
          <w:sz w:val="32"/>
          <w:szCs w:val="32"/>
          <w:lang w:eastAsia="zh-CN"/>
        </w:rPr>
        <w:t>原值</w:t>
      </w:r>
      <w:r>
        <w:rPr>
          <w:rFonts w:hint="eastAsia" w:ascii="仿宋" w:hAnsi="仿宋" w:eastAsia="仿宋" w:cs="仿宋"/>
          <w:sz w:val="32"/>
          <w:szCs w:val="32"/>
          <w:lang w:val="en-US" w:eastAsia="zh-CN"/>
        </w:rPr>
        <w:t>16.80</w:t>
      </w:r>
      <w:r>
        <w:rPr>
          <w:rFonts w:hint="eastAsia" w:ascii="仿宋" w:hAnsi="仿宋" w:eastAsia="仿宋" w:cs="仿宋"/>
          <w:sz w:val="32"/>
          <w:szCs w:val="32"/>
        </w:rPr>
        <w:t>万元</w:t>
      </w:r>
      <w:r>
        <w:rPr>
          <w:rFonts w:hint="eastAsia" w:ascii="仿宋" w:hAnsi="仿宋" w:eastAsia="仿宋" w:cs="仿宋"/>
          <w:sz w:val="32"/>
          <w:szCs w:val="32"/>
          <w:lang w:eastAsia="zh-CN"/>
        </w:rPr>
        <w:t>，固定资产净值</w:t>
      </w:r>
      <w:r>
        <w:rPr>
          <w:rFonts w:hint="eastAsia" w:ascii="仿宋" w:hAnsi="仿宋" w:eastAsia="仿宋" w:cs="仿宋"/>
          <w:sz w:val="32"/>
          <w:szCs w:val="32"/>
          <w:lang w:val="en-US" w:eastAsia="zh-CN"/>
        </w:rPr>
        <w:t>8.10万元，无形资产0.17万元，无形资产净值0.14万元。</w:t>
      </w:r>
    </w:p>
    <w:p w14:paraId="49891BB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69215E99">
      <w:pPr>
        <w:pStyle w:val="4"/>
        <w:numPr>
          <w:ilvl w:val="0"/>
          <w:numId w:val="0"/>
        </w:numPr>
        <w:ind w:firstLine="640" w:firstLineChars="200"/>
      </w:pPr>
      <w:r>
        <w:rPr>
          <w:rFonts w:hint="eastAsia" w:ascii="仿宋" w:hAnsi="仿宋" w:eastAsia="仿宋" w:cs="仿宋"/>
          <w:kern w:val="2"/>
          <w:sz w:val="32"/>
          <w:szCs w:val="32"/>
          <w:lang w:val="en-US" w:eastAsia="zh-CN" w:bidi="ar-SA"/>
        </w:rPr>
        <w:t>2025年度科协部门年初预算收入286.96万元，其中：一般公共预算收入286.96万元，基金预算收入0万元，财政专户核拨收入0万元，其他来源收入0万元。2025年部门支出预算为286.96万元，其中基本支出144.96万元，包括人员经费134.65万元和日常公用经费10.31万元，项目支出142.00万元，其他支出0万元；2025年井陉县科协部门总收入324.01万元，其中：一般公共预算财政拨款297.22万元，其他收入26.79万元。2025年部门总支出327.38万元，其中基本支出146.72万元，包括人员经费136.78万元和日常公用经费9.94万元；项目支出180.66万元，其中：基本支出较预算增加1.76万元，主要是本年度人员工资正常调整；项目经费较预算增加38.66万元，主要是增加科技馆免费开放补助资金和“惠民兴县”基层科技志愿服务试点项目资金。</w:t>
      </w:r>
    </w:p>
    <w:p w14:paraId="6F2A169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5B11A34">
      <w:p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1、组织一次科技专家咨询服务活动。结合工作职能和百姓实际需求，通过设立展牌、专家解答、发放宣传资料等方式，为广大百姓送上科技信息。</w:t>
      </w:r>
    </w:p>
    <w:p w14:paraId="4200FF8C">
      <w:p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2、科技赶大集活动。积极深入基层，为百姓送去科技知识和书籍，不断提高群众的科学文化素质。</w:t>
      </w:r>
    </w:p>
    <w:p w14:paraId="648126FE">
      <w:p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三下乡活动开展科普宣传。积极参与井陉县组织的“文化、科技、卫生”三下乡活动，活动现场，我们结合工作职能和群众实际需要，设立展牌、发放宣传资料等方式，为群众送上政策、技术和生活科普知识。</w:t>
      </w:r>
    </w:p>
    <w:p w14:paraId="3D12077D">
      <w:p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4、科普日主题科普活动。科协联合各成员单位，在井陉县科技馆、学校、全民健身广场等地设立科普宣传点，集中开展科普宣传活动，进一步倡导科学健康的生活方式和行为，提高全民科学素质。</w:t>
      </w:r>
    </w:p>
    <w:p w14:paraId="20DA5636">
      <w:pPr>
        <w:adjustRightInd w:val="0"/>
        <w:snapToGrid w:val="0"/>
        <w:spacing w:line="56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5、加强农业科技培训基地建设。进一步加强我县农村基层科普组织队伍建设，提升农村科技服务水平和能力，积极搭建平台，发挥农业龙头企业科技示范带动作用。</w:t>
      </w:r>
    </w:p>
    <w:p w14:paraId="0608A24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904737">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D12FBD1">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lang w:val="en-US" w:eastAsia="zh-CN"/>
        </w:rPr>
        <w:t>成立了以党组书记为组长、办公室主任为副组长的绩效评价工作领导小组，具体负责组织和指导井陉县科协绩效自评工作。</w:t>
      </w:r>
    </w:p>
    <w:p w14:paraId="3EA29C51">
      <w:pPr>
        <w:numPr>
          <w:ilvl w:val="0"/>
          <w:numId w:val="0"/>
        </w:numPr>
        <w:spacing w:line="560" w:lineRule="exact"/>
        <w:ind w:left="642" w:leftChars="0"/>
        <w:rPr>
          <w:rFonts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14:paraId="6870D37F">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绩效自评工作实施过程。认真学习了县财政局关于专项资金绩效评价的文件精神，明确自评的目的、内容、方法和要求。通过座谈、收集资料，对我单位预算执行及财政财务收支等情况进行调查了解，自评小组针对申报内容、实施情况、财务管理、社会效益等做出自我评价，运用定量分析和定性分析相结合的方法做好自评工作。</w:t>
      </w:r>
    </w:p>
    <w:p w14:paraId="21D0D4D7">
      <w:pPr>
        <w:ind w:firstLine="640" w:firstLineChars="200"/>
      </w:pPr>
      <w:r>
        <w:rPr>
          <w:rFonts w:hint="eastAsia" w:ascii="仿宋" w:hAnsi="仿宋" w:eastAsia="仿宋" w:cs="仿宋"/>
          <w:sz w:val="32"/>
          <w:szCs w:val="32"/>
          <w:lang w:val="en-US" w:eastAsia="zh-CN"/>
        </w:rPr>
        <w:t>2、评价资料收集。查阅了2025年形成的文件资料，包括：工作计划，工作实施方案，工作总结，向上级呈报有关项目的请示、申请、报告和上级有关项目的指示、通知和批复文件；会议记录、会议纪要、财务报表等，为绩效评价提供了充分的评价依据。</w:t>
      </w:r>
    </w:p>
    <w:p w14:paraId="0A51BF7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237BF69">
      <w:pPr>
        <w:numPr>
          <w:ilvl w:val="0"/>
          <w:numId w:val="0"/>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lang w:eastAsia="zh-CN"/>
        </w:rPr>
        <w:t>（一）</w:t>
      </w:r>
      <w:r>
        <w:rPr>
          <w:rFonts w:hint="eastAsia" w:ascii="楷体" w:hAnsi="楷体" w:eastAsia="楷体" w:cs="楷体_GB2312"/>
          <w:bCs/>
          <w:sz w:val="32"/>
          <w:szCs w:val="32"/>
        </w:rPr>
        <w:t>总体绩效目标实现情况</w:t>
      </w:r>
    </w:p>
    <w:p w14:paraId="57246058">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 年，井陉县科协在县委、县政府正确领导和上级科协精心指导下，凝心聚力、履职尽责，各项科普与科技服务工作高质量落地见效。</w:t>
      </w:r>
    </w:p>
    <w:p w14:paraId="5C19042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一是创优争先成果丰硕。2025 年 6 月，我县连续三年被中科协确定为 “惠民兴县” 科技志愿服务试点县；井陉县生态农业研发协会成功获批 “河北井陉苹果科技小院”；《科普助推 “双减” 机器人科普进校园》项目纳入河北省 2026 年度第一批全民科学素质提升行动重点项目。</w:t>
      </w:r>
    </w:p>
    <w:p w14:paraId="53B27B8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二是志愿科普成效突出。健全多层次、全覆盖科技志愿服务体系，组建 15 支科技志愿服务队伍，打造科普赶大集、科技助农、人工智能科普进校园等特色服务品牌。全年累计开展科普讲座、科普展览、科技下乡、科普文艺展演等志愿服务活动 80 余场次，惠及群众 2 万余人次，国家、省、市各级学会先后到我县开展对口帮扶。</w:t>
      </w:r>
    </w:p>
    <w:p w14:paraId="34DD54F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三是全域科普纵深推进。全年累计开展各类专题科普活动 80 余场，覆盖群众 6 万余人次；创编科技文艺节目 20 余个，“科普赶大集” 成为基层科普服务特色品牌。2025 年全国科普月期间，组织开展特色科普活动 34 场，受益群众超 2 万人次，中药材科普、科普月主场启动仪式等特色活动被省市科协推荐至中国科协参评全国优秀科普活动。</w:t>
      </w:r>
    </w:p>
    <w:p w14:paraId="1BAF9EE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四是科普阵地提质增效。县科技馆充分发挥科普主阵地作用，全年累计开放 312 天，接待研学团队、参观团体 58 批次，累计接待观众 7 万余人次；常态化开展无人机科普、人工智能体验等活动 100 余场次，其中无人机专项科普活动 45 场，助力县域低空产业科普发展。先后成功承办石家庄市青少年机器人竞赛、世界机器人大赛河北省级选拔赛，两千余名省内外选手参赛。持续开展人工智能、编程科普、机器人体验等 “双减” 进校园活动，有效激发青少年科学探究与创新意识，相关工作获得省市科协充分肯定。</w:t>
      </w:r>
    </w:p>
    <w:p w14:paraId="245C0A1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49BFE3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1、科学技术普及绩效目标：</w:t>
      </w:r>
    </w:p>
    <w:p w14:paraId="72E2CD4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数量指标：全年累计开展各类科普活动共计200余场次，组建15支科技志愿服务队伍，科技馆接待观众7万余人次，目标完成率100%。</w:t>
      </w:r>
    </w:p>
    <w:p w14:paraId="44AA02B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质量指标：严格对标年度工作任务，保质保量完成全部科普工作目标，工作质量达标率100%；</w:t>
      </w:r>
    </w:p>
    <w:p w14:paraId="4400FA2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时效指标：各项工作全部按期完成，时效完成率100%；</w:t>
      </w:r>
    </w:p>
    <w:p w14:paraId="0975C46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成本指标：严格遵照年度预算管控经费使用，厉行节约，经费支出合规合理，成本控制完成率 100%。</w:t>
      </w:r>
    </w:p>
    <w:p w14:paraId="11401CC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2、政务管理绩效目标：</w:t>
      </w:r>
    </w:p>
    <w:p w14:paraId="706F55F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数量指标：圆满完成各项日常工作，人员工资足额发放，工作任务完成率</w:t>
      </w:r>
      <w:r>
        <w:rPr>
          <w:rFonts w:hint="eastAsia" w:ascii="仿宋" w:hAnsi="仿宋" w:eastAsia="仿宋" w:cs="仿宋"/>
          <w:sz w:val="32"/>
          <w:szCs w:val="32"/>
          <w:lang w:val="en-US" w:eastAsia="zh-CN"/>
        </w:rPr>
        <w:t>100%。</w:t>
      </w:r>
    </w:p>
    <w:p w14:paraId="71D23078">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质量指标：足额发放工资，机关工作正常运转，各项活动正常开展，管理工作质量达标率 100%。</w:t>
      </w:r>
    </w:p>
    <w:p w14:paraId="3D7F658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时效指标：按时发放工资，各项工作在全部按期完成，时效完成率100%；</w:t>
      </w:r>
      <w:bookmarkStart w:id="0" w:name="_GoBack"/>
      <w:bookmarkEnd w:id="0"/>
    </w:p>
    <w:p w14:paraId="290C6D5F">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成本指标：严格执行预算管理制度，公用经费及基本支出规范管控，预算执行合规率 100%。</w:t>
      </w:r>
    </w:p>
    <w:p w14:paraId="42E55336">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15F371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井陉县科学技术协会认真履行职责职能，严格按照财务规定和制度使用、管理经费，成效明显。积极开展科普活动、促进学会能力提升，推动学术交流合作，服务技术创新；充分发挥职能作用，较好完成各项工作任务，实现了预期目标，按“财政支出绩效评价指标体系”进行综合评价，综合得分98分，评价等次为“优”。</w:t>
      </w:r>
    </w:p>
    <w:p w14:paraId="1E7497C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1933AA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CFA225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预算执行进度不均衡，部分项目经费拨付滞后，科普活动形式单一，服务覆盖面有待提高。</w:t>
      </w:r>
    </w:p>
    <w:p w14:paraId="7757CF0A">
      <w:pPr>
        <w:numPr>
          <w:numId w:val="0"/>
        </w:numPr>
        <w:spacing w:line="560" w:lineRule="exact"/>
        <w:ind w:left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6A61986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加强预算执行动态管控，加快资金拨付进度，创新科普方式，开展科普巡展，加强科普阵地建设，扩大服务覆盖面。</w:t>
      </w:r>
    </w:p>
    <w:p w14:paraId="27BCF738">
      <w:pPr>
        <w:numPr>
          <w:ilvl w:val="0"/>
          <w:numId w:val="2"/>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2FB1D653">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刘彦明  井陉县科协主席、党组书记、一级主任科员</w:t>
      </w:r>
    </w:p>
    <w:p w14:paraId="7B90CA9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梁  珺  井陉县科协副主席、党组成员、乡科级正职</w:t>
      </w:r>
    </w:p>
    <w:p w14:paraId="700BFDB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A60BF">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91A4E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91A4E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F985EA"/>
    <w:multiLevelType w:val="singleLevel"/>
    <w:tmpl w:val="36F985EA"/>
    <w:lvl w:ilvl="0" w:tentative="0">
      <w:start w:val="6"/>
      <w:numFmt w:val="chineseCounting"/>
      <w:suff w:val="nothing"/>
      <w:lvlText w:val="%1、"/>
      <w:lvlJc w:val="left"/>
      <w:rPr>
        <w:rFonts w:hint="eastAsia"/>
      </w:rPr>
    </w:lvl>
  </w:abstractNum>
  <w:abstractNum w:abstractNumId="1">
    <w:nsid w:val="7CD825C5"/>
    <w:multiLevelType w:val="singleLevel"/>
    <w:tmpl w:val="7CD825C5"/>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895526"/>
    <w:rsid w:val="01B104CA"/>
    <w:rsid w:val="02106AB0"/>
    <w:rsid w:val="02B43A28"/>
    <w:rsid w:val="046F331E"/>
    <w:rsid w:val="07956271"/>
    <w:rsid w:val="09331E83"/>
    <w:rsid w:val="09721397"/>
    <w:rsid w:val="0BB63BED"/>
    <w:rsid w:val="0D6C0594"/>
    <w:rsid w:val="0EB97A43"/>
    <w:rsid w:val="0EBD2122"/>
    <w:rsid w:val="0F214EAE"/>
    <w:rsid w:val="0F6F6EF7"/>
    <w:rsid w:val="11B71E6A"/>
    <w:rsid w:val="136F49F2"/>
    <w:rsid w:val="144B521C"/>
    <w:rsid w:val="14EB7761"/>
    <w:rsid w:val="15061EAD"/>
    <w:rsid w:val="17AA3A9F"/>
    <w:rsid w:val="1AAF0063"/>
    <w:rsid w:val="1BE140DE"/>
    <w:rsid w:val="1FD35646"/>
    <w:rsid w:val="248C197D"/>
    <w:rsid w:val="252959AF"/>
    <w:rsid w:val="26A03E06"/>
    <w:rsid w:val="277A6671"/>
    <w:rsid w:val="292D35B7"/>
    <w:rsid w:val="29524F49"/>
    <w:rsid w:val="2BFB4502"/>
    <w:rsid w:val="2C0F0959"/>
    <w:rsid w:val="31151E97"/>
    <w:rsid w:val="32F62E2B"/>
    <w:rsid w:val="33EB6CFF"/>
    <w:rsid w:val="357566C2"/>
    <w:rsid w:val="35A12947"/>
    <w:rsid w:val="37387040"/>
    <w:rsid w:val="3A54043C"/>
    <w:rsid w:val="3A6C38E7"/>
    <w:rsid w:val="3B0548E0"/>
    <w:rsid w:val="3B625C0A"/>
    <w:rsid w:val="3CEE1963"/>
    <w:rsid w:val="41A945C9"/>
    <w:rsid w:val="436B78D3"/>
    <w:rsid w:val="454A32A7"/>
    <w:rsid w:val="465B6AFA"/>
    <w:rsid w:val="48B60C1B"/>
    <w:rsid w:val="4AB2421B"/>
    <w:rsid w:val="4B4A0E91"/>
    <w:rsid w:val="4C9C27FE"/>
    <w:rsid w:val="512260B4"/>
    <w:rsid w:val="51B74D7E"/>
    <w:rsid w:val="51FC7A11"/>
    <w:rsid w:val="52BD6ACB"/>
    <w:rsid w:val="545A2D73"/>
    <w:rsid w:val="548D5864"/>
    <w:rsid w:val="55537534"/>
    <w:rsid w:val="561A74F1"/>
    <w:rsid w:val="5763677F"/>
    <w:rsid w:val="57B86109"/>
    <w:rsid w:val="597244E8"/>
    <w:rsid w:val="5EB71C30"/>
    <w:rsid w:val="5FF87482"/>
    <w:rsid w:val="601479AF"/>
    <w:rsid w:val="66AF0CE5"/>
    <w:rsid w:val="691467D6"/>
    <w:rsid w:val="6AA27932"/>
    <w:rsid w:val="6AC537CF"/>
    <w:rsid w:val="6E5B14A6"/>
    <w:rsid w:val="6EAF4669"/>
    <w:rsid w:val="711B255E"/>
    <w:rsid w:val="71351220"/>
    <w:rsid w:val="743776B4"/>
    <w:rsid w:val="7797471D"/>
    <w:rsid w:val="78300B7C"/>
    <w:rsid w:val="78987E3A"/>
    <w:rsid w:val="7BB51E06"/>
    <w:rsid w:val="7BFA1407"/>
    <w:rsid w:val="7C306904"/>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footnote text"/>
    <w:basedOn w:val="1"/>
    <w:qFormat/>
    <w:uiPriority w:val="0"/>
    <w:rPr>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19</TotalTime>
  <ScaleCrop>false</ScaleCrop>
  <LinksUpToDate>false</LinksUpToDate>
  <CharactersWithSpaces>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2026-04-23T08:18:43Z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807859DDDB204D7484EDDFBB4E9D1D2E</vt:lpwstr>
  </property>
</Properties>
</file>