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2E6C" w:rsidRDefault="00CA1DD1">
      <w:pPr>
        <w:adjustRightInd w:val="0"/>
        <w:snapToGrid w:val="0"/>
        <w:spacing w:line="56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 w:hint="eastAsia"/>
          <w:sz w:val="32"/>
          <w:szCs w:val="32"/>
        </w:rPr>
        <w:t>3</w:t>
      </w:r>
    </w:p>
    <w:p w:rsidR="00112E6C" w:rsidRDefault="00112E6C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:rsidR="00112E6C" w:rsidRDefault="00CA1DD1">
      <w:pPr>
        <w:spacing w:line="560" w:lineRule="exact"/>
        <w:jc w:val="center"/>
        <w:rPr>
          <w:rFonts w:ascii="黑体" w:eastAsia="黑体" w:hAnsi="黑体" w:cs="宋体"/>
          <w:b/>
          <w:bCs/>
          <w:sz w:val="48"/>
          <w:szCs w:val="48"/>
        </w:rPr>
      </w:pPr>
      <w:r>
        <w:rPr>
          <w:rFonts w:ascii="黑体" w:eastAsia="黑体" w:hAnsi="黑体" w:cs="宋体" w:hint="eastAsia"/>
          <w:b/>
          <w:bCs/>
          <w:sz w:val="48"/>
          <w:szCs w:val="48"/>
        </w:rPr>
        <w:t>井陉县林业局</w:t>
      </w:r>
    </w:p>
    <w:p w:rsidR="00112E6C" w:rsidRDefault="00CA1DD1">
      <w:pPr>
        <w:spacing w:line="560" w:lineRule="exact"/>
        <w:jc w:val="center"/>
        <w:rPr>
          <w:rFonts w:ascii="黑体" w:eastAsia="黑体" w:hAnsi="黑体" w:cs="宋体"/>
          <w:b/>
          <w:bCs/>
          <w:sz w:val="48"/>
          <w:szCs w:val="48"/>
        </w:rPr>
      </w:pPr>
      <w:r>
        <w:rPr>
          <w:rFonts w:ascii="黑体" w:eastAsia="黑体" w:hAnsi="黑体" w:cs="宋体" w:hint="eastAsia"/>
          <w:b/>
          <w:bCs/>
          <w:sz w:val="48"/>
          <w:szCs w:val="48"/>
        </w:rPr>
        <w:t>2026</w:t>
      </w:r>
      <w:r>
        <w:rPr>
          <w:rFonts w:ascii="黑体" w:eastAsia="黑体" w:hAnsi="黑体" w:cs="宋体" w:hint="eastAsia"/>
          <w:b/>
          <w:bCs/>
          <w:sz w:val="48"/>
          <w:szCs w:val="48"/>
        </w:rPr>
        <w:t>年度整体支出绩效自评报告</w:t>
      </w:r>
    </w:p>
    <w:p w:rsidR="00112E6C" w:rsidRDefault="00112E6C">
      <w:pPr>
        <w:spacing w:line="560" w:lineRule="exact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</w:p>
    <w:p w:rsidR="00112E6C" w:rsidRDefault="00CA1DD1">
      <w:pPr>
        <w:spacing w:line="560" w:lineRule="exact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贯彻落实市委市政府《关于全面落实预算绩效管理的实施意见》（石发﹝</w:t>
      </w:r>
      <w:r>
        <w:rPr>
          <w:rFonts w:ascii="仿宋" w:eastAsia="仿宋" w:hAnsi="仿宋" w:cs="楷体_GB2312" w:hint="eastAsia"/>
          <w:bCs/>
          <w:sz w:val="32"/>
          <w:szCs w:val="32"/>
        </w:rPr>
        <w:t>2019</w:t>
      </w:r>
      <w:r>
        <w:rPr>
          <w:rFonts w:ascii="仿宋" w:eastAsia="仿宋" w:hAnsi="仿宋" w:cs="楷体_GB2312" w:hint="eastAsia"/>
          <w:bCs/>
          <w:sz w:val="32"/>
          <w:szCs w:val="32"/>
        </w:rPr>
        <w:t>﹞</w:t>
      </w:r>
      <w:r>
        <w:rPr>
          <w:rFonts w:ascii="仿宋" w:eastAsia="仿宋" w:hAnsi="仿宋" w:cs="楷体_GB2312" w:hint="eastAsia"/>
          <w:bCs/>
          <w:sz w:val="32"/>
          <w:szCs w:val="32"/>
        </w:rPr>
        <w:t>8</w:t>
      </w:r>
      <w:r>
        <w:rPr>
          <w:rFonts w:ascii="仿宋" w:eastAsia="仿宋" w:hAnsi="仿宋" w:cs="楷体_GB2312" w:hint="eastAsia"/>
          <w:bCs/>
          <w:sz w:val="32"/>
          <w:szCs w:val="32"/>
        </w:rPr>
        <w:t>号）文件精神，遵循“科学性、规范性、客观性和公正性”的原则，对井陉县林业局部门</w:t>
      </w:r>
      <w:r>
        <w:rPr>
          <w:rFonts w:ascii="仿宋" w:eastAsia="仿宋" w:hAnsi="仿宋" w:cs="楷体_GB2312" w:hint="eastAsia"/>
          <w:bCs/>
          <w:sz w:val="32"/>
          <w:szCs w:val="32"/>
        </w:rPr>
        <w:t>2025</w:t>
      </w:r>
      <w:r>
        <w:rPr>
          <w:rFonts w:ascii="仿宋" w:eastAsia="仿宋" w:hAnsi="仿宋" w:cs="楷体_GB2312" w:hint="eastAsia"/>
          <w:bCs/>
          <w:sz w:val="32"/>
          <w:szCs w:val="32"/>
        </w:rPr>
        <w:t>年整体支出情况实施了财政支出绩效自评价，形成本评价报告。</w:t>
      </w:r>
    </w:p>
    <w:p w:rsidR="00112E6C" w:rsidRDefault="00CA1DD1">
      <w:pPr>
        <w:adjustRightInd w:val="0"/>
        <w:snapToGrid w:val="0"/>
        <w:spacing w:line="560" w:lineRule="exact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 </w:t>
      </w:r>
      <w:r>
        <w:rPr>
          <w:rFonts w:ascii="仿宋" w:eastAsia="仿宋" w:hAnsi="仿宋" w:hint="eastAsia"/>
          <w:sz w:val="32"/>
          <w:szCs w:val="32"/>
        </w:rPr>
        <w:t>一、部门基本情况</w:t>
      </w:r>
    </w:p>
    <w:p w:rsidR="00112E6C" w:rsidRDefault="00CA1DD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（一）部门概况</w:t>
      </w:r>
    </w:p>
    <w:p w:rsidR="00112E6C" w:rsidRDefault="00CA1DD1">
      <w:pPr>
        <w:spacing w:line="560" w:lineRule="exact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根据《河北南寺掌省级自然保护区综合服务中心职能配置、内设机构和人员编制规定》，</w:t>
      </w:r>
      <w:r>
        <w:rPr>
          <w:rFonts w:ascii="仿宋" w:eastAsia="仿宋" w:hAnsi="仿宋" w:cs="楷体_GB2312" w:hint="eastAsia"/>
          <w:bCs/>
          <w:sz w:val="32"/>
          <w:szCs w:val="32"/>
        </w:rPr>
        <w:t xml:space="preserve"> </w:t>
      </w:r>
      <w:r>
        <w:rPr>
          <w:rFonts w:ascii="仿宋" w:eastAsia="仿宋" w:hAnsi="仿宋" w:cs="楷体_GB2312" w:hint="eastAsia"/>
          <w:bCs/>
          <w:sz w:val="32"/>
          <w:szCs w:val="32"/>
        </w:rPr>
        <w:t>河北南寺掌省级自然保护区综合服务中心的主要职责是：</w:t>
      </w:r>
    </w:p>
    <w:p w:rsidR="00112E6C" w:rsidRDefault="00CA1DD1">
      <w:pPr>
        <w:pStyle w:val="a5"/>
        <w:ind w:firstLineChars="200" w:firstLine="640"/>
        <w:rPr>
          <w:rFonts w:ascii="仿宋" w:eastAsia="仿宋" w:hAnsi="仿宋" w:cs="楷体_GB2312"/>
          <w:bCs/>
          <w:kern w:val="2"/>
          <w:sz w:val="32"/>
          <w:szCs w:val="32"/>
        </w:rPr>
      </w:pPr>
      <w:r>
        <w:rPr>
          <w:rFonts w:ascii="仿宋" w:eastAsia="仿宋" w:hAnsi="仿宋" w:cs="楷体_GB2312" w:hint="eastAsia"/>
          <w:bCs/>
          <w:kern w:val="2"/>
          <w:sz w:val="32"/>
          <w:szCs w:val="32"/>
        </w:rPr>
        <w:t>负责县域内植树造林、封山育林、退耕还林专业服务工作；负责林业保护、野生动植物资源保护等相关服务工作；负责林业有害生物防治、检疫等相关工作；负责要业技术推广工作；负责全县森林火灾、沙尘暴等灾害的预测预报和应急处置等专业性工作。负责两个国有林场的规划计划编制、森林培育与经营、护林防火、森林火险预测预报、野生动植物保护、苗木培育管理等相关工作；负责县委、县政府及上级有关部门交办的其它</w:t>
      </w:r>
      <w:r>
        <w:rPr>
          <w:rFonts w:ascii="仿宋" w:eastAsia="仿宋" w:hAnsi="仿宋" w:cs="楷体_GB2312" w:hint="eastAsia"/>
          <w:bCs/>
          <w:kern w:val="2"/>
          <w:sz w:val="32"/>
          <w:szCs w:val="32"/>
        </w:rPr>
        <w:t>事项。</w:t>
      </w:r>
    </w:p>
    <w:p w:rsidR="00112E6C" w:rsidRDefault="00CA1DD1">
      <w:pPr>
        <w:pStyle w:val="a5"/>
        <w:ind w:firstLineChars="200" w:firstLine="640"/>
        <w:rPr>
          <w:rFonts w:ascii="仿宋" w:eastAsia="仿宋" w:hAnsi="仿宋" w:cs="楷体_GB2312"/>
          <w:bCs/>
          <w:kern w:val="2"/>
          <w:sz w:val="32"/>
          <w:szCs w:val="32"/>
        </w:rPr>
      </w:pPr>
      <w:r>
        <w:rPr>
          <w:rFonts w:ascii="仿宋" w:eastAsia="仿宋" w:hAnsi="仿宋" w:cs="楷体_GB2312" w:hint="eastAsia"/>
          <w:bCs/>
          <w:kern w:val="2"/>
          <w:sz w:val="32"/>
          <w:szCs w:val="32"/>
        </w:rPr>
        <w:t>机构设置：部门机构设置情况</w:t>
      </w:r>
    </w:p>
    <w:tbl>
      <w:tblPr>
        <w:tblpPr w:leftFromText="180" w:rightFromText="180" w:vertAnchor="text" w:horzAnchor="page" w:tblpXSpec="center" w:tblpY="10"/>
        <w:tblOverlap w:val="never"/>
        <w:tblW w:w="95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85"/>
        <w:gridCol w:w="3518"/>
        <w:gridCol w:w="1842"/>
        <w:gridCol w:w="3235"/>
      </w:tblGrid>
      <w:tr w:rsidR="00112E6C" w:rsidTr="0039665F">
        <w:trPr>
          <w:trHeight w:val="811"/>
          <w:jc w:val="center"/>
        </w:trPr>
        <w:tc>
          <w:tcPr>
            <w:tcW w:w="985" w:type="dxa"/>
            <w:vAlign w:val="center"/>
          </w:tcPr>
          <w:p w:rsidR="00112E6C" w:rsidRDefault="00CA1DD1">
            <w:pPr>
              <w:pStyle w:val="a5"/>
              <w:ind w:firstLineChars="200" w:firstLine="640"/>
              <w:rPr>
                <w:rFonts w:ascii="仿宋" w:eastAsia="仿宋" w:hAnsi="仿宋" w:cs="楷体_GB2312"/>
                <w:bCs/>
                <w:kern w:val="2"/>
                <w:sz w:val="32"/>
                <w:szCs w:val="32"/>
              </w:rPr>
            </w:pPr>
            <w:r>
              <w:rPr>
                <w:rFonts w:ascii="仿宋" w:eastAsia="仿宋" w:hAnsi="仿宋" w:cs="楷体_GB2312" w:hint="eastAsia"/>
                <w:bCs/>
                <w:kern w:val="2"/>
                <w:sz w:val="32"/>
                <w:szCs w:val="32"/>
              </w:rPr>
              <w:lastRenderedPageBreak/>
              <w:t>序号</w:t>
            </w:r>
          </w:p>
        </w:tc>
        <w:tc>
          <w:tcPr>
            <w:tcW w:w="3518" w:type="dxa"/>
            <w:vAlign w:val="center"/>
          </w:tcPr>
          <w:p w:rsidR="00112E6C" w:rsidRDefault="00CA1DD1">
            <w:pPr>
              <w:pStyle w:val="a5"/>
              <w:ind w:firstLineChars="200" w:firstLine="640"/>
              <w:rPr>
                <w:rFonts w:ascii="仿宋" w:eastAsia="仿宋" w:hAnsi="仿宋" w:cs="楷体_GB2312"/>
                <w:bCs/>
                <w:kern w:val="2"/>
                <w:sz w:val="32"/>
                <w:szCs w:val="32"/>
              </w:rPr>
            </w:pPr>
            <w:r>
              <w:rPr>
                <w:rFonts w:ascii="仿宋" w:eastAsia="仿宋" w:hAnsi="仿宋" w:cs="楷体_GB2312" w:hint="eastAsia"/>
                <w:bCs/>
                <w:kern w:val="2"/>
                <w:sz w:val="32"/>
                <w:szCs w:val="32"/>
              </w:rPr>
              <w:t>单位名称</w:t>
            </w:r>
          </w:p>
        </w:tc>
        <w:tc>
          <w:tcPr>
            <w:tcW w:w="1842" w:type="dxa"/>
            <w:vAlign w:val="center"/>
          </w:tcPr>
          <w:p w:rsidR="00112E6C" w:rsidRDefault="00CA1DD1">
            <w:pPr>
              <w:pStyle w:val="a5"/>
              <w:ind w:firstLineChars="200" w:firstLine="640"/>
              <w:rPr>
                <w:rFonts w:ascii="仿宋" w:eastAsia="仿宋" w:hAnsi="仿宋" w:cs="楷体_GB2312"/>
                <w:bCs/>
                <w:kern w:val="2"/>
                <w:sz w:val="32"/>
                <w:szCs w:val="32"/>
              </w:rPr>
            </w:pPr>
            <w:r>
              <w:rPr>
                <w:rFonts w:ascii="仿宋" w:eastAsia="仿宋" w:hAnsi="仿宋" w:cs="楷体_GB2312" w:hint="eastAsia"/>
                <w:bCs/>
                <w:kern w:val="2"/>
                <w:sz w:val="32"/>
                <w:szCs w:val="32"/>
              </w:rPr>
              <w:t>单位基本性质</w:t>
            </w:r>
          </w:p>
        </w:tc>
        <w:tc>
          <w:tcPr>
            <w:tcW w:w="3235" w:type="dxa"/>
            <w:vAlign w:val="center"/>
          </w:tcPr>
          <w:p w:rsidR="00112E6C" w:rsidRDefault="00CA1DD1">
            <w:pPr>
              <w:pStyle w:val="a5"/>
              <w:ind w:firstLineChars="200" w:firstLine="640"/>
              <w:rPr>
                <w:rFonts w:ascii="仿宋" w:eastAsia="仿宋" w:hAnsi="仿宋" w:cs="楷体_GB2312"/>
                <w:bCs/>
                <w:kern w:val="2"/>
                <w:sz w:val="32"/>
                <w:szCs w:val="32"/>
              </w:rPr>
            </w:pPr>
            <w:r>
              <w:rPr>
                <w:rFonts w:ascii="仿宋" w:eastAsia="仿宋" w:hAnsi="仿宋" w:cs="楷体_GB2312" w:hint="eastAsia"/>
                <w:bCs/>
                <w:kern w:val="2"/>
                <w:sz w:val="32"/>
                <w:szCs w:val="32"/>
              </w:rPr>
              <w:t>经费形式</w:t>
            </w:r>
          </w:p>
        </w:tc>
      </w:tr>
      <w:tr w:rsidR="00112E6C" w:rsidTr="0039665F">
        <w:trPr>
          <w:trHeight w:val="596"/>
          <w:jc w:val="center"/>
        </w:trPr>
        <w:tc>
          <w:tcPr>
            <w:tcW w:w="985" w:type="dxa"/>
            <w:vAlign w:val="center"/>
          </w:tcPr>
          <w:p w:rsidR="00112E6C" w:rsidRDefault="00CA1DD1">
            <w:pPr>
              <w:pStyle w:val="a5"/>
              <w:ind w:firstLineChars="200" w:firstLine="640"/>
              <w:rPr>
                <w:rFonts w:ascii="仿宋" w:eastAsia="仿宋" w:hAnsi="仿宋" w:cs="楷体_GB2312"/>
                <w:bCs/>
                <w:kern w:val="2"/>
                <w:sz w:val="32"/>
                <w:szCs w:val="32"/>
              </w:rPr>
            </w:pPr>
            <w:r>
              <w:rPr>
                <w:rFonts w:ascii="仿宋" w:eastAsia="仿宋" w:hAnsi="仿宋" w:cs="楷体_GB2312" w:hint="eastAsia"/>
                <w:bCs/>
                <w:kern w:val="2"/>
                <w:sz w:val="32"/>
                <w:szCs w:val="32"/>
              </w:rPr>
              <w:t>1</w:t>
            </w:r>
          </w:p>
        </w:tc>
        <w:tc>
          <w:tcPr>
            <w:tcW w:w="3518" w:type="dxa"/>
            <w:vAlign w:val="center"/>
          </w:tcPr>
          <w:p w:rsidR="00112E6C" w:rsidRDefault="00CA1DD1">
            <w:pPr>
              <w:pStyle w:val="a5"/>
              <w:ind w:firstLineChars="200" w:firstLine="640"/>
              <w:rPr>
                <w:rFonts w:ascii="仿宋" w:eastAsia="仿宋" w:hAnsi="仿宋" w:cs="楷体_GB2312"/>
                <w:bCs/>
                <w:kern w:val="2"/>
                <w:sz w:val="32"/>
                <w:szCs w:val="32"/>
              </w:rPr>
            </w:pPr>
            <w:r>
              <w:rPr>
                <w:rFonts w:ascii="仿宋" w:eastAsia="仿宋" w:hAnsi="仿宋" w:cs="楷体_GB2312" w:hint="eastAsia"/>
                <w:bCs/>
                <w:kern w:val="2"/>
                <w:sz w:val="32"/>
                <w:szCs w:val="32"/>
              </w:rPr>
              <w:t>井陉县林业局</w:t>
            </w:r>
          </w:p>
        </w:tc>
        <w:tc>
          <w:tcPr>
            <w:tcW w:w="1842" w:type="dxa"/>
            <w:vAlign w:val="center"/>
          </w:tcPr>
          <w:p w:rsidR="00112E6C" w:rsidRDefault="00CA1DD1">
            <w:pPr>
              <w:pStyle w:val="a5"/>
              <w:ind w:firstLineChars="200" w:firstLine="640"/>
              <w:rPr>
                <w:rFonts w:ascii="仿宋" w:eastAsia="仿宋" w:hAnsi="仿宋" w:cs="楷体_GB2312"/>
                <w:bCs/>
                <w:kern w:val="2"/>
                <w:sz w:val="32"/>
                <w:szCs w:val="32"/>
              </w:rPr>
            </w:pPr>
            <w:r>
              <w:rPr>
                <w:rFonts w:ascii="仿宋" w:eastAsia="仿宋" w:hAnsi="仿宋" w:cs="楷体_GB2312" w:hint="eastAsia"/>
                <w:bCs/>
                <w:kern w:val="2"/>
                <w:sz w:val="32"/>
                <w:szCs w:val="32"/>
              </w:rPr>
              <w:t>行政单位</w:t>
            </w:r>
          </w:p>
        </w:tc>
        <w:tc>
          <w:tcPr>
            <w:tcW w:w="3235" w:type="dxa"/>
            <w:vAlign w:val="center"/>
          </w:tcPr>
          <w:p w:rsidR="00112E6C" w:rsidRDefault="00CA1DD1">
            <w:pPr>
              <w:pStyle w:val="a5"/>
              <w:ind w:firstLineChars="200" w:firstLine="640"/>
              <w:rPr>
                <w:rFonts w:ascii="仿宋" w:eastAsia="仿宋" w:hAnsi="仿宋" w:cs="楷体_GB2312"/>
                <w:bCs/>
                <w:kern w:val="2"/>
                <w:sz w:val="32"/>
                <w:szCs w:val="32"/>
              </w:rPr>
            </w:pPr>
            <w:r>
              <w:rPr>
                <w:rFonts w:ascii="仿宋" w:eastAsia="仿宋" w:hAnsi="仿宋" w:cs="楷体_GB2312" w:hint="eastAsia"/>
                <w:bCs/>
                <w:kern w:val="2"/>
                <w:sz w:val="32"/>
                <w:szCs w:val="32"/>
              </w:rPr>
              <w:t>财政性资金基本保证</w:t>
            </w:r>
          </w:p>
        </w:tc>
      </w:tr>
      <w:tr w:rsidR="00112E6C" w:rsidTr="0039665F">
        <w:trPr>
          <w:trHeight w:val="596"/>
          <w:jc w:val="center"/>
        </w:trPr>
        <w:tc>
          <w:tcPr>
            <w:tcW w:w="985" w:type="dxa"/>
            <w:vAlign w:val="center"/>
          </w:tcPr>
          <w:p w:rsidR="00112E6C" w:rsidRDefault="00CA1DD1">
            <w:pPr>
              <w:pStyle w:val="a5"/>
              <w:ind w:firstLineChars="200" w:firstLine="640"/>
              <w:rPr>
                <w:rFonts w:ascii="仿宋" w:eastAsia="仿宋" w:hAnsi="仿宋" w:cs="楷体_GB2312"/>
                <w:bCs/>
                <w:kern w:val="2"/>
                <w:sz w:val="32"/>
                <w:szCs w:val="32"/>
              </w:rPr>
            </w:pPr>
            <w:r>
              <w:rPr>
                <w:rFonts w:ascii="仿宋" w:eastAsia="仿宋" w:hAnsi="仿宋" w:cs="楷体_GB2312" w:hint="eastAsia"/>
                <w:bCs/>
                <w:kern w:val="2"/>
                <w:sz w:val="32"/>
                <w:szCs w:val="32"/>
              </w:rPr>
              <w:t>2</w:t>
            </w:r>
          </w:p>
        </w:tc>
        <w:tc>
          <w:tcPr>
            <w:tcW w:w="3518" w:type="dxa"/>
            <w:vAlign w:val="center"/>
          </w:tcPr>
          <w:p w:rsidR="00112E6C" w:rsidRDefault="00CA1DD1">
            <w:pPr>
              <w:pStyle w:val="a5"/>
              <w:ind w:firstLineChars="200" w:firstLine="640"/>
              <w:rPr>
                <w:rFonts w:ascii="仿宋" w:eastAsia="仿宋" w:hAnsi="仿宋" w:cs="楷体_GB2312"/>
                <w:bCs/>
                <w:kern w:val="2"/>
                <w:sz w:val="32"/>
                <w:szCs w:val="32"/>
              </w:rPr>
            </w:pPr>
            <w:r>
              <w:rPr>
                <w:rFonts w:ascii="仿宋" w:eastAsia="仿宋" w:hAnsi="仿宋" w:cs="楷体_GB2312" w:hint="eastAsia"/>
                <w:bCs/>
                <w:kern w:val="2"/>
                <w:sz w:val="32"/>
                <w:szCs w:val="32"/>
              </w:rPr>
              <w:t>河北南寺掌省级自然保护区综合服务中心</w:t>
            </w:r>
          </w:p>
        </w:tc>
        <w:tc>
          <w:tcPr>
            <w:tcW w:w="1842" w:type="dxa"/>
            <w:vAlign w:val="center"/>
          </w:tcPr>
          <w:p w:rsidR="00112E6C" w:rsidRDefault="00CA1DD1">
            <w:pPr>
              <w:pStyle w:val="a5"/>
              <w:ind w:firstLineChars="200" w:firstLine="640"/>
              <w:rPr>
                <w:rFonts w:ascii="仿宋" w:eastAsia="仿宋" w:hAnsi="仿宋" w:cs="楷体_GB2312"/>
                <w:bCs/>
                <w:kern w:val="2"/>
                <w:sz w:val="32"/>
                <w:szCs w:val="32"/>
              </w:rPr>
            </w:pPr>
            <w:r>
              <w:rPr>
                <w:rFonts w:ascii="仿宋" w:eastAsia="仿宋" w:hAnsi="仿宋" w:cs="楷体_GB2312" w:hint="eastAsia"/>
                <w:bCs/>
                <w:kern w:val="2"/>
                <w:sz w:val="32"/>
                <w:szCs w:val="32"/>
              </w:rPr>
              <w:t>财政补助事业单位</w:t>
            </w:r>
          </w:p>
        </w:tc>
        <w:tc>
          <w:tcPr>
            <w:tcW w:w="3235" w:type="dxa"/>
            <w:vAlign w:val="center"/>
          </w:tcPr>
          <w:p w:rsidR="00112E6C" w:rsidRDefault="00CA1DD1">
            <w:pPr>
              <w:pStyle w:val="a5"/>
              <w:ind w:firstLineChars="200" w:firstLine="640"/>
              <w:rPr>
                <w:rFonts w:ascii="仿宋" w:eastAsia="仿宋" w:hAnsi="仿宋" w:cs="楷体_GB2312"/>
                <w:bCs/>
                <w:kern w:val="2"/>
                <w:sz w:val="32"/>
                <w:szCs w:val="32"/>
              </w:rPr>
            </w:pPr>
            <w:r>
              <w:rPr>
                <w:rFonts w:ascii="仿宋" w:eastAsia="仿宋" w:hAnsi="仿宋" w:cs="楷体_GB2312" w:hint="eastAsia"/>
                <w:bCs/>
                <w:kern w:val="2"/>
                <w:sz w:val="32"/>
                <w:szCs w:val="32"/>
              </w:rPr>
              <w:t>财政性资金基本保证</w:t>
            </w:r>
          </w:p>
        </w:tc>
      </w:tr>
      <w:tr w:rsidR="00112E6C" w:rsidTr="0039665F">
        <w:trPr>
          <w:trHeight w:val="596"/>
          <w:jc w:val="center"/>
        </w:trPr>
        <w:tc>
          <w:tcPr>
            <w:tcW w:w="985" w:type="dxa"/>
            <w:vAlign w:val="center"/>
          </w:tcPr>
          <w:p w:rsidR="00112E6C" w:rsidRDefault="00CA1DD1">
            <w:pPr>
              <w:pStyle w:val="a5"/>
              <w:ind w:firstLineChars="200" w:firstLine="640"/>
              <w:rPr>
                <w:rFonts w:ascii="仿宋" w:eastAsia="仿宋" w:hAnsi="仿宋" w:cs="楷体_GB2312"/>
                <w:bCs/>
                <w:kern w:val="2"/>
                <w:sz w:val="32"/>
                <w:szCs w:val="32"/>
              </w:rPr>
            </w:pPr>
            <w:r>
              <w:rPr>
                <w:rFonts w:ascii="仿宋" w:eastAsia="仿宋" w:hAnsi="仿宋" w:cs="楷体_GB2312" w:hint="eastAsia"/>
                <w:bCs/>
                <w:kern w:val="2"/>
                <w:sz w:val="32"/>
                <w:szCs w:val="32"/>
              </w:rPr>
              <w:t>3</w:t>
            </w:r>
          </w:p>
        </w:tc>
        <w:tc>
          <w:tcPr>
            <w:tcW w:w="3518" w:type="dxa"/>
            <w:vAlign w:val="center"/>
          </w:tcPr>
          <w:p w:rsidR="00112E6C" w:rsidRDefault="00CA1DD1">
            <w:pPr>
              <w:pStyle w:val="a5"/>
              <w:ind w:firstLineChars="200" w:firstLine="640"/>
              <w:rPr>
                <w:rFonts w:ascii="仿宋" w:eastAsia="仿宋" w:hAnsi="仿宋" w:cs="楷体_GB2312"/>
                <w:bCs/>
                <w:kern w:val="2"/>
                <w:sz w:val="32"/>
                <w:szCs w:val="32"/>
              </w:rPr>
            </w:pPr>
            <w:r>
              <w:rPr>
                <w:rFonts w:ascii="仿宋" w:eastAsia="仿宋" w:hAnsi="仿宋" w:cs="楷体_GB2312" w:hint="eastAsia"/>
                <w:bCs/>
                <w:kern w:val="2"/>
                <w:sz w:val="32"/>
                <w:szCs w:val="32"/>
              </w:rPr>
              <w:t>井陉县林业工作站</w:t>
            </w:r>
          </w:p>
        </w:tc>
        <w:tc>
          <w:tcPr>
            <w:tcW w:w="1842" w:type="dxa"/>
            <w:vAlign w:val="center"/>
          </w:tcPr>
          <w:p w:rsidR="00112E6C" w:rsidRDefault="00CA1DD1">
            <w:pPr>
              <w:pStyle w:val="a5"/>
              <w:ind w:firstLineChars="200" w:firstLine="640"/>
              <w:rPr>
                <w:rFonts w:ascii="仿宋" w:eastAsia="仿宋" w:hAnsi="仿宋" w:cs="楷体_GB2312"/>
                <w:bCs/>
                <w:kern w:val="2"/>
                <w:sz w:val="32"/>
                <w:szCs w:val="32"/>
              </w:rPr>
            </w:pPr>
            <w:r>
              <w:rPr>
                <w:rFonts w:ascii="仿宋" w:eastAsia="仿宋" w:hAnsi="仿宋" w:cs="楷体_GB2312" w:hint="eastAsia"/>
                <w:bCs/>
                <w:kern w:val="2"/>
                <w:sz w:val="32"/>
                <w:szCs w:val="32"/>
              </w:rPr>
              <w:t>财政补助事业单位</w:t>
            </w:r>
          </w:p>
        </w:tc>
        <w:tc>
          <w:tcPr>
            <w:tcW w:w="3235" w:type="dxa"/>
            <w:vAlign w:val="center"/>
          </w:tcPr>
          <w:p w:rsidR="00112E6C" w:rsidRDefault="00CA1DD1">
            <w:pPr>
              <w:pStyle w:val="a5"/>
              <w:ind w:firstLineChars="200" w:firstLine="640"/>
              <w:rPr>
                <w:rFonts w:ascii="仿宋" w:eastAsia="仿宋" w:hAnsi="仿宋" w:cs="楷体_GB2312"/>
                <w:bCs/>
                <w:kern w:val="2"/>
                <w:sz w:val="32"/>
                <w:szCs w:val="32"/>
              </w:rPr>
            </w:pPr>
            <w:r>
              <w:rPr>
                <w:rFonts w:ascii="仿宋" w:eastAsia="仿宋" w:hAnsi="仿宋" w:cs="楷体_GB2312" w:hint="eastAsia"/>
                <w:bCs/>
                <w:kern w:val="2"/>
                <w:sz w:val="32"/>
                <w:szCs w:val="32"/>
              </w:rPr>
              <w:t>财政性资金基本保证</w:t>
            </w:r>
          </w:p>
        </w:tc>
      </w:tr>
    </w:tbl>
    <w:p w:rsidR="00112E6C" w:rsidRDefault="00112E6C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（二）部门收支预决算情况</w:t>
      </w:r>
    </w:p>
    <w:p w:rsidR="00112E6C" w:rsidRDefault="00CA1DD1">
      <w:pPr>
        <w:spacing w:line="560" w:lineRule="exact"/>
        <w:ind w:firstLineChars="250" w:firstLine="80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本部门</w:t>
      </w:r>
      <w:r>
        <w:rPr>
          <w:rFonts w:ascii="仿宋" w:eastAsia="仿宋" w:hAnsi="仿宋" w:cs="楷体_GB2312" w:hint="eastAsia"/>
          <w:bCs/>
          <w:sz w:val="32"/>
          <w:szCs w:val="32"/>
        </w:rPr>
        <w:t>202</w:t>
      </w:r>
      <w:r>
        <w:rPr>
          <w:rFonts w:ascii="仿宋" w:eastAsia="仿宋" w:hAnsi="仿宋" w:cs="楷体_GB2312" w:hint="eastAsia"/>
          <w:bCs/>
          <w:sz w:val="32"/>
          <w:szCs w:val="32"/>
        </w:rPr>
        <w:t>5</w:t>
      </w:r>
      <w:r>
        <w:rPr>
          <w:rFonts w:ascii="仿宋" w:eastAsia="仿宋" w:hAnsi="仿宋" w:cs="楷体_GB2312" w:hint="eastAsia"/>
          <w:bCs/>
          <w:sz w:val="32"/>
          <w:szCs w:val="32"/>
        </w:rPr>
        <w:t>年度收支总计（含结转和结余）</w:t>
      </w:r>
      <w:r>
        <w:rPr>
          <w:rFonts w:ascii="仿宋" w:eastAsia="仿宋" w:hAnsi="仿宋" w:cs="楷体_GB2312" w:hint="eastAsia"/>
          <w:bCs/>
          <w:sz w:val="32"/>
          <w:szCs w:val="32"/>
        </w:rPr>
        <w:t>7982.32</w:t>
      </w:r>
      <w:r>
        <w:rPr>
          <w:rFonts w:ascii="仿宋" w:eastAsia="仿宋" w:hAnsi="仿宋" w:cs="楷体_GB2312" w:hint="eastAsia"/>
          <w:bCs/>
          <w:sz w:val="32"/>
          <w:szCs w:val="32"/>
        </w:rPr>
        <w:t>万元。与</w:t>
      </w:r>
      <w:r>
        <w:rPr>
          <w:rFonts w:ascii="仿宋" w:eastAsia="仿宋" w:hAnsi="仿宋" w:cs="楷体_GB2312" w:hint="eastAsia"/>
          <w:bCs/>
          <w:sz w:val="32"/>
          <w:szCs w:val="32"/>
        </w:rPr>
        <w:t>202</w:t>
      </w:r>
      <w:r>
        <w:rPr>
          <w:rFonts w:ascii="仿宋" w:eastAsia="仿宋" w:hAnsi="仿宋" w:cs="楷体_GB2312" w:hint="eastAsia"/>
          <w:bCs/>
          <w:sz w:val="32"/>
          <w:szCs w:val="32"/>
        </w:rPr>
        <w:t>5</w:t>
      </w:r>
      <w:r>
        <w:rPr>
          <w:rFonts w:ascii="仿宋" w:eastAsia="仿宋" w:hAnsi="仿宋" w:cs="楷体_GB2312" w:hint="eastAsia"/>
          <w:bCs/>
          <w:sz w:val="32"/>
          <w:szCs w:val="32"/>
        </w:rPr>
        <w:t>年度预算</w:t>
      </w:r>
      <w:r>
        <w:rPr>
          <w:rFonts w:ascii="仿宋" w:eastAsia="仿宋" w:hAnsi="仿宋" w:cs="楷体_GB2312" w:hint="eastAsia"/>
          <w:bCs/>
          <w:sz w:val="32"/>
          <w:szCs w:val="32"/>
        </w:rPr>
        <w:t>3613.64</w:t>
      </w:r>
      <w:r>
        <w:rPr>
          <w:rFonts w:ascii="仿宋" w:eastAsia="仿宋" w:hAnsi="仿宋" w:cs="楷体_GB2312" w:hint="eastAsia"/>
          <w:bCs/>
          <w:sz w:val="32"/>
          <w:szCs w:val="32"/>
        </w:rPr>
        <w:t>万元相比，收支各增加</w:t>
      </w:r>
      <w:r>
        <w:rPr>
          <w:rFonts w:ascii="仿宋" w:eastAsia="仿宋" w:hAnsi="仿宋" w:cs="楷体_GB2312" w:hint="eastAsia"/>
          <w:bCs/>
          <w:sz w:val="32"/>
          <w:szCs w:val="32"/>
        </w:rPr>
        <w:t>4368.68</w:t>
      </w:r>
      <w:r>
        <w:rPr>
          <w:rFonts w:ascii="仿宋" w:eastAsia="仿宋" w:hAnsi="仿宋" w:cs="楷体_GB2312" w:hint="eastAsia"/>
          <w:bCs/>
          <w:sz w:val="32"/>
          <w:szCs w:val="32"/>
        </w:rPr>
        <w:t>万元，增长</w:t>
      </w:r>
      <w:r>
        <w:rPr>
          <w:rFonts w:ascii="仿宋" w:eastAsia="仿宋" w:hAnsi="仿宋" w:cs="楷体_GB2312" w:hint="eastAsia"/>
          <w:bCs/>
          <w:sz w:val="32"/>
          <w:szCs w:val="32"/>
        </w:rPr>
        <w:t>220.89</w:t>
      </w:r>
      <w:r>
        <w:rPr>
          <w:rFonts w:ascii="仿宋" w:eastAsia="仿宋" w:hAnsi="仿宋" w:cs="楷体_GB2312" w:hint="eastAsia"/>
          <w:bCs/>
          <w:sz w:val="32"/>
          <w:szCs w:val="32"/>
        </w:rPr>
        <w:t>%</w:t>
      </w:r>
      <w:r>
        <w:rPr>
          <w:rFonts w:ascii="仿宋" w:eastAsia="仿宋" w:hAnsi="仿宋" w:cs="楷体_GB2312" w:hint="eastAsia"/>
          <w:bCs/>
          <w:sz w:val="32"/>
          <w:szCs w:val="32"/>
        </w:rPr>
        <w:t>。主要原因是：本年度上级追加项目资金数较多，因此与</w:t>
      </w:r>
      <w:r>
        <w:rPr>
          <w:rFonts w:ascii="仿宋" w:eastAsia="仿宋" w:hAnsi="仿宋" w:cs="楷体_GB2312" w:hint="eastAsia"/>
          <w:bCs/>
          <w:sz w:val="32"/>
          <w:szCs w:val="32"/>
        </w:rPr>
        <w:t>202</w:t>
      </w:r>
      <w:r>
        <w:rPr>
          <w:rFonts w:ascii="仿宋" w:eastAsia="仿宋" w:hAnsi="仿宋" w:cs="楷体_GB2312" w:hint="eastAsia"/>
          <w:bCs/>
          <w:sz w:val="32"/>
          <w:szCs w:val="32"/>
        </w:rPr>
        <w:t>5</w:t>
      </w:r>
      <w:r>
        <w:rPr>
          <w:rFonts w:ascii="仿宋" w:eastAsia="仿宋" w:hAnsi="仿宋" w:cs="楷体_GB2312" w:hint="eastAsia"/>
          <w:bCs/>
          <w:sz w:val="32"/>
          <w:szCs w:val="32"/>
        </w:rPr>
        <w:t>年度预算相比，财政拨款收入支出增加。</w:t>
      </w:r>
    </w:p>
    <w:p w:rsidR="00112E6C" w:rsidRDefault="00CA1DD1">
      <w:pPr>
        <w:spacing w:line="560" w:lineRule="exact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在支出方面，基本支出</w:t>
      </w:r>
      <w:r>
        <w:rPr>
          <w:rFonts w:ascii="仿宋" w:eastAsia="仿宋" w:hAnsi="仿宋" w:cs="楷体_GB2312" w:hint="eastAsia"/>
          <w:bCs/>
          <w:sz w:val="32"/>
          <w:szCs w:val="32"/>
        </w:rPr>
        <w:t>821.68</w:t>
      </w:r>
      <w:r>
        <w:rPr>
          <w:rFonts w:ascii="仿宋" w:eastAsia="仿宋" w:hAnsi="仿宋" w:cs="楷体_GB2312" w:hint="eastAsia"/>
          <w:bCs/>
          <w:sz w:val="32"/>
          <w:szCs w:val="32"/>
        </w:rPr>
        <w:t>万元，比上年</w:t>
      </w:r>
      <w:r>
        <w:rPr>
          <w:rFonts w:ascii="仿宋" w:eastAsia="仿宋" w:hAnsi="仿宋" w:cs="楷体_GB2312" w:hint="eastAsia"/>
          <w:bCs/>
          <w:sz w:val="32"/>
          <w:szCs w:val="32"/>
        </w:rPr>
        <w:t>750.75</w:t>
      </w:r>
      <w:r>
        <w:rPr>
          <w:rFonts w:ascii="仿宋" w:eastAsia="仿宋" w:hAnsi="仿宋" w:cs="楷体_GB2312" w:hint="eastAsia"/>
          <w:bCs/>
          <w:sz w:val="32"/>
          <w:szCs w:val="32"/>
        </w:rPr>
        <w:t>万元，</w:t>
      </w:r>
      <w:r>
        <w:rPr>
          <w:rFonts w:ascii="仿宋" w:eastAsia="仿宋" w:hAnsi="仿宋" w:cs="楷体_GB2312" w:hint="eastAsia"/>
          <w:bCs/>
          <w:sz w:val="32"/>
          <w:szCs w:val="32"/>
        </w:rPr>
        <w:t>增加</w:t>
      </w:r>
      <w:r>
        <w:rPr>
          <w:rFonts w:ascii="仿宋" w:eastAsia="仿宋" w:hAnsi="仿宋" w:cs="楷体_GB2312" w:hint="eastAsia"/>
          <w:bCs/>
          <w:sz w:val="32"/>
          <w:szCs w:val="32"/>
        </w:rPr>
        <w:t>70.93</w:t>
      </w:r>
      <w:r>
        <w:rPr>
          <w:rFonts w:ascii="仿宋" w:eastAsia="仿宋" w:hAnsi="仿宋" w:cs="楷体_GB2312" w:hint="eastAsia"/>
          <w:bCs/>
          <w:sz w:val="32"/>
          <w:szCs w:val="32"/>
        </w:rPr>
        <w:t>万元，</w:t>
      </w:r>
      <w:r>
        <w:rPr>
          <w:rFonts w:ascii="仿宋" w:eastAsia="仿宋" w:hAnsi="仿宋" w:cs="楷体_GB2312" w:hint="eastAsia"/>
          <w:bCs/>
          <w:sz w:val="32"/>
          <w:szCs w:val="32"/>
        </w:rPr>
        <w:t>增加</w:t>
      </w:r>
      <w:r>
        <w:rPr>
          <w:rFonts w:ascii="仿宋" w:eastAsia="仿宋" w:hAnsi="仿宋" w:cs="楷体_GB2312" w:hint="eastAsia"/>
          <w:bCs/>
          <w:sz w:val="32"/>
          <w:szCs w:val="32"/>
        </w:rPr>
        <w:t>8.</w:t>
      </w:r>
      <w:r>
        <w:rPr>
          <w:rFonts w:ascii="仿宋" w:eastAsia="仿宋" w:hAnsi="仿宋" w:cs="楷体_GB2312" w:hint="eastAsia"/>
          <w:bCs/>
          <w:sz w:val="32"/>
          <w:szCs w:val="32"/>
        </w:rPr>
        <w:t>6</w:t>
      </w:r>
      <w:r>
        <w:rPr>
          <w:rFonts w:ascii="仿宋" w:eastAsia="仿宋" w:hAnsi="仿宋" w:cs="楷体_GB2312" w:hint="eastAsia"/>
          <w:bCs/>
          <w:sz w:val="32"/>
          <w:szCs w:val="32"/>
        </w:rPr>
        <w:t>%</w:t>
      </w:r>
      <w:r>
        <w:rPr>
          <w:rFonts w:ascii="仿宋" w:eastAsia="仿宋" w:hAnsi="仿宋" w:cs="楷体_GB2312" w:hint="eastAsia"/>
          <w:bCs/>
          <w:sz w:val="32"/>
          <w:szCs w:val="32"/>
        </w:rPr>
        <w:t>；比年初预算</w:t>
      </w:r>
      <w:r>
        <w:rPr>
          <w:rFonts w:ascii="仿宋" w:eastAsia="仿宋" w:hAnsi="仿宋" w:cs="楷体_GB2312" w:hint="eastAsia"/>
          <w:bCs/>
          <w:sz w:val="32"/>
          <w:szCs w:val="32"/>
        </w:rPr>
        <w:t>789.95</w:t>
      </w:r>
      <w:r>
        <w:rPr>
          <w:rFonts w:ascii="仿宋" w:eastAsia="仿宋" w:hAnsi="仿宋" w:cs="楷体_GB2312" w:hint="eastAsia"/>
          <w:bCs/>
          <w:sz w:val="32"/>
          <w:szCs w:val="32"/>
        </w:rPr>
        <w:t>万元，</w:t>
      </w:r>
      <w:r>
        <w:rPr>
          <w:rFonts w:ascii="仿宋" w:eastAsia="仿宋" w:hAnsi="仿宋" w:cs="楷体_GB2312" w:hint="eastAsia"/>
          <w:bCs/>
          <w:sz w:val="32"/>
          <w:szCs w:val="32"/>
        </w:rPr>
        <w:t>增加</w:t>
      </w:r>
      <w:r>
        <w:rPr>
          <w:rFonts w:ascii="仿宋" w:eastAsia="仿宋" w:hAnsi="仿宋" w:cs="楷体_GB2312" w:hint="eastAsia"/>
          <w:bCs/>
          <w:sz w:val="32"/>
          <w:szCs w:val="32"/>
        </w:rPr>
        <w:t>31.73</w:t>
      </w:r>
      <w:r>
        <w:rPr>
          <w:rFonts w:ascii="仿宋" w:eastAsia="仿宋" w:hAnsi="仿宋" w:cs="楷体_GB2312" w:hint="eastAsia"/>
          <w:bCs/>
          <w:sz w:val="32"/>
          <w:szCs w:val="32"/>
        </w:rPr>
        <w:t>万元，</w:t>
      </w:r>
      <w:r>
        <w:rPr>
          <w:rFonts w:ascii="仿宋" w:eastAsia="仿宋" w:hAnsi="仿宋" w:cs="楷体_GB2312" w:hint="eastAsia"/>
          <w:bCs/>
          <w:sz w:val="32"/>
          <w:szCs w:val="32"/>
        </w:rPr>
        <w:t>增加了林业局经费</w:t>
      </w:r>
      <w:r>
        <w:rPr>
          <w:rFonts w:ascii="仿宋" w:eastAsia="仿宋" w:hAnsi="仿宋" w:cs="楷体_GB2312" w:hint="eastAsia"/>
          <w:bCs/>
          <w:sz w:val="32"/>
          <w:szCs w:val="32"/>
        </w:rPr>
        <w:t>。主要原因</w:t>
      </w:r>
      <w:bookmarkStart w:id="0" w:name="_GoBack"/>
      <w:bookmarkEnd w:id="0"/>
      <w:r>
        <w:rPr>
          <w:rFonts w:ascii="仿宋" w:eastAsia="仿宋" w:hAnsi="仿宋" w:cs="楷体_GB2312" w:hint="eastAsia"/>
          <w:bCs/>
          <w:sz w:val="32"/>
          <w:szCs w:val="32"/>
        </w:rPr>
        <w:t>为：严格按照预算指标要求，</w:t>
      </w:r>
      <w:r>
        <w:rPr>
          <w:rFonts w:ascii="仿宋" w:eastAsia="仿宋" w:hAnsi="仿宋" w:cs="楷体_GB2312" w:hint="eastAsia"/>
          <w:bCs/>
          <w:sz w:val="32"/>
          <w:szCs w:val="32"/>
        </w:rPr>
        <w:t>单位新进入</w:t>
      </w:r>
      <w:r>
        <w:rPr>
          <w:rFonts w:ascii="仿宋" w:eastAsia="仿宋" w:hAnsi="仿宋" w:cs="楷体_GB2312" w:hint="eastAsia"/>
          <w:bCs/>
          <w:sz w:val="32"/>
          <w:szCs w:val="32"/>
        </w:rPr>
        <w:t>4</w:t>
      </w:r>
      <w:r>
        <w:rPr>
          <w:rFonts w:ascii="仿宋" w:eastAsia="仿宋" w:hAnsi="仿宋" w:cs="楷体_GB2312" w:hint="eastAsia"/>
          <w:bCs/>
          <w:sz w:val="32"/>
          <w:szCs w:val="32"/>
        </w:rPr>
        <w:t>个人</w:t>
      </w:r>
      <w:r>
        <w:rPr>
          <w:rFonts w:ascii="仿宋" w:eastAsia="仿宋" w:hAnsi="仿宋" w:cs="楷体_GB2312" w:hint="eastAsia"/>
          <w:bCs/>
          <w:sz w:val="32"/>
          <w:szCs w:val="32"/>
        </w:rPr>
        <w:t>。项目支出</w:t>
      </w:r>
      <w:r>
        <w:rPr>
          <w:rFonts w:ascii="仿宋" w:eastAsia="仿宋" w:hAnsi="仿宋" w:cs="楷体_GB2312" w:hint="eastAsia"/>
          <w:bCs/>
          <w:sz w:val="32"/>
          <w:szCs w:val="32"/>
        </w:rPr>
        <w:t>7160.62</w:t>
      </w:r>
      <w:r>
        <w:rPr>
          <w:rFonts w:ascii="仿宋" w:eastAsia="仿宋" w:hAnsi="仿宋" w:cs="楷体_GB2312" w:hint="eastAsia"/>
          <w:bCs/>
          <w:sz w:val="32"/>
          <w:szCs w:val="32"/>
        </w:rPr>
        <w:t>万元，比上年</w:t>
      </w:r>
      <w:r>
        <w:rPr>
          <w:rFonts w:ascii="仿宋" w:eastAsia="仿宋" w:hAnsi="仿宋" w:cs="楷体_GB2312" w:hint="eastAsia"/>
          <w:bCs/>
          <w:sz w:val="32"/>
          <w:szCs w:val="32"/>
        </w:rPr>
        <w:t>13019.07</w:t>
      </w:r>
      <w:r>
        <w:rPr>
          <w:rFonts w:ascii="仿宋" w:eastAsia="仿宋" w:hAnsi="仿宋" w:cs="楷体_GB2312" w:hint="eastAsia"/>
          <w:bCs/>
          <w:sz w:val="32"/>
          <w:szCs w:val="32"/>
        </w:rPr>
        <w:t>万元相比</w:t>
      </w:r>
      <w:r>
        <w:rPr>
          <w:rFonts w:ascii="仿宋" w:eastAsia="仿宋" w:hAnsi="仿宋" w:cs="楷体_GB2312" w:hint="eastAsia"/>
          <w:bCs/>
          <w:sz w:val="32"/>
          <w:szCs w:val="32"/>
        </w:rPr>
        <w:t>减少</w:t>
      </w:r>
      <w:r>
        <w:rPr>
          <w:rFonts w:ascii="仿宋" w:eastAsia="仿宋" w:hAnsi="仿宋" w:cs="楷体_GB2312" w:hint="eastAsia"/>
          <w:bCs/>
          <w:sz w:val="32"/>
          <w:szCs w:val="32"/>
        </w:rPr>
        <w:t>5858.45</w:t>
      </w:r>
      <w:r>
        <w:rPr>
          <w:rFonts w:ascii="仿宋" w:eastAsia="仿宋" w:hAnsi="仿宋" w:cs="楷体_GB2312" w:hint="eastAsia"/>
          <w:bCs/>
          <w:sz w:val="32"/>
          <w:szCs w:val="32"/>
        </w:rPr>
        <w:t>万元，</w:t>
      </w:r>
      <w:r>
        <w:rPr>
          <w:rFonts w:ascii="仿宋" w:eastAsia="仿宋" w:hAnsi="仿宋" w:cs="楷体_GB2312" w:hint="eastAsia"/>
          <w:bCs/>
          <w:sz w:val="32"/>
          <w:szCs w:val="32"/>
        </w:rPr>
        <w:t>减少</w:t>
      </w:r>
      <w:r>
        <w:rPr>
          <w:rFonts w:ascii="仿宋" w:eastAsia="仿宋" w:hAnsi="仿宋" w:cs="楷体_GB2312" w:hint="eastAsia"/>
          <w:bCs/>
          <w:sz w:val="32"/>
          <w:szCs w:val="32"/>
        </w:rPr>
        <w:t>81.81</w:t>
      </w:r>
      <w:r>
        <w:rPr>
          <w:rFonts w:ascii="仿宋" w:eastAsia="仿宋" w:hAnsi="仿宋" w:cs="楷体_GB2312" w:hint="eastAsia"/>
          <w:bCs/>
          <w:sz w:val="32"/>
          <w:szCs w:val="32"/>
        </w:rPr>
        <w:t>%</w:t>
      </w:r>
      <w:r>
        <w:rPr>
          <w:rFonts w:ascii="仿宋" w:eastAsia="仿宋" w:hAnsi="仿宋" w:cs="楷体_GB2312" w:hint="eastAsia"/>
          <w:bCs/>
          <w:sz w:val="32"/>
          <w:szCs w:val="32"/>
        </w:rPr>
        <w:t>。主要原因是：本年度项目资金规模</w:t>
      </w:r>
      <w:r>
        <w:rPr>
          <w:rFonts w:ascii="仿宋" w:eastAsia="仿宋" w:hAnsi="仿宋" w:cs="楷体_GB2312" w:hint="eastAsia"/>
          <w:bCs/>
          <w:sz w:val="32"/>
          <w:szCs w:val="32"/>
        </w:rPr>
        <w:t>减少</w:t>
      </w:r>
      <w:r>
        <w:rPr>
          <w:rFonts w:ascii="仿宋" w:eastAsia="仿宋" w:hAnsi="仿宋" w:cs="楷体_GB2312" w:hint="eastAsia"/>
          <w:bCs/>
          <w:sz w:val="32"/>
          <w:szCs w:val="32"/>
        </w:rPr>
        <w:t>；比年初预算</w:t>
      </w:r>
      <w:r>
        <w:rPr>
          <w:rFonts w:ascii="仿宋" w:eastAsia="仿宋" w:hAnsi="仿宋" w:cs="楷体_GB2312" w:hint="eastAsia"/>
          <w:bCs/>
          <w:sz w:val="32"/>
          <w:szCs w:val="32"/>
        </w:rPr>
        <w:t>2823.69</w:t>
      </w:r>
      <w:r>
        <w:rPr>
          <w:rFonts w:ascii="仿宋" w:eastAsia="仿宋" w:hAnsi="仿宋" w:cs="楷体_GB2312" w:hint="eastAsia"/>
          <w:bCs/>
          <w:sz w:val="32"/>
          <w:szCs w:val="32"/>
        </w:rPr>
        <w:t>万元，增加</w:t>
      </w:r>
      <w:r>
        <w:rPr>
          <w:rFonts w:ascii="仿宋" w:eastAsia="仿宋" w:hAnsi="仿宋" w:cs="楷体_GB2312" w:hint="eastAsia"/>
          <w:bCs/>
          <w:sz w:val="32"/>
          <w:szCs w:val="32"/>
        </w:rPr>
        <w:t>4336.93</w:t>
      </w:r>
      <w:r>
        <w:rPr>
          <w:rFonts w:ascii="仿宋" w:eastAsia="仿宋" w:hAnsi="仿宋" w:cs="楷体_GB2312" w:hint="eastAsia"/>
          <w:bCs/>
          <w:sz w:val="32"/>
          <w:szCs w:val="32"/>
        </w:rPr>
        <w:t>万元，增长</w:t>
      </w:r>
      <w:r>
        <w:rPr>
          <w:rFonts w:ascii="仿宋" w:eastAsia="仿宋" w:hAnsi="仿宋" w:cs="楷体_GB2312" w:hint="eastAsia"/>
          <w:bCs/>
          <w:sz w:val="32"/>
          <w:szCs w:val="32"/>
        </w:rPr>
        <w:t>60.56</w:t>
      </w:r>
      <w:r>
        <w:rPr>
          <w:rFonts w:ascii="仿宋" w:eastAsia="仿宋" w:hAnsi="仿宋" w:cs="楷体_GB2312" w:hint="eastAsia"/>
          <w:bCs/>
          <w:sz w:val="32"/>
          <w:szCs w:val="32"/>
        </w:rPr>
        <w:t>%</w:t>
      </w:r>
      <w:r>
        <w:rPr>
          <w:rFonts w:ascii="仿宋" w:eastAsia="仿宋" w:hAnsi="仿宋" w:cs="楷体_GB2312" w:hint="eastAsia"/>
          <w:bCs/>
          <w:sz w:val="32"/>
          <w:szCs w:val="32"/>
        </w:rPr>
        <w:t>。主要原因是：本年度上级追加项目资金数较多。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（三）部门整体支出绩效目标、指标</w:t>
      </w:r>
    </w:p>
    <w:p w:rsidR="00112E6C" w:rsidRDefault="00CA1DD1">
      <w:pPr>
        <w:spacing w:line="560" w:lineRule="exact"/>
        <w:ind w:firstLineChars="150" w:firstLine="48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lastRenderedPageBreak/>
        <w:t>1</w:t>
      </w:r>
      <w:r>
        <w:rPr>
          <w:rFonts w:ascii="仿宋" w:eastAsia="仿宋" w:hAnsi="仿宋" w:cs="楷体_GB2312" w:hint="eastAsia"/>
          <w:bCs/>
          <w:sz w:val="32"/>
          <w:szCs w:val="32"/>
        </w:rPr>
        <w:t>、生态修复工作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绩效目标：完成</w:t>
      </w:r>
      <w:r>
        <w:rPr>
          <w:rFonts w:ascii="仿宋" w:eastAsia="仿宋" w:hAnsi="仿宋" w:cs="楷体_GB2312" w:hint="eastAsia"/>
          <w:bCs/>
          <w:sz w:val="32"/>
          <w:szCs w:val="32"/>
        </w:rPr>
        <w:t>2025</w:t>
      </w:r>
      <w:r>
        <w:rPr>
          <w:rFonts w:ascii="仿宋" w:eastAsia="仿宋" w:hAnsi="仿宋" w:cs="楷体_GB2312" w:hint="eastAsia"/>
          <w:bCs/>
          <w:sz w:val="32"/>
          <w:szCs w:val="32"/>
        </w:rPr>
        <w:t>年生态绿化工程的规划技术和苗木服务。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绩效指标：造林完成率，绿化建设完成率。</w:t>
      </w:r>
    </w:p>
    <w:p w:rsidR="00112E6C" w:rsidRDefault="00CA1DD1">
      <w:pPr>
        <w:spacing w:line="560" w:lineRule="exact"/>
        <w:ind w:firstLineChars="150" w:firstLine="48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2</w:t>
      </w:r>
      <w:r>
        <w:rPr>
          <w:rFonts w:ascii="仿宋" w:eastAsia="仿宋" w:hAnsi="仿宋" w:cs="楷体_GB2312" w:hint="eastAsia"/>
          <w:bCs/>
          <w:sz w:val="32"/>
          <w:szCs w:val="32"/>
        </w:rPr>
        <w:t>、森林资源保护工作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绩效目标：完成</w:t>
      </w:r>
      <w:r>
        <w:rPr>
          <w:rFonts w:ascii="仿宋" w:eastAsia="仿宋" w:hAnsi="仿宋" w:cs="楷体_GB2312" w:hint="eastAsia"/>
          <w:bCs/>
          <w:sz w:val="32"/>
          <w:szCs w:val="32"/>
        </w:rPr>
        <w:t>2025</w:t>
      </w:r>
      <w:r>
        <w:rPr>
          <w:rFonts w:ascii="仿宋" w:eastAsia="仿宋" w:hAnsi="仿宋" w:cs="楷体_GB2312" w:hint="eastAsia"/>
          <w:bCs/>
          <w:sz w:val="32"/>
          <w:szCs w:val="32"/>
        </w:rPr>
        <w:t>年森林生态效益补偿和天然林商业性采伐补助和双百万封山育林。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绩效指标：森林生态效益补偿完成率，停伐补助完成率，封山育林完成率。</w:t>
      </w:r>
    </w:p>
    <w:p w:rsidR="00112E6C" w:rsidRDefault="00CA1DD1">
      <w:pPr>
        <w:spacing w:line="560" w:lineRule="exact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3</w:t>
      </w:r>
      <w:r>
        <w:rPr>
          <w:rFonts w:ascii="仿宋" w:eastAsia="仿宋" w:hAnsi="仿宋" w:cs="楷体_GB2312" w:hint="eastAsia"/>
          <w:bCs/>
          <w:sz w:val="32"/>
          <w:szCs w:val="32"/>
        </w:rPr>
        <w:t>、护林防火工作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绩效目标：完成</w:t>
      </w:r>
      <w:r>
        <w:rPr>
          <w:rFonts w:ascii="仿宋" w:eastAsia="仿宋" w:hAnsi="仿宋" w:cs="楷体_GB2312" w:hint="eastAsia"/>
          <w:bCs/>
          <w:sz w:val="32"/>
          <w:szCs w:val="32"/>
        </w:rPr>
        <w:t>2025</w:t>
      </w:r>
      <w:r>
        <w:rPr>
          <w:rFonts w:ascii="仿宋" w:eastAsia="仿宋" w:hAnsi="仿宋" w:cs="楷体_GB2312" w:hint="eastAsia"/>
          <w:bCs/>
          <w:sz w:val="32"/>
          <w:szCs w:val="32"/>
        </w:rPr>
        <w:t>年防火工作，抓好火灾隐患排查。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绩效指标：火灾隐患排查率。</w:t>
      </w:r>
    </w:p>
    <w:p w:rsidR="00112E6C" w:rsidRDefault="00CA1DD1">
      <w:pPr>
        <w:spacing w:line="560" w:lineRule="exact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4</w:t>
      </w:r>
      <w:r>
        <w:rPr>
          <w:rFonts w:ascii="仿宋" w:eastAsia="仿宋" w:hAnsi="仿宋" w:cs="楷体_GB2312" w:hint="eastAsia"/>
          <w:bCs/>
          <w:sz w:val="32"/>
          <w:szCs w:val="32"/>
        </w:rPr>
        <w:t>、自然资源保护区工作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绩效目标：完成</w:t>
      </w:r>
      <w:r>
        <w:rPr>
          <w:rFonts w:ascii="仿宋" w:eastAsia="仿宋" w:hAnsi="仿宋" w:cs="楷体_GB2312" w:hint="eastAsia"/>
          <w:bCs/>
          <w:sz w:val="32"/>
          <w:szCs w:val="32"/>
        </w:rPr>
        <w:t>2025</w:t>
      </w:r>
      <w:r>
        <w:rPr>
          <w:rFonts w:ascii="仿宋" w:eastAsia="仿宋" w:hAnsi="仿宋" w:cs="楷体_GB2312" w:hint="eastAsia"/>
          <w:bCs/>
          <w:sz w:val="32"/>
          <w:szCs w:val="32"/>
        </w:rPr>
        <w:t>年护林防火工作和森林抚育和良种培育。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绩效</w:t>
      </w:r>
      <w:r>
        <w:rPr>
          <w:rFonts w:ascii="仿宋" w:eastAsia="仿宋" w:hAnsi="仿宋" w:cs="楷体_GB2312" w:hint="eastAsia"/>
          <w:bCs/>
          <w:sz w:val="32"/>
          <w:szCs w:val="32"/>
        </w:rPr>
        <w:t>指标：良种培育完成率，护林防火完成率，森林抚育完成率。</w:t>
      </w:r>
      <w:r w:rsidR="00112E6C">
        <w:rPr>
          <w:rFonts w:ascii="仿宋" w:eastAsia="仿宋" w:hAnsi="仿宋" w:cs="楷体_GB2312" w:hint="eastAsia"/>
          <w:bCs/>
          <w:sz w:val="32"/>
          <w:szCs w:val="32"/>
        </w:rPr>
        <w:fldChar w:fldCharType="begin"/>
      </w:r>
      <w:r>
        <w:rPr>
          <w:rFonts w:ascii="仿宋" w:eastAsia="仿宋" w:hAnsi="仿宋" w:cs="楷体_GB2312" w:hint="eastAsia"/>
          <w:bCs/>
          <w:sz w:val="32"/>
          <w:szCs w:val="32"/>
        </w:rPr>
        <w:instrText xml:space="preserve"> TC </w:instrText>
      </w:r>
      <w:r>
        <w:rPr>
          <w:rFonts w:ascii="仿宋" w:eastAsia="仿宋" w:hAnsi="仿宋" w:cs="楷体_GB2312" w:hint="eastAsia"/>
          <w:bCs/>
          <w:sz w:val="32"/>
          <w:szCs w:val="32"/>
        </w:rPr>
        <w:instrText>分项绩效目标</w:instrText>
      </w:r>
      <w:r>
        <w:rPr>
          <w:rFonts w:ascii="仿宋" w:eastAsia="仿宋" w:hAnsi="仿宋" w:cs="楷体_GB2312" w:hint="eastAsia"/>
          <w:bCs/>
          <w:sz w:val="32"/>
          <w:szCs w:val="32"/>
        </w:rPr>
        <w:instrText xml:space="preserve"> \f A \l 1 </w:instrText>
      </w:r>
      <w:r w:rsidR="00112E6C">
        <w:rPr>
          <w:rFonts w:ascii="仿宋" w:eastAsia="仿宋" w:hAnsi="仿宋" w:cs="楷体_GB2312" w:hint="eastAsia"/>
          <w:bCs/>
          <w:sz w:val="32"/>
          <w:szCs w:val="32"/>
        </w:rPr>
        <w:fldChar w:fldCharType="end"/>
      </w:r>
    </w:p>
    <w:p w:rsidR="00112E6C" w:rsidRDefault="00CA1DD1">
      <w:pPr>
        <w:spacing w:line="560" w:lineRule="exact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二、自评工作开展情况</w:t>
      </w:r>
    </w:p>
    <w:p w:rsidR="00112E6C" w:rsidRDefault="00CA1DD1">
      <w:pPr>
        <w:spacing w:line="560" w:lineRule="exact"/>
        <w:ind w:firstLineChars="150" w:firstLine="48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（一）自评的组织工作</w:t>
      </w:r>
    </w:p>
    <w:p w:rsidR="00112E6C" w:rsidRDefault="00CA1DD1">
      <w:pPr>
        <w:spacing w:line="560" w:lineRule="exact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我部门根据县财政局全面开展绩效管理的要求，全面开展了对</w:t>
      </w:r>
      <w:r>
        <w:rPr>
          <w:rFonts w:ascii="仿宋" w:eastAsia="仿宋" w:hAnsi="仿宋" w:cs="楷体_GB2312" w:hint="eastAsia"/>
          <w:bCs/>
          <w:sz w:val="32"/>
          <w:szCs w:val="32"/>
        </w:rPr>
        <w:t>2025</w:t>
      </w:r>
      <w:r>
        <w:rPr>
          <w:rFonts w:ascii="仿宋" w:eastAsia="仿宋" w:hAnsi="仿宋" w:cs="楷体_GB2312" w:hint="eastAsia"/>
          <w:bCs/>
          <w:sz w:val="32"/>
          <w:szCs w:val="32"/>
        </w:rPr>
        <w:t>所有项目的绩效评价，制定了部门自评工作方案，并按照方案计划，主要做了如下工作：成立绩效评价工作领导小组，由单位负责人为组长，分管财务主管领导为副组长，相关科室的负责人为成员，由办公室牵头负责具体的绩效评价工作。由办公室组织财务及相关业务科室人员开展项目评价，并对项目实施过程中形成的书面材料进行核查，根据</w:t>
      </w:r>
      <w:r>
        <w:rPr>
          <w:rFonts w:ascii="仿宋" w:eastAsia="仿宋" w:hAnsi="仿宋" w:cs="楷体_GB2312" w:hint="eastAsia"/>
          <w:bCs/>
          <w:sz w:val="32"/>
          <w:szCs w:val="32"/>
        </w:rPr>
        <w:t>自查结果和现场评价的情况，以及科室提供资料，统一编制评价报告。由组长及副组长对</w:t>
      </w:r>
      <w:r>
        <w:rPr>
          <w:rFonts w:ascii="仿宋" w:eastAsia="仿宋" w:hAnsi="仿宋" w:cs="楷体_GB2312" w:hint="eastAsia"/>
          <w:bCs/>
          <w:sz w:val="32"/>
          <w:szCs w:val="32"/>
        </w:rPr>
        <w:lastRenderedPageBreak/>
        <w:t>绩效自评表进行打分，并对评价报告进行审核修改，最终定稿。</w:t>
      </w:r>
    </w:p>
    <w:p w:rsidR="00112E6C" w:rsidRDefault="00CA1DD1">
      <w:pPr>
        <w:spacing w:line="560" w:lineRule="exact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三、部门整体支出绩效目标实现情况及指标分析</w:t>
      </w:r>
    </w:p>
    <w:p w:rsidR="00112E6C" w:rsidRDefault="00CA1DD1">
      <w:pPr>
        <w:spacing w:line="560" w:lineRule="exact"/>
        <w:ind w:firstLineChars="150" w:firstLine="48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根据绩效文本中分项绩效目标，我部门</w:t>
      </w:r>
      <w:r>
        <w:rPr>
          <w:rFonts w:ascii="仿宋" w:eastAsia="仿宋" w:hAnsi="仿宋" w:cs="楷体_GB2312" w:hint="eastAsia"/>
          <w:bCs/>
          <w:sz w:val="32"/>
          <w:szCs w:val="32"/>
        </w:rPr>
        <w:t>2025</w:t>
      </w:r>
      <w:r>
        <w:rPr>
          <w:rFonts w:ascii="仿宋" w:eastAsia="仿宋" w:hAnsi="仿宋" w:cs="楷体_GB2312" w:hint="eastAsia"/>
          <w:bCs/>
          <w:sz w:val="32"/>
          <w:szCs w:val="32"/>
        </w:rPr>
        <w:t>年项目总体完成情况较好，项目质量较高，资金利用充分，预算执行合理，达到了较好的反馈效果。</w:t>
      </w:r>
    </w:p>
    <w:p w:rsidR="00112E6C" w:rsidRDefault="00CA1DD1">
      <w:pPr>
        <w:spacing w:line="560" w:lineRule="exact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四、评价结论和评价等级</w:t>
      </w:r>
    </w:p>
    <w:p w:rsidR="00112E6C" w:rsidRDefault="00CA1DD1">
      <w:pPr>
        <w:spacing w:line="560" w:lineRule="exact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根据部门职责定位和各项工作履职情况进行综合评价，给出总得分，得分</w:t>
      </w:r>
      <w:r>
        <w:rPr>
          <w:rFonts w:ascii="仿宋" w:eastAsia="仿宋" w:hAnsi="仿宋" w:cs="楷体_GB2312" w:hint="eastAsia"/>
          <w:bCs/>
          <w:sz w:val="32"/>
          <w:szCs w:val="32"/>
        </w:rPr>
        <w:t>90</w:t>
      </w:r>
      <w:r>
        <w:rPr>
          <w:rFonts w:ascii="仿宋" w:eastAsia="仿宋" w:hAnsi="仿宋" w:cs="楷体_GB2312" w:hint="eastAsia"/>
          <w:bCs/>
          <w:sz w:val="32"/>
          <w:szCs w:val="32"/>
        </w:rPr>
        <w:t>分，综合绩效评价等级为优秀。</w:t>
      </w:r>
    </w:p>
    <w:p w:rsidR="00112E6C" w:rsidRDefault="00CA1DD1">
      <w:pPr>
        <w:spacing w:line="560" w:lineRule="exact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五、存在的问题及改进措施</w:t>
      </w:r>
    </w:p>
    <w:p w:rsidR="00112E6C" w:rsidRDefault="00CA1DD1">
      <w:pPr>
        <w:spacing w:line="560" w:lineRule="exact"/>
        <w:ind w:firstLineChars="100" w:firstLine="32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（一）存在的主要问题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1</w:t>
      </w:r>
      <w:r>
        <w:rPr>
          <w:rFonts w:ascii="仿宋" w:eastAsia="仿宋" w:hAnsi="仿宋" w:cs="楷体_GB2312" w:hint="eastAsia"/>
          <w:bCs/>
          <w:sz w:val="32"/>
          <w:szCs w:val="32"/>
        </w:rPr>
        <w:t>、部分项目开展进度较预算而言，相对迟缓；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2</w:t>
      </w:r>
      <w:r>
        <w:rPr>
          <w:rFonts w:ascii="仿宋" w:eastAsia="仿宋" w:hAnsi="仿宋" w:cs="楷体_GB2312" w:hint="eastAsia"/>
          <w:bCs/>
          <w:sz w:val="32"/>
          <w:szCs w:val="32"/>
        </w:rPr>
        <w:t>、对绩效评价工作“谁使用、谁评价”的原则执行不够到位；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3</w:t>
      </w:r>
      <w:r>
        <w:rPr>
          <w:rFonts w:ascii="仿宋" w:eastAsia="仿宋" w:hAnsi="仿宋" w:cs="楷体_GB2312" w:hint="eastAsia"/>
          <w:bCs/>
          <w:sz w:val="32"/>
          <w:szCs w:val="32"/>
        </w:rPr>
        <w:t>、项目成本管理目标设置还不够具体，对项目资金使用成本的控制有待进一步加强。</w:t>
      </w:r>
    </w:p>
    <w:p w:rsidR="00112E6C" w:rsidRDefault="00CA1DD1">
      <w:pPr>
        <w:spacing w:line="560" w:lineRule="exact"/>
        <w:ind w:firstLineChars="150" w:firstLine="48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（二）针对问题提出具体的改进措施或建议</w:t>
      </w:r>
    </w:p>
    <w:p w:rsidR="00112E6C" w:rsidRDefault="00CA1DD1">
      <w:pPr>
        <w:spacing w:line="560" w:lineRule="exact"/>
        <w:ind w:firstLineChars="200" w:firstLine="640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针对我部门发现的问题，在今后的工作开展中采取以下措施：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1</w:t>
      </w:r>
      <w:r>
        <w:rPr>
          <w:rFonts w:ascii="仿宋" w:eastAsia="仿宋" w:hAnsi="仿宋" w:cs="楷体_GB2312" w:hint="eastAsia"/>
          <w:bCs/>
          <w:sz w:val="32"/>
          <w:szCs w:val="32"/>
        </w:rPr>
        <w:t>、加强制度建设。建立健全机关预算绩效管理制度，为全年预算绩效目标的实现奠定制度基础。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2</w:t>
      </w:r>
      <w:r>
        <w:rPr>
          <w:rFonts w:ascii="仿宋" w:eastAsia="仿宋" w:hAnsi="仿宋" w:cs="楷体_GB2312" w:hint="eastAsia"/>
          <w:bCs/>
          <w:sz w:val="32"/>
          <w:szCs w:val="32"/>
        </w:rPr>
        <w:t>、规范财务管理。进一步完善财务管理制度，通过科学编制预算、优化支出结构、加快政府采购、加快项目建设、及时拨付资金，确保经费支出进度达到规定标准。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3</w:t>
      </w:r>
      <w:r>
        <w:rPr>
          <w:rFonts w:ascii="仿宋" w:eastAsia="仿宋" w:hAnsi="仿宋" w:cs="楷体_GB2312" w:hint="eastAsia"/>
          <w:bCs/>
          <w:sz w:val="32"/>
          <w:szCs w:val="32"/>
        </w:rPr>
        <w:t>、加强内部监督。加强内部监督制度建设，对绩效运行、重大支出事项、资产处置及其他重要经济业务事项决策和执行进行监</w:t>
      </w:r>
      <w:r>
        <w:rPr>
          <w:rFonts w:ascii="仿宋" w:eastAsia="仿宋" w:hAnsi="仿宋" w:cs="楷体_GB2312" w:hint="eastAsia"/>
          <w:bCs/>
          <w:sz w:val="32"/>
          <w:szCs w:val="32"/>
        </w:rPr>
        <w:lastRenderedPageBreak/>
        <w:t>督，定期开展财务内部审计，确保财政资金使用安全合规。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4</w:t>
      </w:r>
      <w:r>
        <w:rPr>
          <w:rFonts w:ascii="仿宋" w:eastAsia="仿宋" w:hAnsi="仿宋" w:cs="楷体_GB2312" w:hint="eastAsia"/>
          <w:bCs/>
          <w:sz w:val="32"/>
          <w:szCs w:val="32"/>
        </w:rPr>
        <w:t>、加强绩效监控。积极开展绩效运行监控，发现问题及时采取措施，确保绩效目标如期保质实现。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5</w:t>
      </w:r>
      <w:r>
        <w:rPr>
          <w:rFonts w:ascii="仿宋" w:eastAsia="仿宋" w:hAnsi="仿宋" w:cs="楷体_GB2312" w:hint="eastAsia"/>
          <w:bCs/>
          <w:sz w:val="32"/>
          <w:szCs w:val="32"/>
        </w:rPr>
        <w:t>、做好绩效自评。按要求开展部门预算绩效自评和重点项目评价工作，对评价中发现的问题及时整改。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6</w:t>
      </w:r>
      <w:r>
        <w:rPr>
          <w:rFonts w:ascii="仿宋" w:eastAsia="仿宋" w:hAnsi="仿宋" w:cs="楷体_GB2312" w:hint="eastAsia"/>
          <w:bCs/>
          <w:sz w:val="32"/>
          <w:szCs w:val="32"/>
        </w:rPr>
        <w:t>、加强宣传培训。加强人员培训，加大宣传力度，强化预算绩效管理意识，促进预算绩效管理水平提升。</w:t>
      </w:r>
    </w:p>
    <w:p w:rsidR="00112E6C" w:rsidRDefault="00112E6C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</w:p>
    <w:p w:rsidR="00112E6C" w:rsidRDefault="00CA1DD1">
      <w:pPr>
        <w:spacing w:line="560" w:lineRule="exact"/>
        <w:ind w:firstLineChars="150" w:firstLine="4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六、评价工作组人员名单及签字（姓名、工作单位、职务、职称）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/>
          <w:bCs/>
          <w:sz w:val="32"/>
          <w:szCs w:val="32"/>
        </w:rPr>
        <w:t>史玉</w:t>
      </w:r>
      <w:r>
        <w:rPr>
          <w:rFonts w:ascii="仿宋" w:eastAsia="仿宋" w:hAnsi="仿宋" w:cs="楷体_GB2312"/>
          <w:bCs/>
          <w:sz w:val="32"/>
          <w:szCs w:val="32"/>
        </w:rPr>
        <w:t>敏：林业局副局长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/>
          <w:bCs/>
          <w:sz w:val="32"/>
          <w:szCs w:val="32"/>
        </w:rPr>
        <w:t>杨永芳：林业工作站站长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王向阳：</w:t>
      </w:r>
      <w:r>
        <w:rPr>
          <w:rFonts w:ascii="仿宋" w:eastAsia="仿宋" w:hAnsi="仿宋" w:cs="楷体_GB2312"/>
          <w:bCs/>
          <w:sz w:val="32"/>
          <w:szCs w:val="32"/>
        </w:rPr>
        <w:t>林业工作站副站长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梁丽梅：财务科长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王旭：生态修复科科长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段润泉：资源保护科科长</w:t>
      </w:r>
    </w:p>
    <w:p w:rsidR="00112E6C" w:rsidRDefault="00CA1DD1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bCs/>
          <w:sz w:val="32"/>
          <w:szCs w:val="32"/>
        </w:rPr>
        <w:t>郄彦林：林果中心科长</w:t>
      </w:r>
    </w:p>
    <w:p w:rsidR="00112E6C" w:rsidRDefault="00112E6C">
      <w:pPr>
        <w:spacing w:line="560" w:lineRule="exact"/>
        <w:rPr>
          <w:rFonts w:ascii="仿宋" w:eastAsia="仿宋" w:hAnsi="仿宋" w:cs="楷体_GB2312"/>
          <w:bCs/>
          <w:sz w:val="32"/>
          <w:szCs w:val="32"/>
        </w:rPr>
      </w:pPr>
    </w:p>
    <w:p w:rsidR="00112E6C" w:rsidRDefault="00112E6C">
      <w:pPr>
        <w:spacing w:line="560" w:lineRule="exact"/>
        <w:rPr>
          <w:rFonts w:ascii="楷体" w:eastAsia="楷体" w:hAnsi="楷体" w:cs="楷体_GB2312"/>
          <w:bCs/>
          <w:sz w:val="32"/>
          <w:szCs w:val="32"/>
        </w:rPr>
      </w:pPr>
    </w:p>
    <w:sectPr w:rsidR="00112E6C" w:rsidSect="00112E6C">
      <w:footerReference w:type="default" r:id="rId7"/>
      <w:pgSz w:w="11906" w:h="16838"/>
      <w:pgMar w:top="1440" w:right="1474" w:bottom="1440" w:left="1587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1DD1" w:rsidRDefault="00CA1DD1" w:rsidP="00112E6C">
      <w:pPr>
        <w:ind w:firstLine="560"/>
      </w:pPr>
      <w:r>
        <w:separator/>
      </w:r>
    </w:p>
  </w:endnote>
  <w:endnote w:type="continuationSeparator" w:id="1">
    <w:p w:rsidR="00CA1DD1" w:rsidRDefault="00CA1DD1" w:rsidP="00112E6C">
      <w:pPr>
        <w:ind w:firstLine="56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auto"/>
    <w:pitch w:val="default"/>
    <w:sig w:usb0="00000000" w:usb1="38CF7CFA" w:usb2="00082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2E6C" w:rsidRDefault="00112E6C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Quad Arrow 3073" o:spid="_x0000_s1026" type="#_x0000_t202" style="position:absolute;margin-left:0;margin-top:0;width:2in;height:2in;z-index:1;mso-wrap-style:none;mso-position-horizontal:center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 filled="f" stroked="f">
          <v:textbox style="mso-fit-shape-to-text:t" inset="0,0,0,0">
            <w:txbxContent>
              <w:p w:rsidR="00112E6C" w:rsidRDefault="00112E6C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CA1DD1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39665F" w:rsidRPr="0039665F">
                  <w:rPr>
                    <w:noProof/>
                  </w:rP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1DD1" w:rsidRDefault="00CA1DD1" w:rsidP="00112E6C">
      <w:pPr>
        <w:ind w:firstLine="560"/>
      </w:pPr>
      <w:r>
        <w:separator/>
      </w:r>
    </w:p>
  </w:footnote>
  <w:footnote w:type="continuationSeparator" w:id="1">
    <w:p w:rsidR="00CA1DD1" w:rsidRDefault="00CA1DD1" w:rsidP="00112E6C">
      <w:pPr>
        <w:ind w:firstLine="56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commondata" w:val="eyJoZGlkIjoiYzgxMzVhZTBlNDUyZWUxNDVhMjNkN2E1NjFlOTE5NDcifQ=="/>
  </w:docVars>
  <w:rsids>
    <w:rsidRoot w:val="0EBD2122"/>
    <w:rsid w:val="000B0260"/>
    <w:rsid w:val="00112E6C"/>
    <w:rsid w:val="0039665F"/>
    <w:rsid w:val="005D057E"/>
    <w:rsid w:val="007558F3"/>
    <w:rsid w:val="007E6C1F"/>
    <w:rsid w:val="007E74F2"/>
    <w:rsid w:val="00956A93"/>
    <w:rsid w:val="009E575C"/>
    <w:rsid w:val="00AE0D1A"/>
    <w:rsid w:val="00AF167E"/>
    <w:rsid w:val="00AF566A"/>
    <w:rsid w:val="00B478EA"/>
    <w:rsid w:val="00B6553A"/>
    <w:rsid w:val="00BC6576"/>
    <w:rsid w:val="00BE3D62"/>
    <w:rsid w:val="00CA1DD1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44B521C"/>
    <w:rsid w:val="1AAF0063"/>
    <w:rsid w:val="1BE140DE"/>
    <w:rsid w:val="248C197D"/>
    <w:rsid w:val="252959AF"/>
    <w:rsid w:val="277A6671"/>
    <w:rsid w:val="292D35B7"/>
    <w:rsid w:val="31151E97"/>
    <w:rsid w:val="33EB6CFF"/>
    <w:rsid w:val="35A12947"/>
    <w:rsid w:val="37387040"/>
    <w:rsid w:val="3B0548E0"/>
    <w:rsid w:val="3B625C0A"/>
    <w:rsid w:val="3CEE1963"/>
    <w:rsid w:val="436B78D3"/>
    <w:rsid w:val="48B60C1B"/>
    <w:rsid w:val="4C9C27FE"/>
    <w:rsid w:val="512260B4"/>
    <w:rsid w:val="52BD6ACB"/>
    <w:rsid w:val="55537534"/>
    <w:rsid w:val="561A74F1"/>
    <w:rsid w:val="597244E8"/>
    <w:rsid w:val="5EB71C30"/>
    <w:rsid w:val="66AF0CE5"/>
    <w:rsid w:val="6AA27932"/>
    <w:rsid w:val="6AC537CF"/>
    <w:rsid w:val="6B06298C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4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12E6C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112E6C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112E6C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a5">
    <w:name w:val="Normal (Web)"/>
    <w:basedOn w:val="a"/>
    <w:uiPriority w:val="99"/>
    <w:unhideWhenUsed/>
    <w:qFormat/>
    <w:rsid w:val="00112E6C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-">
    <w:name w:val="插入文本样式-插入实现年度发展规划目标的保障措施文件"/>
    <w:basedOn w:val="a"/>
    <w:qFormat/>
    <w:rsid w:val="00112E6C"/>
    <w:pPr>
      <w:spacing w:line="500" w:lineRule="exact"/>
      <w:ind w:firstLine="560"/>
      <w:jc w:val="left"/>
    </w:pPr>
    <w:rPr>
      <w:rFonts w:ascii="Times New Roman" w:eastAsia="方正仿宋_GBK" w:hAnsi="Times New Roman" w:cs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338</Words>
  <Characters>1931</Characters>
  <Application>Microsoft Office Word</Application>
  <DocSecurity>0</DocSecurity>
  <Lines>16</Lines>
  <Paragraphs>4</Paragraphs>
  <ScaleCrop>false</ScaleCrop>
  <Company/>
  <LinksUpToDate>false</LinksUpToDate>
  <CharactersWithSpaces>2265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附件3：</dc:title>
  <dc:creator>欣欣大人</dc:creator>
  <cp:lastModifiedBy>pc</cp:lastModifiedBy>
  <cp:revision>6</cp:revision>
  <cp:lastPrinted>2024-03-06T07:40:00Z</cp:lastPrinted>
  <dcterms:created xsi:type="dcterms:W3CDTF">2020-02-04T03:46:00Z</dcterms:created>
  <dcterms:modified xsi:type="dcterms:W3CDTF">2026-04-22T07:47:00Z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  <property fmtid="{D5CDD505-2E9C-101B-9397-08002B2CF9AE}" pid="3" name="ICV">
    <vt:lpwstr>807859DDDB204D7484EDDFBB4E9D1D2E</vt:lpwstr>
  </property>
</Properties>
</file>