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145645">
      <w:pPr>
        <w:adjustRightInd w:val="0"/>
        <w:snapToGrid w:val="0"/>
        <w:spacing w:line="560" w:lineRule="exact"/>
        <w:rPr>
          <w:rFonts w:hint="eastAsia" w:ascii="黑体" w:hAnsi="黑体" w:eastAsia="黑体" w:cs="黑体"/>
          <w:sz w:val="32"/>
          <w:szCs w:val="32"/>
          <w:lang w:eastAsia="zh-CN"/>
        </w:rPr>
      </w:pPr>
      <w:bookmarkStart w:id="0" w:name="_GoBack"/>
      <w:bookmarkEnd w:id="0"/>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5F3266FD">
      <w:pPr>
        <w:spacing w:line="560" w:lineRule="exact"/>
        <w:jc w:val="center"/>
        <w:rPr>
          <w:rFonts w:ascii="宋体" w:hAnsi="宋体" w:cs="宋体"/>
          <w:b/>
          <w:bCs/>
          <w:sz w:val="44"/>
          <w:szCs w:val="44"/>
        </w:rPr>
      </w:pPr>
      <w:r>
        <w:rPr>
          <w:rFonts w:hint="eastAsia" w:ascii="宋体" w:hAnsi="宋体" w:cs="宋体"/>
          <w:b/>
          <w:bCs/>
          <w:sz w:val="44"/>
          <w:szCs w:val="44"/>
          <w:lang w:eastAsia="zh-CN"/>
        </w:rPr>
        <w:t>威州镇</w:t>
      </w:r>
      <w:r>
        <w:rPr>
          <w:rFonts w:hint="eastAsia" w:ascii="宋体" w:hAnsi="宋体" w:cs="宋体"/>
          <w:b/>
          <w:bCs/>
          <w:sz w:val="44"/>
          <w:szCs w:val="44"/>
        </w:rPr>
        <w:t>202</w:t>
      </w:r>
      <w:r>
        <w:rPr>
          <w:rFonts w:hint="eastAsia" w:ascii="宋体" w:hAnsi="宋体" w:cs="宋体"/>
          <w:b/>
          <w:bCs/>
          <w:sz w:val="44"/>
          <w:szCs w:val="44"/>
          <w:lang w:val="en-US" w:eastAsia="zh-CN"/>
        </w:rPr>
        <w:t>6</w:t>
      </w:r>
      <w:r>
        <w:rPr>
          <w:rFonts w:hint="eastAsia" w:ascii="宋体" w:hAnsi="宋体" w:cs="宋体"/>
          <w:b/>
          <w:bCs/>
          <w:sz w:val="44"/>
          <w:szCs w:val="44"/>
        </w:rPr>
        <w:t>年度整体支出绩效自评报告</w:t>
      </w:r>
    </w:p>
    <w:p w14:paraId="21E45472">
      <w:pPr>
        <w:spacing w:line="560" w:lineRule="exact"/>
        <w:jc w:val="center"/>
        <w:rPr>
          <w:rFonts w:ascii="华文楷体" w:eastAsia="华文楷体"/>
          <w:sz w:val="32"/>
          <w:szCs w:val="32"/>
        </w:rPr>
      </w:pPr>
    </w:p>
    <w:p w14:paraId="1056EB6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威州镇</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3E9E8567">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23E928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33D8B8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部门职责：1、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w:t>
      </w:r>
      <w:r>
        <w:rPr>
          <w:rFonts w:hint="eastAsia" w:ascii="仿宋" w:hAnsi="仿宋" w:eastAsia="仿宋"/>
          <w:sz w:val="32"/>
          <w:szCs w:val="32"/>
          <w:lang w:eastAsia="zh-CN"/>
        </w:rPr>
        <w:t>村</w:t>
      </w:r>
      <w:r>
        <w:rPr>
          <w:rFonts w:hint="eastAsia" w:ascii="仿宋" w:hAnsi="仿宋" w:eastAsia="仿宋"/>
          <w:sz w:val="32"/>
          <w:szCs w:val="32"/>
        </w:rPr>
        <w:t>日常管理工作等。</w:t>
      </w:r>
    </w:p>
    <w:p w14:paraId="46254B5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2、承担城乡建设、生态环境、文化市场、农业农村、安全生产、民族宗教等领域行政执法工作。配合县直相关部门做好授权、委托事项之外的其他领域行政执法工作。</w:t>
      </w:r>
    </w:p>
    <w:p w14:paraId="210E0FBC">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3、负责行政审批服务事项的受理、办理工作，提供政策和业务咨询，指导村便民服务点建设。负责开展群众文化艺术娱乐、体育活动，负责文化市场进行监督、巡察工作，负责文物普查、保护和开发利用工作，指导村文化室建设、文体设施规划建设。负责编制镇财政预决算，负责镇政府预算单位的财务管理和核算，负责村级资金核拨和监督管理等相关工作。</w:t>
      </w:r>
    </w:p>
    <w:p w14:paraId="174574F1">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14:paraId="33F9C597">
      <w:pPr>
        <w:widowControl w:val="0"/>
        <w:wordWrap/>
        <w:adjustRightInd w:val="0"/>
        <w:snapToGrid w:val="0"/>
        <w:spacing w:line="560" w:lineRule="exact"/>
        <w:ind w:right="0"/>
        <w:textAlignment w:val="auto"/>
        <w:outlineLvl w:val="9"/>
        <w:rPr>
          <w:rFonts w:hint="eastAsia" w:ascii="仿宋" w:hAnsi="仿宋" w:eastAsia="仿宋"/>
          <w:sz w:val="32"/>
          <w:szCs w:val="32"/>
        </w:rPr>
      </w:pPr>
      <w:r>
        <w:rPr>
          <w:rFonts w:hint="eastAsia" w:ascii="仿宋" w:hAnsi="仿宋" w:eastAsia="仿宋"/>
          <w:sz w:val="32"/>
          <w:szCs w:val="32"/>
        </w:rPr>
        <w:t>机构设置：</w:t>
      </w:r>
    </w:p>
    <w:p w14:paraId="1DF82033">
      <w:pPr>
        <w:rPr>
          <w:rFonts w:ascii="新宋体" w:hAnsi="新宋体" w:eastAsia="新宋体" w:cs="Times New Roman"/>
          <w:b/>
          <w:sz w:val="30"/>
          <w:szCs w:val="30"/>
        </w:rPr>
      </w:pPr>
      <w:r>
        <w:rPr>
          <w:rFonts w:ascii="新宋体" w:hAnsi="新宋体" w:eastAsia="新宋体" w:cs="Times New Roman"/>
          <w:b/>
          <w:sz w:val="30"/>
          <w:szCs w:val="30"/>
        </w:rPr>
        <w:t>部门</w:t>
      </w:r>
      <w:r>
        <w:rPr>
          <w:rFonts w:hint="eastAsia" w:ascii="新宋体" w:hAnsi="新宋体" w:eastAsia="新宋体" w:cs="Times New Roman"/>
          <w:b/>
          <w:sz w:val="30"/>
          <w:szCs w:val="30"/>
        </w:rPr>
        <w:t>机构设置情况</w:t>
      </w:r>
    </w:p>
    <w:tbl>
      <w:tblPr>
        <w:tblStyle w:val="4"/>
        <w:tblW w:w="90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08"/>
        <w:gridCol w:w="1057"/>
        <w:gridCol w:w="1188"/>
        <w:gridCol w:w="2700"/>
      </w:tblGrid>
      <w:tr w14:paraId="40FD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1" w:hRule="atLeast"/>
          <w:tblHeader/>
          <w:jc w:val="center"/>
        </w:trPr>
        <w:tc>
          <w:tcPr>
            <w:tcW w:w="4108" w:type="dxa"/>
            <w:vMerge w:val="restart"/>
            <w:tcBorders>
              <w:top w:val="single" w:color="000000" w:sz="6" w:space="0"/>
              <w:left w:val="single" w:color="000000" w:sz="6" w:space="0"/>
              <w:bottom w:val="single" w:color="000000" w:sz="6" w:space="0"/>
              <w:right w:val="single" w:color="000000" w:sz="6" w:space="0"/>
            </w:tcBorders>
            <w:vAlign w:val="center"/>
          </w:tcPr>
          <w:p w14:paraId="2D21CB70">
            <w:pPr>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057" w:type="dxa"/>
            <w:vMerge w:val="restart"/>
            <w:tcBorders>
              <w:top w:val="single" w:color="000000" w:sz="6" w:space="0"/>
              <w:left w:val="single" w:color="000000" w:sz="6" w:space="0"/>
              <w:bottom w:val="single" w:color="000000" w:sz="6" w:space="0"/>
              <w:right w:val="single" w:color="000000" w:sz="6" w:space="0"/>
            </w:tcBorders>
            <w:vAlign w:val="center"/>
          </w:tcPr>
          <w:p w14:paraId="4256222B">
            <w:pPr>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188" w:type="dxa"/>
            <w:vMerge w:val="restart"/>
            <w:tcBorders>
              <w:top w:val="single" w:color="000000" w:sz="6" w:space="0"/>
              <w:left w:val="single" w:color="000000" w:sz="6" w:space="0"/>
              <w:bottom w:val="single" w:color="000000" w:sz="6" w:space="0"/>
              <w:right w:val="single" w:color="000000" w:sz="6" w:space="0"/>
            </w:tcBorders>
            <w:vAlign w:val="center"/>
          </w:tcPr>
          <w:p w14:paraId="37AB5981">
            <w:pPr>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700" w:type="dxa"/>
            <w:vMerge w:val="restart"/>
            <w:tcBorders>
              <w:top w:val="single" w:color="000000" w:sz="6" w:space="0"/>
              <w:left w:val="single" w:color="000000" w:sz="6" w:space="0"/>
              <w:bottom w:val="single" w:color="000000" w:sz="6" w:space="0"/>
              <w:right w:val="single" w:color="000000" w:sz="6" w:space="0"/>
            </w:tcBorders>
            <w:vAlign w:val="center"/>
          </w:tcPr>
          <w:p w14:paraId="07E96B3C">
            <w:pPr>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14:paraId="715E1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1" w:hRule="atLeast"/>
          <w:tblHeader/>
          <w:jc w:val="center"/>
        </w:trPr>
        <w:tc>
          <w:tcPr>
            <w:tcW w:w="4108" w:type="dxa"/>
            <w:vMerge w:val="restart"/>
            <w:tcBorders>
              <w:top w:val="single" w:color="000000" w:sz="6" w:space="0"/>
              <w:left w:val="single" w:color="000000" w:sz="6" w:space="0"/>
              <w:bottom w:val="single" w:color="000000" w:sz="6" w:space="0"/>
              <w:right w:val="single" w:color="000000" w:sz="6" w:space="0"/>
            </w:tcBorders>
            <w:vAlign w:val="center"/>
          </w:tcPr>
          <w:p w14:paraId="4975A8B0">
            <w:pPr>
              <w:rPr>
                <w:rFonts w:ascii="Times New Roman" w:hAnsi="Times New Roman" w:eastAsia="方正书宋_GBK" w:cs="Times New Roman"/>
                <w:szCs w:val="24"/>
              </w:rPr>
            </w:pPr>
            <w:r>
              <w:rPr>
                <w:rFonts w:hint="eastAsia" w:ascii="Times New Roman" w:hAnsi="Times New Roman" w:eastAsia="方正书宋_GBK" w:cs="Times New Roman"/>
                <w:szCs w:val="24"/>
                <w:lang w:eastAsia="zh-CN"/>
              </w:rPr>
              <w:t>井陉县</w:t>
            </w:r>
            <w:r>
              <w:rPr>
                <w:rFonts w:hint="eastAsia" w:ascii="Times New Roman" w:hAnsi="Times New Roman" w:eastAsia="方正书宋_GBK" w:cs="Times New Roman"/>
                <w:szCs w:val="24"/>
              </w:rPr>
              <w:t>威州镇人民政府</w:t>
            </w:r>
            <w:r>
              <w:rPr>
                <w:rFonts w:hint="eastAsia" w:ascii="Times New Roman" w:hAnsi="Times New Roman" w:eastAsia="方正书宋_GBK" w:cs="Times New Roman"/>
                <w:szCs w:val="24"/>
                <w:lang w:eastAsia="zh-CN"/>
              </w:rPr>
              <w:t>本级</w:t>
            </w:r>
          </w:p>
        </w:tc>
        <w:tc>
          <w:tcPr>
            <w:tcW w:w="1057" w:type="dxa"/>
            <w:vMerge w:val="restart"/>
            <w:tcBorders>
              <w:top w:val="single" w:color="000000" w:sz="6" w:space="0"/>
              <w:left w:val="single" w:color="000000" w:sz="6" w:space="0"/>
              <w:bottom w:val="single" w:color="000000" w:sz="6" w:space="0"/>
              <w:right w:val="single" w:color="000000" w:sz="6" w:space="0"/>
            </w:tcBorders>
            <w:vAlign w:val="center"/>
          </w:tcPr>
          <w:p w14:paraId="55D017E8">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行政</w:t>
            </w:r>
          </w:p>
        </w:tc>
        <w:tc>
          <w:tcPr>
            <w:tcW w:w="1188" w:type="dxa"/>
            <w:vMerge w:val="restart"/>
            <w:tcBorders>
              <w:top w:val="single" w:color="000000" w:sz="6" w:space="0"/>
              <w:left w:val="single" w:color="000000" w:sz="6" w:space="0"/>
              <w:bottom w:val="single" w:color="000000" w:sz="6" w:space="0"/>
              <w:right w:val="single" w:color="000000" w:sz="6" w:space="0"/>
            </w:tcBorders>
            <w:vAlign w:val="center"/>
          </w:tcPr>
          <w:p w14:paraId="45D853C2">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700" w:type="dxa"/>
            <w:vMerge w:val="restart"/>
            <w:tcBorders>
              <w:top w:val="single" w:color="000000" w:sz="6" w:space="0"/>
              <w:left w:val="single" w:color="000000" w:sz="6" w:space="0"/>
              <w:bottom w:val="single" w:color="000000" w:sz="6" w:space="0"/>
              <w:right w:val="single" w:color="000000" w:sz="6" w:space="0"/>
            </w:tcBorders>
            <w:vAlign w:val="center"/>
          </w:tcPr>
          <w:p w14:paraId="3C771AA2">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财政拨款</w:t>
            </w:r>
          </w:p>
        </w:tc>
      </w:tr>
      <w:tr w14:paraId="1D9D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1" w:hRule="atLeast"/>
          <w:tblHeader/>
          <w:jc w:val="center"/>
        </w:trPr>
        <w:tc>
          <w:tcPr>
            <w:tcW w:w="4108" w:type="dxa"/>
            <w:vMerge w:val="restart"/>
            <w:tcBorders>
              <w:top w:val="single" w:color="000000" w:sz="6" w:space="0"/>
              <w:left w:val="single" w:color="000000" w:sz="6" w:space="0"/>
              <w:bottom w:val="single" w:color="000000" w:sz="6" w:space="0"/>
              <w:right w:val="single" w:color="000000" w:sz="6" w:space="0"/>
            </w:tcBorders>
            <w:vAlign w:val="center"/>
          </w:tcPr>
          <w:p w14:paraId="450377C0">
            <w:pPr>
              <w:rPr>
                <w:rFonts w:hint="eastAsia" w:ascii="Times New Roman" w:hAnsi="Times New Roman" w:eastAsia="方正书宋_GBK" w:cs="Times New Roman"/>
                <w:szCs w:val="24"/>
                <w:lang w:val="en-US" w:eastAsia="zh-CN"/>
              </w:rPr>
            </w:pPr>
            <w:r>
              <w:rPr>
                <w:rFonts w:hint="eastAsia" w:ascii="Times New Roman" w:hAnsi="Times New Roman" w:eastAsia="方正书宋_GBK" w:cs="Times New Roman"/>
                <w:szCs w:val="24"/>
                <w:lang w:eastAsia="zh-CN"/>
              </w:rPr>
              <w:t>井陉县</w:t>
            </w:r>
            <w:r>
              <w:rPr>
                <w:rFonts w:hint="eastAsia" w:ascii="Times New Roman" w:hAnsi="Times New Roman" w:eastAsia="方正书宋_GBK" w:cs="Times New Roman"/>
                <w:szCs w:val="24"/>
              </w:rPr>
              <w:t>威州镇</w:t>
            </w:r>
            <w:r>
              <w:rPr>
                <w:rFonts w:hint="eastAsia" w:ascii="Times New Roman" w:hAnsi="Times New Roman" w:eastAsia="方正书宋_GBK" w:cs="Times New Roman"/>
                <w:szCs w:val="24"/>
                <w:lang w:eastAsia="zh-CN"/>
              </w:rPr>
              <w:t>综合行政执法队</w:t>
            </w:r>
          </w:p>
        </w:tc>
        <w:tc>
          <w:tcPr>
            <w:tcW w:w="1057" w:type="dxa"/>
            <w:vMerge w:val="restart"/>
            <w:tcBorders>
              <w:top w:val="single" w:color="000000" w:sz="6" w:space="0"/>
              <w:left w:val="single" w:color="000000" w:sz="6" w:space="0"/>
              <w:bottom w:val="single" w:color="000000" w:sz="6" w:space="0"/>
              <w:right w:val="single" w:color="000000" w:sz="6" w:space="0"/>
            </w:tcBorders>
            <w:vAlign w:val="center"/>
          </w:tcPr>
          <w:p w14:paraId="3C54BCFA">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188" w:type="dxa"/>
            <w:vMerge w:val="restart"/>
            <w:tcBorders>
              <w:top w:val="single" w:color="000000" w:sz="6" w:space="0"/>
              <w:left w:val="single" w:color="000000" w:sz="6" w:space="0"/>
              <w:bottom w:val="single" w:color="000000" w:sz="6" w:space="0"/>
              <w:right w:val="single" w:color="000000" w:sz="6" w:space="0"/>
            </w:tcBorders>
            <w:vAlign w:val="center"/>
          </w:tcPr>
          <w:p w14:paraId="4B0B4537">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股级</w:t>
            </w:r>
          </w:p>
        </w:tc>
        <w:tc>
          <w:tcPr>
            <w:tcW w:w="2700" w:type="dxa"/>
            <w:vMerge w:val="restart"/>
            <w:tcBorders>
              <w:top w:val="single" w:color="000000" w:sz="6" w:space="0"/>
              <w:left w:val="single" w:color="000000" w:sz="6" w:space="0"/>
              <w:bottom w:val="single" w:color="000000" w:sz="6" w:space="0"/>
              <w:right w:val="single" w:color="000000" w:sz="6" w:space="0"/>
            </w:tcBorders>
            <w:vAlign w:val="center"/>
          </w:tcPr>
          <w:p w14:paraId="5BE0DF70">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财政性资金基本保证</w:t>
            </w:r>
          </w:p>
        </w:tc>
      </w:tr>
      <w:tr w14:paraId="3863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1" w:hRule="atLeast"/>
          <w:tblHeader/>
          <w:jc w:val="center"/>
        </w:trPr>
        <w:tc>
          <w:tcPr>
            <w:tcW w:w="4108" w:type="dxa"/>
            <w:vMerge w:val="restart"/>
            <w:tcBorders>
              <w:top w:val="single" w:color="000000" w:sz="6" w:space="0"/>
              <w:left w:val="single" w:color="000000" w:sz="6" w:space="0"/>
              <w:bottom w:val="single" w:color="000000" w:sz="6" w:space="0"/>
              <w:right w:val="single" w:color="000000" w:sz="6" w:space="0"/>
            </w:tcBorders>
            <w:vAlign w:val="center"/>
          </w:tcPr>
          <w:p w14:paraId="6E33210A">
            <w:pP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井陉县</w:t>
            </w:r>
            <w:r>
              <w:rPr>
                <w:rFonts w:hint="eastAsia" w:ascii="Times New Roman" w:hAnsi="Times New Roman" w:eastAsia="方正书宋_GBK" w:cs="Times New Roman"/>
                <w:szCs w:val="24"/>
              </w:rPr>
              <w:t>威州镇</w:t>
            </w:r>
            <w:r>
              <w:rPr>
                <w:rFonts w:hint="eastAsia" w:ascii="Times New Roman" w:hAnsi="Times New Roman" w:eastAsia="方正书宋_GBK" w:cs="Times New Roman"/>
                <w:szCs w:val="24"/>
                <w:lang w:eastAsia="zh-CN"/>
              </w:rPr>
              <w:t>行政综合服务中心</w:t>
            </w:r>
          </w:p>
        </w:tc>
        <w:tc>
          <w:tcPr>
            <w:tcW w:w="1057" w:type="dxa"/>
            <w:vMerge w:val="restart"/>
            <w:tcBorders>
              <w:top w:val="single" w:color="000000" w:sz="6" w:space="0"/>
              <w:left w:val="single" w:color="000000" w:sz="6" w:space="0"/>
              <w:bottom w:val="single" w:color="000000" w:sz="6" w:space="0"/>
              <w:right w:val="single" w:color="000000" w:sz="6" w:space="0"/>
            </w:tcBorders>
            <w:vAlign w:val="center"/>
          </w:tcPr>
          <w:p w14:paraId="191D67A9">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188" w:type="dxa"/>
            <w:vMerge w:val="restart"/>
            <w:tcBorders>
              <w:top w:val="single" w:color="000000" w:sz="6" w:space="0"/>
              <w:left w:val="single" w:color="000000" w:sz="6" w:space="0"/>
              <w:bottom w:val="single" w:color="000000" w:sz="6" w:space="0"/>
              <w:right w:val="single" w:color="000000" w:sz="6" w:space="0"/>
            </w:tcBorders>
            <w:vAlign w:val="center"/>
          </w:tcPr>
          <w:p w14:paraId="0607936E">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股级</w:t>
            </w:r>
          </w:p>
        </w:tc>
        <w:tc>
          <w:tcPr>
            <w:tcW w:w="2700" w:type="dxa"/>
            <w:vMerge w:val="restart"/>
            <w:tcBorders>
              <w:top w:val="single" w:color="000000" w:sz="6" w:space="0"/>
              <w:left w:val="single" w:color="000000" w:sz="6" w:space="0"/>
              <w:bottom w:val="single" w:color="000000" w:sz="6" w:space="0"/>
              <w:right w:val="single" w:color="000000" w:sz="6" w:space="0"/>
            </w:tcBorders>
            <w:vAlign w:val="center"/>
          </w:tcPr>
          <w:p w14:paraId="4156B109">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财政性资金基本保证</w:t>
            </w:r>
          </w:p>
        </w:tc>
      </w:tr>
      <w:tr w14:paraId="154C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1" w:hRule="atLeast"/>
          <w:tblHeader/>
          <w:jc w:val="center"/>
        </w:trPr>
        <w:tc>
          <w:tcPr>
            <w:tcW w:w="4108" w:type="dxa"/>
            <w:tcBorders>
              <w:top w:val="single" w:color="000000" w:sz="6" w:space="0"/>
              <w:left w:val="single" w:color="000000" w:sz="6" w:space="0"/>
              <w:bottom w:val="single" w:color="000000" w:sz="6" w:space="0"/>
              <w:right w:val="single" w:color="000000" w:sz="6" w:space="0"/>
            </w:tcBorders>
            <w:vAlign w:val="center"/>
          </w:tcPr>
          <w:p w14:paraId="4C97A0AA">
            <w:pPr>
              <w:rPr>
                <w:rFonts w:ascii="Times New Roman" w:hAnsi="Times New Roman" w:eastAsia="方正书宋_GBK" w:cs="Times New Roman"/>
                <w:szCs w:val="24"/>
              </w:rPr>
            </w:pPr>
            <w:r>
              <w:rPr>
                <w:rFonts w:hint="eastAsia" w:ascii="Times New Roman" w:hAnsi="Times New Roman" w:eastAsia="方正书宋_GBK" w:cs="Times New Roman"/>
                <w:szCs w:val="24"/>
                <w:lang w:eastAsia="zh-CN"/>
              </w:rPr>
              <w:t>井陉县</w:t>
            </w:r>
            <w:r>
              <w:rPr>
                <w:rFonts w:hint="eastAsia" w:ascii="Times New Roman" w:hAnsi="Times New Roman" w:eastAsia="方正书宋_GBK" w:cs="Times New Roman"/>
                <w:szCs w:val="24"/>
              </w:rPr>
              <w:t>威州镇农业综合服务中心</w:t>
            </w:r>
          </w:p>
        </w:tc>
        <w:tc>
          <w:tcPr>
            <w:tcW w:w="1057" w:type="dxa"/>
            <w:tcBorders>
              <w:top w:val="single" w:color="000000" w:sz="6" w:space="0"/>
              <w:left w:val="single" w:color="000000" w:sz="6" w:space="0"/>
              <w:bottom w:val="single" w:color="000000" w:sz="6" w:space="0"/>
              <w:right w:val="single" w:color="000000" w:sz="6" w:space="0"/>
            </w:tcBorders>
            <w:vAlign w:val="center"/>
          </w:tcPr>
          <w:p w14:paraId="4A649E7A">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188" w:type="dxa"/>
            <w:tcBorders>
              <w:top w:val="single" w:color="000000" w:sz="6" w:space="0"/>
              <w:left w:val="single" w:color="000000" w:sz="6" w:space="0"/>
              <w:bottom w:val="single" w:color="000000" w:sz="6" w:space="0"/>
              <w:right w:val="single" w:color="000000" w:sz="6" w:space="0"/>
            </w:tcBorders>
            <w:vAlign w:val="center"/>
          </w:tcPr>
          <w:p w14:paraId="63A9E6FF">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股级</w:t>
            </w:r>
          </w:p>
        </w:tc>
        <w:tc>
          <w:tcPr>
            <w:tcW w:w="2700" w:type="dxa"/>
            <w:tcBorders>
              <w:top w:val="single" w:color="000000" w:sz="6" w:space="0"/>
              <w:left w:val="single" w:color="000000" w:sz="6" w:space="0"/>
              <w:bottom w:val="single" w:color="000000" w:sz="6" w:space="0"/>
              <w:right w:val="single" w:color="000000" w:sz="6" w:space="0"/>
            </w:tcBorders>
            <w:vAlign w:val="center"/>
          </w:tcPr>
          <w:p w14:paraId="341CF632">
            <w:pPr>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财政性资金基本保证</w:t>
            </w:r>
          </w:p>
        </w:tc>
      </w:tr>
    </w:tbl>
    <w:p w14:paraId="22AEF2A6">
      <w:pPr>
        <w:numPr>
          <w:ilvl w:val="0"/>
          <w:numId w:val="1"/>
        </w:numPr>
        <w:spacing w:line="500" w:lineRule="exact"/>
        <w:ind w:firstLine="640" w:firstLineChars="200"/>
        <w:jc w:val="left"/>
        <w:rPr>
          <w:rFonts w:hint="eastAsia" w:ascii="楷体" w:hAnsi="楷体" w:eastAsia="楷体" w:cs="楷体_GB2312"/>
          <w:bCs/>
          <w:sz w:val="32"/>
          <w:szCs w:val="32"/>
          <w:lang w:val="en-US" w:eastAsia="zh-CN"/>
        </w:rPr>
      </w:pPr>
      <w:r>
        <w:rPr>
          <w:rFonts w:hint="eastAsia" w:ascii="楷体" w:hAnsi="楷体" w:eastAsia="楷体" w:cs="楷体_GB2312"/>
          <w:bCs/>
          <w:sz w:val="32"/>
          <w:szCs w:val="32"/>
        </w:rPr>
        <w:t>部门收支预决算情况</w:t>
      </w:r>
      <w:r>
        <w:rPr>
          <w:rFonts w:hint="eastAsia" w:ascii="楷体" w:hAnsi="楷体" w:eastAsia="楷体" w:cs="楷体_GB2312"/>
          <w:bCs/>
          <w:sz w:val="32"/>
          <w:szCs w:val="32"/>
          <w:lang w:val="en-US" w:eastAsia="zh-CN"/>
        </w:rPr>
        <w:t xml:space="preserve"> </w:t>
      </w:r>
    </w:p>
    <w:p w14:paraId="4BB6B833">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1.收入支出预算安排情况:2025年度部门年初预算817.94万元，支出817.94万元，2024年初预算收入843.57万元，支出843.57万元，比上年年初预算减少25.63万元，减少原因为主要为2024年退休5人，调出7人。</w:t>
      </w:r>
    </w:p>
    <w:p w14:paraId="320799A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收入支出预算执行情况</w:t>
      </w:r>
      <w:r>
        <w:rPr>
          <w:rFonts w:hint="eastAsia" w:ascii="仿宋" w:hAnsi="仿宋" w:eastAsia="仿宋"/>
          <w:sz w:val="32"/>
          <w:szCs w:val="32"/>
          <w:lang w:val="en-US" w:eastAsia="zh-CN"/>
        </w:rPr>
        <w:t>:</w:t>
      </w:r>
      <w:r>
        <w:rPr>
          <w:rFonts w:hint="eastAsia" w:ascii="仿宋" w:hAnsi="仿宋" w:eastAsia="仿宋"/>
          <w:sz w:val="32"/>
          <w:szCs w:val="32"/>
        </w:rPr>
        <w:t>本部门本年年度收入</w:t>
      </w:r>
      <w:r>
        <w:rPr>
          <w:rFonts w:hint="eastAsia" w:ascii="仿宋" w:hAnsi="仿宋" w:eastAsia="仿宋"/>
          <w:sz w:val="32"/>
          <w:szCs w:val="32"/>
          <w:lang w:val="en-US" w:eastAsia="zh-CN"/>
        </w:rPr>
        <w:t>1029.66</w:t>
      </w:r>
      <w:r>
        <w:rPr>
          <w:rFonts w:hint="eastAsia" w:ascii="仿宋" w:hAnsi="仿宋" w:eastAsia="仿宋"/>
          <w:sz w:val="32"/>
          <w:szCs w:val="32"/>
        </w:rPr>
        <w:t>万元，支</w:t>
      </w:r>
      <w:r>
        <w:rPr>
          <w:rFonts w:hint="eastAsia" w:ascii="仿宋" w:hAnsi="仿宋" w:eastAsia="仿宋"/>
          <w:sz w:val="32"/>
          <w:szCs w:val="32"/>
          <w:lang w:eastAsia="zh-CN"/>
        </w:rPr>
        <w:t>出</w:t>
      </w:r>
      <w:r>
        <w:rPr>
          <w:rFonts w:hint="eastAsia" w:ascii="仿宋" w:hAnsi="仿宋" w:eastAsia="仿宋"/>
          <w:sz w:val="32"/>
          <w:szCs w:val="32"/>
          <w:lang w:val="en-US" w:eastAsia="zh-CN"/>
        </w:rPr>
        <w:t>1029.66</w:t>
      </w:r>
      <w:r>
        <w:rPr>
          <w:rFonts w:hint="eastAsia" w:ascii="仿宋" w:hAnsi="仿宋" w:eastAsia="仿宋"/>
          <w:sz w:val="32"/>
          <w:szCs w:val="32"/>
        </w:rPr>
        <w:t>万元。上年度收入</w:t>
      </w:r>
      <w:r>
        <w:rPr>
          <w:rFonts w:hint="eastAsia" w:ascii="仿宋" w:hAnsi="仿宋" w:eastAsia="仿宋"/>
          <w:sz w:val="32"/>
          <w:szCs w:val="32"/>
          <w:lang w:val="en-US" w:eastAsia="zh-CN"/>
        </w:rPr>
        <w:t>900.87</w:t>
      </w:r>
      <w:r>
        <w:rPr>
          <w:rFonts w:hint="eastAsia" w:ascii="仿宋" w:hAnsi="仿宋" w:eastAsia="仿宋"/>
          <w:sz w:val="32"/>
          <w:szCs w:val="32"/>
        </w:rPr>
        <w:t>万元，支出</w:t>
      </w:r>
      <w:r>
        <w:rPr>
          <w:rFonts w:hint="eastAsia" w:ascii="仿宋" w:hAnsi="仿宋" w:eastAsia="仿宋"/>
          <w:sz w:val="32"/>
          <w:szCs w:val="32"/>
          <w:lang w:val="en-US" w:eastAsia="zh-CN"/>
        </w:rPr>
        <w:t>900.87</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收入比上年增加</w:t>
      </w:r>
      <w:r>
        <w:rPr>
          <w:rFonts w:hint="eastAsia" w:ascii="仿宋" w:hAnsi="仿宋" w:eastAsia="仿宋"/>
          <w:sz w:val="32"/>
          <w:szCs w:val="32"/>
          <w:lang w:val="en-US" w:eastAsia="zh-CN"/>
        </w:rPr>
        <w:t>128.79</w:t>
      </w:r>
      <w:r>
        <w:rPr>
          <w:rFonts w:hint="eastAsia" w:ascii="仿宋" w:hAnsi="仿宋" w:eastAsia="仿宋"/>
          <w:sz w:val="32"/>
          <w:szCs w:val="32"/>
        </w:rPr>
        <w:t>，同比增长</w:t>
      </w:r>
      <w:r>
        <w:rPr>
          <w:rFonts w:hint="eastAsia" w:ascii="仿宋" w:hAnsi="仿宋" w:eastAsia="仿宋"/>
          <w:sz w:val="32"/>
          <w:szCs w:val="32"/>
          <w:lang w:val="en-US" w:eastAsia="zh-CN"/>
        </w:rPr>
        <w:t>14.30</w:t>
      </w:r>
      <w:r>
        <w:rPr>
          <w:rFonts w:hint="eastAsia" w:ascii="仿宋" w:hAnsi="仿宋" w:eastAsia="仿宋"/>
          <w:sz w:val="32"/>
          <w:szCs w:val="32"/>
        </w:rPr>
        <w:t>%，支出</w:t>
      </w:r>
      <w:r>
        <w:rPr>
          <w:rFonts w:hint="eastAsia" w:ascii="仿宋" w:hAnsi="仿宋" w:eastAsia="仿宋"/>
          <w:sz w:val="32"/>
          <w:szCs w:val="32"/>
          <w:lang w:eastAsia="zh-CN"/>
        </w:rPr>
        <w:t>增加</w:t>
      </w:r>
      <w:r>
        <w:rPr>
          <w:rFonts w:hint="eastAsia" w:ascii="仿宋" w:hAnsi="仿宋" w:eastAsia="仿宋"/>
          <w:sz w:val="32"/>
          <w:szCs w:val="32"/>
          <w:lang w:val="en-US" w:eastAsia="zh-CN"/>
        </w:rPr>
        <w:t>128.79</w:t>
      </w:r>
      <w:r>
        <w:rPr>
          <w:rFonts w:hint="eastAsia" w:ascii="仿宋" w:hAnsi="仿宋" w:eastAsia="仿宋"/>
          <w:sz w:val="32"/>
          <w:szCs w:val="32"/>
        </w:rPr>
        <w:t>万元，同比增长</w:t>
      </w:r>
      <w:r>
        <w:rPr>
          <w:rFonts w:hint="eastAsia" w:ascii="仿宋" w:hAnsi="仿宋" w:eastAsia="仿宋"/>
          <w:sz w:val="32"/>
          <w:szCs w:val="32"/>
          <w:lang w:val="en-US" w:eastAsia="zh-CN"/>
        </w:rPr>
        <w:t>14.30</w:t>
      </w:r>
      <w:r>
        <w:rPr>
          <w:rFonts w:hint="eastAsia" w:ascii="仿宋" w:hAnsi="仿宋" w:eastAsia="仿宋"/>
          <w:sz w:val="32"/>
          <w:szCs w:val="32"/>
        </w:rPr>
        <w:t>%。原因我单位</w:t>
      </w:r>
      <w:r>
        <w:rPr>
          <w:rFonts w:hint="eastAsia" w:ascii="仿宋" w:hAnsi="仿宋" w:eastAsia="仿宋"/>
          <w:sz w:val="32"/>
          <w:szCs w:val="32"/>
          <w:lang w:eastAsia="zh-CN"/>
        </w:rPr>
        <w:t>本年度年初预算中本年新录用公务员3人，事业编6人，增加井陉县威州镇偿还政府拖欠企业账款项目（第二批）。</w:t>
      </w:r>
    </w:p>
    <w:p w14:paraId="602D9A3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A49668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一、项目绩效目标完成情况</w:t>
      </w:r>
    </w:p>
    <w:p w14:paraId="4E5269E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1.行政运行服务：做好全镇的管理、服务工作。为全镇工作的开展提供好机关后勤服务，做好纪检、党务等党群工作，做好招商引资、环境保护、信访维稳等社会工作。</w:t>
      </w:r>
    </w:p>
    <w:p w14:paraId="1493607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严格执行部门预算，定期检修办公用房及办公设施，保障全镇水电暖及各部门办公正常运行，为全镇提供有效的后勤保障。</w:t>
      </w:r>
    </w:p>
    <w:p w14:paraId="675AA04C">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在大气治理污染上，对镇域内小散乱污企业采取了“三断一清理”强制措施。完成驻镇企事业单位燃煤锅炉的淘汰拆除及农户煤改电及环保型煤推行工作。</w:t>
      </w:r>
    </w:p>
    <w:p w14:paraId="78B23D0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把维稳工作作为全年工作的重项任务贯穿始终，常抓不懈，认真落实班子成员信访接待制度和属地管理制度，执行上级安排信访值班制度，确保了社会安定。</w:t>
      </w:r>
    </w:p>
    <w:p w14:paraId="27CB11A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2.文化综合服务：提高文体活动质量，增强群众的参与度，提供群众满意的服务。组织群众性文体活动，对村党员干部进行再教育教学培训、学习，普及科学技术，使广大群众受益。</w:t>
      </w:r>
    </w:p>
    <w:p w14:paraId="2F9E39A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3.民生保障服务：保障相关政策的有效实施，让群众满意。提供相关法律、法规、政策的宣传咨询服务，做好农村居民办理日常事务的服务，使农村居民养老保险、民政低保、残疾、社会捐赠等事务办理提供方便。</w:t>
      </w:r>
    </w:p>
    <w:p w14:paraId="1D62AE5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对脱贫户严格程序，精准识别，坚持因地制宜、一村一策，认真落实规划，精准工作深入扎实开展。积极做好低保和社会救助工作，严格标准，严格程序，严格把关，对低保对象实行动态化管理，坚决杜绝关系保、人情保，实现了应保尽保。对生活困难群众本着实事求是、扶贫济弱的原则，开展临时救助</w:t>
      </w:r>
      <w:r>
        <w:rPr>
          <w:rFonts w:hint="eastAsia" w:ascii="仿宋" w:hAnsi="仿宋" w:eastAsia="仿宋"/>
          <w:sz w:val="32"/>
          <w:szCs w:val="32"/>
          <w:lang w:eastAsia="zh-CN"/>
        </w:rPr>
        <w:t>，</w:t>
      </w:r>
      <w:r>
        <w:rPr>
          <w:rFonts w:hint="eastAsia" w:ascii="仿宋" w:hAnsi="仿宋" w:eastAsia="仿宋"/>
          <w:sz w:val="32"/>
          <w:szCs w:val="32"/>
        </w:rPr>
        <w:t xml:space="preserve">巩固幸福互助院。   </w:t>
      </w:r>
    </w:p>
    <w:p w14:paraId="702104B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4.卫生计生服务：加强卫生、计生服务工作，保障相关政策的有效宣传和实施。为农民提供计划生育服务、新型农合医疗服务、对育龄妇女进行普查等服务，使群众受益。</w:t>
      </w:r>
    </w:p>
    <w:p w14:paraId="1AD5E46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积极开展农村育龄妇女计生服务，为所辖群众办理计生证件，发放独生子女父母奖励。</w:t>
      </w:r>
    </w:p>
    <w:p w14:paraId="2E0306E3">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5.农业综合服务：提供群众满意的农业服务。提供农业技术服务与推广，建设农田水利，为群众提供更好的农业技术，增强农业抗御自然灾害，抓好护林防火及防汛工作。</w:t>
      </w:r>
    </w:p>
    <w:p w14:paraId="661DF73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充分利用春季绿化有利时机，岩孙公路两侧加行加密、补植补栽；坚持经济林与木材林同栽同植的原则，动员群众在各自承包的岗坡次地上植树造林，完成上级部署经济林和雨季造林任务。积极部署护林防火，严密关切火情，利用村内及防火巡逻宣传广播宣传护林防火政策。</w:t>
      </w:r>
    </w:p>
    <w:p w14:paraId="653D012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本部门在植树绿化、护林防火、信访稳定、安全生产、 “利斩展霾”、美丽乡村建设等工作取得了一定的成绩，得到上级好评。</w:t>
      </w:r>
    </w:p>
    <w:p w14:paraId="18AE7280">
      <w:pPr>
        <w:widowControl w:val="0"/>
        <w:numPr>
          <w:ilvl w:val="0"/>
          <w:numId w:val="2"/>
        </w:numPr>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本单位整体支出绩效目标实现情况</w:t>
      </w:r>
    </w:p>
    <w:p w14:paraId="422E592A">
      <w:pPr>
        <w:widowControl w:val="0"/>
        <w:numPr>
          <w:ilvl w:val="0"/>
          <w:numId w:val="0"/>
        </w:numPr>
        <w:wordWrap/>
        <w:adjustRightInd w:val="0"/>
        <w:snapToGrid w:val="0"/>
        <w:spacing w:line="560" w:lineRule="exact"/>
        <w:ind w:leftChars="200" w:right="0" w:rightChars="0"/>
        <w:textAlignment w:val="auto"/>
        <w:outlineLvl w:val="9"/>
        <w:rPr>
          <w:rFonts w:hint="eastAsia" w:ascii="仿宋" w:hAnsi="仿宋" w:eastAsia="仿宋"/>
          <w:sz w:val="32"/>
          <w:szCs w:val="32"/>
        </w:rPr>
      </w:pPr>
    </w:p>
    <w:tbl>
      <w:tblPr>
        <w:tblStyle w:val="5"/>
        <w:tblW w:w="9930" w:type="dxa"/>
        <w:tblInd w:w="-4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30"/>
        <w:gridCol w:w="6900"/>
      </w:tblGrid>
      <w:tr w14:paraId="0F443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24B5D272">
            <w:pPr>
              <w:numPr>
                <w:ilvl w:val="0"/>
                <w:numId w:val="0"/>
              </w:numPr>
              <w:spacing w:line="500" w:lineRule="exact"/>
              <w:jc w:val="left"/>
              <w:rPr>
                <w:rFonts w:hint="eastAsia" w:ascii="仿宋" w:hAnsi="仿宋" w:eastAsia="仿宋" w:cs="仿宋"/>
                <w:b w:val="0"/>
                <w:bCs/>
                <w:sz w:val="32"/>
                <w:szCs w:val="32"/>
              </w:rPr>
            </w:pPr>
            <w:r>
              <w:rPr>
                <w:rFonts w:hint="eastAsia" w:ascii="仿宋" w:hAnsi="仿宋" w:eastAsia="仿宋" w:cs="仿宋"/>
                <w:b w:val="0"/>
                <w:bCs/>
                <w:sz w:val="32"/>
                <w:szCs w:val="32"/>
              </w:rPr>
              <w:t>项目名称</w:t>
            </w:r>
          </w:p>
        </w:tc>
        <w:tc>
          <w:tcPr>
            <w:tcW w:w="6900" w:type="dxa"/>
            <w:noWrap w:val="0"/>
            <w:vAlign w:val="top"/>
          </w:tcPr>
          <w:p w14:paraId="2D18634B">
            <w:pPr>
              <w:numPr>
                <w:ilvl w:val="0"/>
                <w:numId w:val="0"/>
              </w:numPr>
              <w:spacing w:line="500" w:lineRule="exact"/>
              <w:jc w:val="left"/>
              <w:rPr>
                <w:rFonts w:hint="eastAsia" w:ascii="仿宋" w:hAnsi="仿宋" w:eastAsia="仿宋" w:cs="仿宋"/>
                <w:b w:val="0"/>
                <w:bCs/>
                <w:sz w:val="32"/>
                <w:szCs w:val="32"/>
              </w:rPr>
            </w:pPr>
            <w:r>
              <w:rPr>
                <w:rFonts w:hint="eastAsia" w:ascii="仿宋" w:hAnsi="仿宋" w:eastAsia="仿宋" w:cs="仿宋"/>
                <w:b w:val="0"/>
                <w:bCs/>
                <w:sz w:val="32"/>
                <w:szCs w:val="32"/>
              </w:rPr>
              <w:t>绩效目标完成情况</w:t>
            </w:r>
          </w:p>
        </w:tc>
      </w:tr>
      <w:tr w14:paraId="21CF6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150D2153">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2025年交通道路占地补偿款</w:t>
            </w:r>
          </w:p>
        </w:tc>
        <w:tc>
          <w:tcPr>
            <w:tcW w:w="6900" w:type="dxa"/>
            <w:noWrap w:val="0"/>
            <w:vAlign w:val="top"/>
          </w:tcPr>
          <w:p w14:paraId="777FCDDE">
            <w:pPr>
              <w:numPr>
                <w:ilvl w:val="0"/>
                <w:numId w:val="0"/>
              </w:numPr>
              <w:spacing w:line="500" w:lineRule="exact"/>
              <w:jc w:val="left"/>
              <w:rPr>
                <w:rFonts w:hint="eastAsia" w:ascii="仿宋" w:hAnsi="仿宋" w:eastAsia="仿宋" w:cs="仿宋"/>
                <w:b w:val="0"/>
                <w:bCs/>
                <w:sz w:val="32"/>
                <w:szCs w:val="32"/>
              </w:rPr>
            </w:pPr>
            <w:r>
              <w:rPr>
                <w:rFonts w:hint="eastAsia" w:ascii="仿宋" w:hAnsi="仿宋" w:eastAsia="仿宋" w:cs="仿宋"/>
                <w:b w:val="0"/>
                <w:bCs/>
                <w:sz w:val="32"/>
                <w:szCs w:val="32"/>
              </w:rPr>
              <w:t>通过对道路占地费用补偿，保障道路正常通行，保障社会稳定，不发生上访事件。</w:t>
            </w:r>
          </w:p>
        </w:tc>
      </w:tr>
      <w:tr w14:paraId="4DFC8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19B9A28F">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办公楼取暖经费</w:t>
            </w:r>
          </w:p>
        </w:tc>
        <w:tc>
          <w:tcPr>
            <w:tcW w:w="6900" w:type="dxa"/>
            <w:noWrap w:val="0"/>
            <w:vAlign w:val="top"/>
          </w:tcPr>
          <w:p w14:paraId="66395CFA">
            <w:pPr>
              <w:numPr>
                <w:ilvl w:val="0"/>
                <w:numId w:val="0"/>
              </w:numPr>
              <w:spacing w:line="500" w:lineRule="exact"/>
              <w:jc w:val="left"/>
              <w:rPr>
                <w:rFonts w:hint="eastAsia" w:ascii="仿宋" w:hAnsi="仿宋" w:eastAsia="仿宋" w:cs="仿宋"/>
                <w:b w:val="0"/>
                <w:bCs/>
                <w:sz w:val="32"/>
                <w:szCs w:val="32"/>
              </w:rPr>
            </w:pPr>
            <w:r>
              <w:rPr>
                <w:rFonts w:hint="eastAsia" w:ascii="仿宋" w:hAnsi="仿宋" w:eastAsia="仿宋" w:cs="仿宋"/>
                <w:b w:val="0"/>
                <w:bCs/>
                <w:sz w:val="32"/>
                <w:szCs w:val="32"/>
              </w:rPr>
              <w:t>通过工作环境的提升，促进了工作人员更好地服务人民群众，保障了履行好各自的工作职责，圆满完成各上级各部门交付的各项工作任务。</w:t>
            </w:r>
          </w:p>
        </w:tc>
      </w:tr>
      <w:tr w14:paraId="7A433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14D8CDF9">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北平望公墓地块详细规划编制费用</w:t>
            </w:r>
          </w:p>
        </w:tc>
        <w:tc>
          <w:tcPr>
            <w:tcW w:w="6900" w:type="dxa"/>
            <w:noWrap w:val="0"/>
            <w:vAlign w:val="top"/>
          </w:tcPr>
          <w:p w14:paraId="54C97497">
            <w:pPr>
              <w:numPr>
                <w:ilvl w:val="0"/>
                <w:numId w:val="0"/>
              </w:numPr>
              <w:spacing w:line="500" w:lineRule="exact"/>
              <w:jc w:val="left"/>
              <w:rPr>
                <w:rFonts w:hint="eastAsia" w:ascii="仿宋" w:hAnsi="仿宋" w:eastAsia="仿宋" w:cs="仿宋"/>
                <w:b w:val="0"/>
                <w:bCs/>
                <w:sz w:val="32"/>
                <w:szCs w:val="32"/>
                <w:lang w:eastAsia="zh-CN"/>
              </w:rPr>
            </w:pPr>
            <w:r>
              <w:rPr>
                <w:rFonts w:hint="eastAsia" w:ascii="仿宋" w:hAnsi="仿宋" w:eastAsia="仿宋" w:cs="仿宋"/>
                <w:b w:val="0"/>
                <w:bCs/>
                <w:sz w:val="32"/>
                <w:szCs w:val="32"/>
              </w:rPr>
              <w:t>完成公墓地块详细规划编制，形成科学合规、惠民的规划成果，指导后续建设</w:t>
            </w:r>
            <w:r>
              <w:rPr>
                <w:rFonts w:hint="eastAsia" w:ascii="仿宋" w:hAnsi="仿宋" w:eastAsia="仿宋" w:cs="仿宋"/>
                <w:b w:val="0"/>
                <w:bCs/>
                <w:sz w:val="32"/>
                <w:szCs w:val="32"/>
                <w:lang w:eastAsia="zh-CN"/>
              </w:rPr>
              <w:t>。</w:t>
            </w:r>
          </w:p>
        </w:tc>
      </w:tr>
      <w:tr w14:paraId="54B8F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72990A0D">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党政事务工作经费</w:t>
            </w:r>
          </w:p>
        </w:tc>
        <w:tc>
          <w:tcPr>
            <w:tcW w:w="6900" w:type="dxa"/>
            <w:noWrap w:val="0"/>
            <w:vAlign w:val="top"/>
          </w:tcPr>
          <w:p w14:paraId="59469D94">
            <w:pPr>
              <w:numPr>
                <w:ilvl w:val="0"/>
                <w:numId w:val="0"/>
              </w:numPr>
              <w:spacing w:line="500" w:lineRule="exact"/>
              <w:jc w:val="left"/>
              <w:rPr>
                <w:rFonts w:hint="eastAsia" w:ascii="仿宋" w:hAnsi="仿宋" w:eastAsia="仿宋" w:cs="仿宋"/>
                <w:b w:val="0"/>
                <w:bCs/>
                <w:sz w:val="32"/>
                <w:szCs w:val="32"/>
              </w:rPr>
            </w:pPr>
            <w:r>
              <w:rPr>
                <w:rFonts w:hint="eastAsia" w:ascii="仿宋" w:hAnsi="仿宋" w:eastAsia="仿宋" w:cs="仿宋"/>
                <w:b w:val="0"/>
                <w:bCs/>
                <w:sz w:val="32"/>
                <w:szCs w:val="32"/>
              </w:rPr>
              <w:t>通过干部各自履行好资金的工作职责，尽心尽职完成上级各项工作任务及临时性安排的各项工作，确保乡镇各项工作的正常运转，提升为民服务的准则。</w:t>
            </w:r>
          </w:p>
        </w:tc>
      </w:tr>
      <w:tr w14:paraId="6872C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1D411518">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党政事务工作经费</w:t>
            </w:r>
          </w:p>
        </w:tc>
        <w:tc>
          <w:tcPr>
            <w:tcW w:w="6900" w:type="dxa"/>
            <w:noWrap w:val="0"/>
            <w:vAlign w:val="top"/>
          </w:tcPr>
          <w:p w14:paraId="10F2D52E">
            <w:pPr>
              <w:numPr>
                <w:ilvl w:val="0"/>
                <w:numId w:val="0"/>
              </w:numPr>
              <w:spacing w:line="500" w:lineRule="exact"/>
              <w:jc w:val="left"/>
              <w:rPr>
                <w:rFonts w:hint="eastAsia" w:ascii="仿宋" w:hAnsi="仿宋" w:eastAsia="仿宋" w:cs="仿宋"/>
                <w:b w:val="0"/>
                <w:bCs/>
                <w:sz w:val="32"/>
                <w:szCs w:val="32"/>
              </w:rPr>
            </w:pPr>
            <w:r>
              <w:rPr>
                <w:rFonts w:hint="eastAsia" w:ascii="仿宋" w:hAnsi="仿宋" w:eastAsia="仿宋" w:cs="仿宋"/>
                <w:b w:val="0"/>
                <w:bCs/>
                <w:sz w:val="32"/>
                <w:szCs w:val="32"/>
              </w:rPr>
              <w:t>通过干部各自履行好资金的工作职责，尽心尽职完成上级各项工作任务及临时性安排的各项工作，确保乡镇各项工作的正常运转，提升为民服务的准则。</w:t>
            </w:r>
          </w:p>
        </w:tc>
      </w:tr>
      <w:tr w14:paraId="3BD5A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6D3763BF">
            <w:pPr>
              <w:keepNext w:val="0"/>
              <w:keepLines w:val="0"/>
              <w:widowControl/>
              <w:suppressLineNumbers w:val="0"/>
              <w:jc w:val="left"/>
              <w:textAlignment w:val="center"/>
              <w:rPr>
                <w:rFonts w:hint="eastAsia" w:ascii="仿宋" w:hAnsi="仿宋" w:eastAsia="仿宋" w:cs="仿宋"/>
                <w:b w:val="0"/>
                <w:bCs/>
                <w:kern w:val="2"/>
                <w:sz w:val="32"/>
                <w:szCs w:val="32"/>
                <w:lang w:val="en-US" w:eastAsia="zh-CN" w:bidi="ar-SA"/>
              </w:rPr>
            </w:pPr>
            <w:r>
              <w:rPr>
                <w:rFonts w:hint="eastAsia" w:ascii="仿宋" w:hAnsi="仿宋" w:eastAsia="仿宋" w:cs="仿宋"/>
                <w:i w:val="0"/>
                <w:iCs w:val="0"/>
                <w:color w:val="000000"/>
                <w:kern w:val="0"/>
                <w:sz w:val="32"/>
                <w:szCs w:val="32"/>
                <w:u w:val="none"/>
                <w:lang w:val="en-US" w:eastAsia="zh-CN" w:bidi="ar"/>
              </w:rPr>
              <w:t>护林防火经费</w:t>
            </w:r>
          </w:p>
        </w:tc>
        <w:tc>
          <w:tcPr>
            <w:tcW w:w="6900" w:type="dxa"/>
            <w:noWrap w:val="0"/>
            <w:vAlign w:val="top"/>
          </w:tcPr>
          <w:p w14:paraId="6521A42D">
            <w:pPr>
              <w:numPr>
                <w:ilvl w:val="0"/>
                <w:numId w:val="0"/>
              </w:numPr>
              <w:spacing w:line="500" w:lineRule="exact"/>
              <w:ind w:left="0" w:leftChars="0" w:firstLine="0" w:firstLineChars="0"/>
              <w:jc w:val="left"/>
              <w:rPr>
                <w:rFonts w:hint="eastAsia" w:ascii="仿宋" w:hAnsi="仿宋" w:eastAsia="仿宋" w:cs="仿宋"/>
                <w:b w:val="0"/>
                <w:bCs/>
                <w:kern w:val="2"/>
                <w:sz w:val="32"/>
                <w:szCs w:val="32"/>
                <w:lang w:val="en-US" w:eastAsia="zh-CN" w:bidi="ar-SA"/>
              </w:rPr>
            </w:pPr>
            <w:r>
              <w:rPr>
                <w:rFonts w:hint="eastAsia" w:ascii="仿宋" w:hAnsi="仿宋" w:eastAsia="仿宋" w:cs="仿宋"/>
                <w:b w:val="0"/>
                <w:bCs/>
                <w:kern w:val="2"/>
                <w:sz w:val="32"/>
                <w:szCs w:val="32"/>
                <w:lang w:val="en-US" w:eastAsia="zh-CN" w:bidi="ar-SA"/>
              </w:rPr>
              <w:t>通过加强森林防火基础设施的建设和扑火队伍的专业培训工作，逐步建成森林防火预测预报网、通讯联络网、火情了望网、阻火隔离网，减少火灾发生，保护生态环境，增强人民群众防火意识。</w:t>
            </w:r>
          </w:p>
        </w:tc>
      </w:tr>
      <w:tr w14:paraId="11C98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411B9715">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环境整治经费</w:t>
            </w:r>
          </w:p>
        </w:tc>
        <w:tc>
          <w:tcPr>
            <w:tcW w:w="6900" w:type="dxa"/>
            <w:noWrap w:val="0"/>
            <w:vAlign w:val="top"/>
          </w:tcPr>
          <w:p w14:paraId="709B885E">
            <w:pPr>
              <w:numPr>
                <w:ilvl w:val="0"/>
                <w:numId w:val="0"/>
              </w:numPr>
              <w:spacing w:line="500" w:lineRule="exact"/>
              <w:jc w:val="left"/>
              <w:rPr>
                <w:rFonts w:hint="eastAsia" w:ascii="仿宋" w:hAnsi="仿宋" w:eastAsia="仿宋" w:cs="仿宋"/>
                <w:b w:val="0"/>
                <w:bCs/>
                <w:sz w:val="32"/>
                <w:szCs w:val="32"/>
              </w:rPr>
            </w:pPr>
            <w:r>
              <w:rPr>
                <w:rFonts w:hint="eastAsia" w:ascii="仿宋" w:hAnsi="仿宋" w:eastAsia="仿宋" w:cs="仿宋"/>
                <w:b w:val="0"/>
                <w:bCs/>
                <w:sz w:val="32"/>
                <w:szCs w:val="32"/>
              </w:rPr>
              <w:t>通过农村环境治理工作，处理农村污水、垃圾，推动农村走上“生产发展、生活富裕、生态文明”的发展新道路，给人民群众一个良好的生活环境，为大气污染防治奠定良好的基础，共同推进全镇农村环境综合整治工作再上新台阶。</w:t>
            </w:r>
          </w:p>
        </w:tc>
      </w:tr>
      <w:tr w14:paraId="18C52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030" w:type="dxa"/>
            <w:noWrap w:val="0"/>
            <w:vAlign w:val="center"/>
          </w:tcPr>
          <w:p w14:paraId="6E2A485C">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基层武装经费</w:t>
            </w:r>
          </w:p>
        </w:tc>
        <w:tc>
          <w:tcPr>
            <w:tcW w:w="6900" w:type="dxa"/>
            <w:noWrap w:val="0"/>
            <w:vAlign w:val="top"/>
          </w:tcPr>
          <w:p w14:paraId="156BB95B">
            <w:pPr>
              <w:numPr>
                <w:ilvl w:val="0"/>
                <w:numId w:val="0"/>
              </w:numPr>
              <w:spacing w:line="500" w:lineRule="exact"/>
              <w:jc w:val="left"/>
              <w:rPr>
                <w:rFonts w:hint="eastAsia" w:ascii="仿宋" w:hAnsi="仿宋" w:eastAsia="仿宋" w:cs="仿宋"/>
                <w:b w:val="0"/>
                <w:bCs/>
                <w:sz w:val="32"/>
                <w:szCs w:val="32"/>
                <w:lang w:eastAsia="zh-CN"/>
              </w:rPr>
            </w:pPr>
            <w:r>
              <w:rPr>
                <w:rFonts w:hint="eastAsia" w:ascii="仿宋" w:hAnsi="仿宋" w:eastAsia="仿宋" w:cs="仿宋"/>
                <w:b w:val="0"/>
                <w:bCs/>
                <w:sz w:val="32"/>
                <w:szCs w:val="32"/>
              </w:rPr>
              <w:t>通过保障基层武装训练工作顺利开展，保障强化民兵基层建设工作</w:t>
            </w:r>
            <w:r>
              <w:rPr>
                <w:rFonts w:hint="eastAsia" w:ascii="仿宋" w:hAnsi="仿宋" w:eastAsia="仿宋" w:cs="仿宋"/>
                <w:b w:val="0"/>
                <w:bCs/>
                <w:sz w:val="32"/>
                <w:szCs w:val="32"/>
                <w:lang w:eastAsia="zh-CN"/>
              </w:rPr>
              <w:t>。</w:t>
            </w:r>
          </w:p>
        </w:tc>
      </w:tr>
      <w:tr w14:paraId="5EADE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2F57C496">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冀财行[2024]101号关于提前下达2025年省级下沉工作队综合经费</w:t>
            </w:r>
          </w:p>
        </w:tc>
        <w:tc>
          <w:tcPr>
            <w:tcW w:w="6900" w:type="dxa"/>
            <w:noWrap w:val="0"/>
            <w:vAlign w:val="top"/>
          </w:tcPr>
          <w:p w14:paraId="7352AC21">
            <w:pPr>
              <w:numPr>
                <w:ilvl w:val="0"/>
                <w:numId w:val="0"/>
              </w:numPr>
              <w:spacing w:line="500" w:lineRule="exact"/>
              <w:jc w:val="left"/>
              <w:rPr>
                <w:rFonts w:hint="eastAsia" w:ascii="仿宋" w:hAnsi="仿宋" w:eastAsia="仿宋" w:cs="仿宋"/>
                <w:b w:val="0"/>
                <w:bCs/>
                <w:sz w:val="32"/>
                <w:szCs w:val="32"/>
              </w:rPr>
            </w:pPr>
            <w:r>
              <w:rPr>
                <w:rFonts w:hint="eastAsia" w:ascii="仿宋" w:hAnsi="仿宋" w:eastAsia="仿宋" w:cs="仿宋"/>
                <w:b w:val="0"/>
                <w:bCs/>
                <w:sz w:val="32"/>
                <w:szCs w:val="32"/>
              </w:rPr>
              <w:t>推动工作队在所在村实现班子强、产业兴、社会稳，为全面推进乡村振兴、提升基层治理水平奠定坚实基础。为省级下沉工作队的办公学习、食宿、水电暖、网络通信、必要交通等提供经费保障支出。</w:t>
            </w:r>
          </w:p>
        </w:tc>
      </w:tr>
      <w:tr w14:paraId="3D991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061AC979">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冀财教[2024]149号提前下达2025年省级公共图书馆、美术馆、文化馆（站）免费开放补助资金预算的通知</w:t>
            </w:r>
          </w:p>
        </w:tc>
        <w:tc>
          <w:tcPr>
            <w:tcW w:w="6900" w:type="dxa"/>
            <w:noWrap w:val="0"/>
            <w:vAlign w:val="top"/>
          </w:tcPr>
          <w:p w14:paraId="4A671430">
            <w:pPr>
              <w:numPr>
                <w:ilvl w:val="0"/>
                <w:numId w:val="0"/>
              </w:numPr>
              <w:spacing w:line="500" w:lineRule="exact"/>
              <w:jc w:val="left"/>
              <w:rPr>
                <w:rFonts w:hint="eastAsia" w:ascii="仿宋" w:hAnsi="仿宋" w:eastAsia="仿宋" w:cs="仿宋"/>
                <w:b w:val="0"/>
                <w:bCs/>
                <w:sz w:val="32"/>
                <w:szCs w:val="32"/>
                <w:lang w:eastAsia="zh-CN"/>
              </w:rPr>
            </w:pPr>
            <w:r>
              <w:rPr>
                <w:rFonts w:hint="eastAsia" w:ascii="仿宋" w:hAnsi="仿宋" w:eastAsia="仿宋" w:cs="仿宋"/>
                <w:b w:val="0"/>
                <w:bCs/>
                <w:sz w:val="32"/>
                <w:szCs w:val="32"/>
              </w:rPr>
              <w:t>通过举办文化艺术类活动，组织公益性群众文化活动，起到乡村振兴促进作用，繁荣乡村文化</w:t>
            </w:r>
            <w:r>
              <w:rPr>
                <w:rFonts w:hint="eastAsia" w:ascii="仿宋" w:hAnsi="仿宋" w:eastAsia="仿宋" w:cs="仿宋"/>
                <w:b w:val="0"/>
                <w:bCs/>
                <w:sz w:val="32"/>
                <w:szCs w:val="32"/>
                <w:lang w:eastAsia="zh-CN"/>
              </w:rPr>
              <w:t>。</w:t>
            </w:r>
          </w:p>
        </w:tc>
      </w:tr>
      <w:tr w14:paraId="6B503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3030" w:type="dxa"/>
            <w:noWrap w:val="0"/>
            <w:vAlign w:val="center"/>
          </w:tcPr>
          <w:p w14:paraId="71AB2DA2">
            <w:pPr>
              <w:keepNext w:val="0"/>
              <w:keepLines w:val="0"/>
              <w:widowControl/>
              <w:suppressLineNumbers w:val="0"/>
              <w:jc w:val="left"/>
              <w:textAlignment w:val="center"/>
              <w:rPr>
                <w:rFonts w:hint="eastAsia" w:ascii="仿宋" w:hAnsi="仿宋" w:eastAsia="仿宋" w:cs="仿宋"/>
                <w:kern w:val="2"/>
                <w:sz w:val="32"/>
                <w:szCs w:val="32"/>
                <w:lang w:val="en-US" w:eastAsia="zh-CN" w:bidi="ar-SA"/>
              </w:rPr>
            </w:pPr>
            <w:r>
              <w:rPr>
                <w:rFonts w:hint="eastAsia" w:ascii="仿宋" w:hAnsi="仿宋" w:eastAsia="仿宋" w:cs="仿宋"/>
                <w:i w:val="0"/>
                <w:iCs w:val="0"/>
                <w:color w:val="000000"/>
                <w:kern w:val="0"/>
                <w:sz w:val="32"/>
                <w:szCs w:val="32"/>
                <w:u w:val="none"/>
                <w:lang w:val="en-US" w:eastAsia="zh-CN" w:bidi="ar"/>
              </w:rPr>
              <w:t>冀财教[2025]44号2025年中央支持地方公共文化服务体系建设补助资金</w:t>
            </w:r>
          </w:p>
        </w:tc>
        <w:tc>
          <w:tcPr>
            <w:tcW w:w="6900" w:type="dxa"/>
            <w:noWrap w:val="0"/>
            <w:vAlign w:val="top"/>
          </w:tcPr>
          <w:p w14:paraId="799F8C5B">
            <w:pPr>
              <w:numPr>
                <w:ilvl w:val="0"/>
                <w:numId w:val="0"/>
              </w:numPr>
              <w:spacing w:line="500" w:lineRule="exact"/>
              <w:jc w:val="left"/>
              <w:rPr>
                <w:rFonts w:hint="eastAsia" w:ascii="仿宋" w:hAnsi="仿宋" w:eastAsia="仿宋" w:cs="仿宋"/>
                <w:b w:val="0"/>
                <w:bCs/>
                <w:sz w:val="32"/>
                <w:szCs w:val="32"/>
                <w:lang w:eastAsia="zh-CN"/>
              </w:rPr>
            </w:pPr>
            <w:r>
              <w:rPr>
                <w:rFonts w:hint="eastAsia" w:ascii="仿宋" w:hAnsi="仿宋" w:eastAsia="仿宋" w:cs="仿宋"/>
                <w:b w:val="0"/>
                <w:bCs/>
                <w:sz w:val="32"/>
                <w:szCs w:val="32"/>
              </w:rPr>
              <w:t xml:space="preserve">通过举办文化艺术类活动，组织公益性群众文化活动，起到乡村振兴促进作用，繁荣乡村文化 </w:t>
            </w:r>
            <w:r>
              <w:rPr>
                <w:rFonts w:hint="eastAsia" w:ascii="仿宋" w:hAnsi="仿宋" w:eastAsia="仿宋" w:cs="仿宋"/>
                <w:b w:val="0"/>
                <w:bCs/>
                <w:sz w:val="32"/>
                <w:szCs w:val="32"/>
                <w:lang w:eastAsia="zh-CN"/>
              </w:rPr>
              <w:t>。</w:t>
            </w:r>
          </w:p>
        </w:tc>
      </w:tr>
      <w:tr w14:paraId="525E2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07848EEE">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冀财农[2024]93号关于提前下达2025年中央农村综合改革转移支付预算通知（农村公益事业建设奖补）</w:t>
            </w:r>
          </w:p>
        </w:tc>
        <w:tc>
          <w:tcPr>
            <w:tcW w:w="6900" w:type="dxa"/>
            <w:noWrap w:val="0"/>
            <w:vAlign w:val="top"/>
          </w:tcPr>
          <w:p w14:paraId="39CE89B8">
            <w:pPr>
              <w:numPr>
                <w:ilvl w:val="0"/>
                <w:numId w:val="0"/>
              </w:numPr>
              <w:spacing w:line="500" w:lineRule="exact"/>
              <w:ind w:left="0" w:leftChars="0" w:firstLine="0" w:firstLineChars="0"/>
              <w:jc w:val="left"/>
              <w:rPr>
                <w:rFonts w:hint="eastAsia" w:ascii="仿宋" w:hAnsi="仿宋" w:eastAsia="仿宋" w:cs="仿宋"/>
                <w:b w:val="0"/>
                <w:bCs/>
                <w:sz w:val="32"/>
                <w:szCs w:val="32"/>
                <w:lang w:eastAsia="zh-CN"/>
              </w:rPr>
            </w:pPr>
            <w:r>
              <w:rPr>
                <w:rFonts w:hint="eastAsia" w:ascii="仿宋" w:hAnsi="仿宋" w:eastAsia="仿宋" w:cs="仿宋"/>
                <w:b w:val="0"/>
                <w:bCs/>
                <w:sz w:val="32"/>
                <w:szCs w:val="32"/>
              </w:rPr>
              <w:t>完成东街村村民休闲活动项目，完成庄子头村村内道路，完成西街村村内道路农村公益事业项目，提高村民群众生活质量，全心全意为人民服务</w:t>
            </w:r>
            <w:r>
              <w:rPr>
                <w:rFonts w:hint="eastAsia" w:ascii="仿宋" w:hAnsi="仿宋" w:eastAsia="仿宋" w:cs="仿宋"/>
                <w:b w:val="0"/>
                <w:bCs/>
                <w:sz w:val="32"/>
                <w:szCs w:val="32"/>
                <w:lang w:eastAsia="zh-CN"/>
              </w:rPr>
              <w:t>。</w:t>
            </w:r>
          </w:p>
        </w:tc>
      </w:tr>
      <w:tr w14:paraId="7BB1B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0" w:type="dxa"/>
            <w:noWrap w:val="0"/>
            <w:vAlign w:val="center"/>
          </w:tcPr>
          <w:p w14:paraId="170EE1A5">
            <w:pPr>
              <w:keepNext w:val="0"/>
              <w:keepLines w:val="0"/>
              <w:widowControl/>
              <w:suppressLineNumbers w:val="0"/>
              <w:jc w:val="left"/>
              <w:textAlignment w:val="center"/>
              <w:rPr>
                <w:rFonts w:hint="eastAsia" w:ascii="仿宋" w:hAnsi="仿宋" w:eastAsia="仿宋" w:cs="仿宋"/>
                <w:b w:val="0"/>
                <w:bCs/>
                <w:sz w:val="32"/>
                <w:szCs w:val="32"/>
                <w:lang w:eastAsia="zh-CN"/>
              </w:rPr>
            </w:pPr>
            <w:r>
              <w:rPr>
                <w:rFonts w:hint="eastAsia" w:ascii="仿宋" w:hAnsi="仿宋" w:eastAsia="仿宋" w:cs="仿宋"/>
                <w:i w:val="0"/>
                <w:iCs w:val="0"/>
                <w:color w:val="000000"/>
                <w:kern w:val="0"/>
                <w:sz w:val="32"/>
                <w:szCs w:val="32"/>
                <w:u w:val="none"/>
                <w:lang w:val="en-US" w:eastAsia="zh-CN" w:bidi="ar"/>
              </w:rPr>
              <w:t>冀财社[2024]161号关于提前下达2025年中央财政困难群众救助补助资金预算的通知</w:t>
            </w:r>
          </w:p>
        </w:tc>
        <w:tc>
          <w:tcPr>
            <w:tcW w:w="6900" w:type="dxa"/>
            <w:noWrap w:val="0"/>
            <w:vAlign w:val="top"/>
          </w:tcPr>
          <w:p w14:paraId="5EF1AA47">
            <w:pPr>
              <w:numPr>
                <w:ilvl w:val="0"/>
                <w:numId w:val="0"/>
              </w:numPr>
              <w:spacing w:line="500" w:lineRule="exact"/>
              <w:ind w:leftChars="0"/>
              <w:jc w:val="left"/>
              <w:rPr>
                <w:rFonts w:hint="eastAsia" w:ascii="仿宋" w:hAnsi="仿宋" w:eastAsia="仿宋" w:cs="仿宋"/>
                <w:b w:val="0"/>
                <w:bCs/>
                <w:sz w:val="32"/>
                <w:szCs w:val="32"/>
                <w:lang w:eastAsia="zh-CN"/>
              </w:rPr>
            </w:pPr>
            <w:r>
              <w:rPr>
                <w:rFonts w:hint="eastAsia" w:ascii="仿宋" w:hAnsi="仿宋" w:eastAsia="仿宋" w:cs="仿宋"/>
                <w:b w:val="0"/>
                <w:bCs/>
                <w:sz w:val="32"/>
                <w:szCs w:val="32"/>
              </w:rP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176E5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0" w:hRule="atLeast"/>
        </w:trPr>
        <w:tc>
          <w:tcPr>
            <w:tcW w:w="3030" w:type="dxa"/>
            <w:noWrap w:val="0"/>
            <w:vAlign w:val="center"/>
          </w:tcPr>
          <w:p w14:paraId="3F146463">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井陉县威州镇偿还政府拖欠企业账款项目（第二批）</w:t>
            </w:r>
          </w:p>
        </w:tc>
        <w:tc>
          <w:tcPr>
            <w:tcW w:w="6900" w:type="dxa"/>
            <w:noWrap w:val="0"/>
            <w:vAlign w:val="top"/>
          </w:tcPr>
          <w:p w14:paraId="4C44C1F3">
            <w:pPr>
              <w:numPr>
                <w:ilvl w:val="0"/>
                <w:numId w:val="0"/>
              </w:numPr>
              <w:spacing w:line="500" w:lineRule="exact"/>
              <w:ind w:leftChars="0"/>
              <w:jc w:val="left"/>
              <w:rPr>
                <w:rFonts w:hint="eastAsia" w:ascii="仿宋" w:hAnsi="仿宋" w:eastAsia="仿宋" w:cs="仿宋"/>
                <w:b w:val="0"/>
                <w:bCs/>
                <w:sz w:val="32"/>
                <w:szCs w:val="32"/>
              </w:rPr>
            </w:pPr>
            <w:r>
              <w:rPr>
                <w:rFonts w:hint="eastAsia" w:ascii="仿宋" w:hAnsi="仿宋" w:eastAsia="仿宋" w:cs="仿宋"/>
                <w:b w:val="0"/>
                <w:bCs/>
                <w:sz w:val="32"/>
                <w:szCs w:val="32"/>
              </w:rPr>
              <w:t>主要用于偿还对企业的项目欠款，其中包括8个项目，分别为威州镇冲洗点采购及安装；冲洗点用工；井陉县威州镇综合执法队外墙改造施工；井陉县威州镇办公住宿环境改造提升工程；镇域内硬化、绿化综合整治；马拉松沿线环境综合整治提升；威州集口至东街东桥道路施工硬化；鲟鱼产业园、果园提升建设。</w:t>
            </w:r>
          </w:p>
        </w:tc>
      </w:tr>
      <w:tr w14:paraId="31525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3030" w:type="dxa"/>
            <w:noWrap w:val="0"/>
            <w:vAlign w:val="center"/>
          </w:tcPr>
          <w:p w14:paraId="52B73117">
            <w:pPr>
              <w:keepNext w:val="0"/>
              <w:keepLines w:val="0"/>
              <w:widowControl/>
              <w:suppressLineNumbers w:val="0"/>
              <w:jc w:val="left"/>
              <w:textAlignment w:val="center"/>
              <w:rPr>
                <w:rFonts w:hint="eastAsia" w:ascii="仿宋" w:hAnsi="仿宋" w:eastAsia="仿宋" w:cs="仿宋"/>
                <w:b w:val="0"/>
                <w:bCs/>
                <w:sz w:val="32"/>
                <w:szCs w:val="32"/>
                <w:lang w:eastAsia="zh-CN"/>
              </w:rPr>
            </w:pPr>
            <w:r>
              <w:rPr>
                <w:rFonts w:hint="eastAsia" w:ascii="仿宋" w:hAnsi="仿宋" w:eastAsia="仿宋" w:cs="仿宋"/>
                <w:i w:val="0"/>
                <w:iCs w:val="0"/>
                <w:color w:val="000000"/>
                <w:kern w:val="0"/>
                <w:sz w:val="32"/>
                <w:szCs w:val="32"/>
                <w:u w:val="none"/>
                <w:lang w:val="en-US" w:eastAsia="zh-CN" w:bidi="ar"/>
              </w:rPr>
              <w:t>马拉松赛道占地2025年租金</w:t>
            </w:r>
          </w:p>
        </w:tc>
        <w:tc>
          <w:tcPr>
            <w:tcW w:w="6900" w:type="dxa"/>
            <w:noWrap w:val="0"/>
            <w:vAlign w:val="top"/>
          </w:tcPr>
          <w:p w14:paraId="035FDD07">
            <w:pPr>
              <w:numPr>
                <w:ilvl w:val="0"/>
                <w:numId w:val="0"/>
              </w:numPr>
              <w:spacing w:line="500" w:lineRule="exact"/>
              <w:ind w:left="0" w:leftChars="0" w:firstLine="0" w:firstLineChars="0"/>
              <w:jc w:val="left"/>
              <w:rPr>
                <w:rFonts w:hint="eastAsia" w:ascii="仿宋" w:hAnsi="仿宋" w:eastAsia="仿宋" w:cs="仿宋"/>
                <w:b w:val="0"/>
                <w:bCs/>
                <w:sz w:val="32"/>
                <w:szCs w:val="32"/>
              </w:rPr>
            </w:pPr>
            <w:r>
              <w:rPr>
                <w:rFonts w:hint="eastAsia" w:ascii="仿宋" w:hAnsi="仿宋" w:eastAsia="仿宋" w:cs="仿宋"/>
                <w:b w:val="0"/>
                <w:bCs/>
                <w:sz w:val="32"/>
                <w:szCs w:val="32"/>
              </w:rPr>
              <w:t>通过对马拉松占地租金费用补偿，保障道路正常通行，保障社会稳定，不发生上访事件。</w:t>
            </w:r>
          </w:p>
        </w:tc>
      </w:tr>
      <w:tr w14:paraId="713A4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030" w:type="dxa"/>
            <w:noWrap w:val="0"/>
            <w:vAlign w:val="center"/>
          </w:tcPr>
          <w:p w14:paraId="029FECBA">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农村道路维修</w:t>
            </w:r>
          </w:p>
        </w:tc>
        <w:tc>
          <w:tcPr>
            <w:tcW w:w="6900" w:type="dxa"/>
            <w:noWrap w:val="0"/>
            <w:vAlign w:val="top"/>
          </w:tcPr>
          <w:p w14:paraId="15D2ABD0">
            <w:pPr>
              <w:numPr>
                <w:ilvl w:val="0"/>
                <w:numId w:val="0"/>
              </w:numPr>
              <w:spacing w:line="500" w:lineRule="exact"/>
              <w:ind w:left="0" w:leftChars="0" w:firstLine="0" w:firstLineChars="0"/>
              <w:jc w:val="left"/>
              <w:rPr>
                <w:rFonts w:hint="eastAsia" w:ascii="仿宋" w:hAnsi="仿宋" w:eastAsia="仿宋" w:cs="仿宋"/>
                <w:b w:val="0"/>
                <w:bCs/>
                <w:sz w:val="32"/>
                <w:szCs w:val="32"/>
                <w:lang w:eastAsia="zh-CN"/>
              </w:rPr>
            </w:pPr>
            <w:r>
              <w:rPr>
                <w:rFonts w:hint="eastAsia" w:ascii="仿宋" w:hAnsi="仿宋" w:eastAsia="仿宋" w:cs="仿宋"/>
                <w:b w:val="0"/>
                <w:bCs/>
                <w:sz w:val="32"/>
                <w:szCs w:val="32"/>
              </w:rPr>
              <w:t>通过对各村损坏严重道路维修,给人民群众提供出行之便，为民办实事,拓宽经济发展之路</w:t>
            </w:r>
            <w:r>
              <w:rPr>
                <w:rFonts w:hint="eastAsia" w:ascii="仿宋" w:hAnsi="仿宋" w:eastAsia="仿宋" w:cs="仿宋"/>
                <w:b w:val="0"/>
                <w:bCs/>
                <w:sz w:val="32"/>
                <w:szCs w:val="32"/>
                <w:lang w:eastAsia="zh-CN"/>
              </w:rPr>
              <w:t>。</w:t>
            </w:r>
          </w:p>
        </w:tc>
      </w:tr>
      <w:tr w14:paraId="69973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030" w:type="dxa"/>
            <w:noWrap w:val="0"/>
            <w:vAlign w:val="center"/>
          </w:tcPr>
          <w:p w14:paraId="40D6FA61">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弃渣清运监管资金</w:t>
            </w:r>
          </w:p>
        </w:tc>
        <w:tc>
          <w:tcPr>
            <w:tcW w:w="6900" w:type="dxa"/>
            <w:noWrap w:val="0"/>
            <w:vAlign w:val="top"/>
          </w:tcPr>
          <w:p w14:paraId="793723B9">
            <w:pPr>
              <w:numPr>
                <w:ilvl w:val="0"/>
                <w:numId w:val="0"/>
              </w:numPr>
              <w:spacing w:line="500" w:lineRule="exact"/>
              <w:ind w:left="0" w:leftChars="0" w:firstLine="0" w:firstLineChars="0"/>
              <w:jc w:val="left"/>
              <w:rPr>
                <w:rFonts w:hint="eastAsia" w:ascii="仿宋" w:hAnsi="仿宋" w:eastAsia="仿宋" w:cs="仿宋"/>
                <w:b w:val="0"/>
                <w:bCs/>
                <w:sz w:val="32"/>
                <w:szCs w:val="32"/>
              </w:rPr>
            </w:pPr>
            <w:r>
              <w:rPr>
                <w:rFonts w:hint="eastAsia" w:ascii="仿宋" w:hAnsi="仿宋" w:eastAsia="仿宋" w:cs="仿宋"/>
                <w:b w:val="0"/>
                <w:bCs/>
                <w:sz w:val="32"/>
                <w:szCs w:val="32"/>
              </w:rPr>
              <w:t>保证弃渣清运工作顺利开展，维护清运现场环境</w:t>
            </w:r>
            <w:r>
              <w:rPr>
                <w:rFonts w:hint="eastAsia" w:ascii="仿宋" w:hAnsi="仿宋" w:eastAsia="仿宋" w:cs="仿宋"/>
                <w:b w:val="0"/>
                <w:bCs/>
                <w:sz w:val="32"/>
                <w:szCs w:val="32"/>
                <w:lang w:eastAsia="zh-CN"/>
              </w:rPr>
              <w:t>。</w:t>
            </w:r>
          </w:p>
        </w:tc>
      </w:tr>
      <w:tr w14:paraId="73454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030" w:type="dxa"/>
            <w:noWrap w:val="0"/>
            <w:vAlign w:val="center"/>
          </w:tcPr>
          <w:p w14:paraId="29AB2B33">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石财行[2025]6号关于下达2025年市派下沉工作队综合经费的通知</w:t>
            </w:r>
          </w:p>
        </w:tc>
        <w:tc>
          <w:tcPr>
            <w:tcW w:w="6900" w:type="dxa"/>
            <w:noWrap w:val="0"/>
            <w:vAlign w:val="top"/>
          </w:tcPr>
          <w:p w14:paraId="0D3CB8C5">
            <w:pPr>
              <w:numPr>
                <w:ilvl w:val="0"/>
                <w:numId w:val="0"/>
              </w:numPr>
              <w:spacing w:line="500" w:lineRule="exact"/>
              <w:ind w:left="0" w:leftChars="0" w:firstLine="0" w:firstLineChars="0"/>
              <w:jc w:val="left"/>
              <w:rPr>
                <w:rFonts w:hint="eastAsia" w:ascii="仿宋" w:hAnsi="仿宋" w:eastAsia="仿宋" w:cs="仿宋"/>
                <w:b w:val="0"/>
                <w:bCs/>
                <w:sz w:val="32"/>
                <w:szCs w:val="32"/>
                <w:lang w:eastAsia="zh-CN"/>
              </w:rPr>
            </w:pPr>
            <w:r>
              <w:rPr>
                <w:rFonts w:hint="eastAsia" w:ascii="仿宋" w:hAnsi="仿宋" w:eastAsia="仿宋" w:cs="仿宋"/>
                <w:b w:val="0"/>
                <w:bCs/>
                <w:sz w:val="32"/>
                <w:szCs w:val="32"/>
              </w:rPr>
              <w:t>通过对我镇南固底村市派下沉工作队分配工作经费，保障工作队日常工作有序开展</w:t>
            </w:r>
            <w:r>
              <w:rPr>
                <w:rFonts w:hint="eastAsia" w:ascii="仿宋" w:hAnsi="仿宋" w:eastAsia="仿宋" w:cs="仿宋"/>
                <w:b w:val="0"/>
                <w:bCs/>
                <w:sz w:val="32"/>
                <w:szCs w:val="32"/>
                <w:lang w:eastAsia="zh-CN"/>
              </w:rPr>
              <w:t>。</w:t>
            </w:r>
          </w:p>
        </w:tc>
      </w:tr>
      <w:tr w14:paraId="37C14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030" w:type="dxa"/>
            <w:noWrap w:val="0"/>
            <w:vAlign w:val="center"/>
          </w:tcPr>
          <w:p w14:paraId="021B3C5C">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团委工作经费</w:t>
            </w:r>
          </w:p>
        </w:tc>
        <w:tc>
          <w:tcPr>
            <w:tcW w:w="6900" w:type="dxa"/>
            <w:noWrap w:val="0"/>
            <w:vAlign w:val="top"/>
          </w:tcPr>
          <w:p w14:paraId="3024E62F">
            <w:pPr>
              <w:numPr>
                <w:ilvl w:val="0"/>
                <w:numId w:val="0"/>
              </w:numPr>
              <w:spacing w:line="500" w:lineRule="exact"/>
              <w:ind w:left="0" w:leftChars="0" w:firstLine="0" w:firstLineChars="0"/>
              <w:jc w:val="left"/>
              <w:rPr>
                <w:rFonts w:hint="eastAsia" w:ascii="仿宋" w:hAnsi="仿宋" w:eastAsia="仿宋" w:cs="仿宋"/>
                <w:b w:val="0"/>
                <w:bCs/>
                <w:sz w:val="32"/>
                <w:szCs w:val="32"/>
              </w:rPr>
            </w:pPr>
            <w:r>
              <w:rPr>
                <w:rFonts w:hint="eastAsia" w:ascii="仿宋" w:hAnsi="仿宋" w:eastAsia="仿宋" w:cs="仿宋"/>
                <w:b w:val="0"/>
                <w:bCs/>
                <w:sz w:val="32"/>
                <w:szCs w:val="32"/>
              </w:rPr>
              <w:t>通过我镇团委的正常工作及开展各项青少年教育及青年志愿者活动，为青年教育提供了有力的物质保障。</w:t>
            </w:r>
          </w:p>
        </w:tc>
      </w:tr>
      <w:tr w14:paraId="261E4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030" w:type="dxa"/>
            <w:noWrap w:val="0"/>
            <w:vAlign w:val="center"/>
          </w:tcPr>
          <w:p w14:paraId="08F37DA4">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威州镇2025年劳务派遣人员经费</w:t>
            </w:r>
          </w:p>
        </w:tc>
        <w:tc>
          <w:tcPr>
            <w:tcW w:w="6900" w:type="dxa"/>
            <w:noWrap w:val="0"/>
            <w:vAlign w:val="top"/>
          </w:tcPr>
          <w:p w14:paraId="02728600">
            <w:pPr>
              <w:numPr>
                <w:ilvl w:val="0"/>
                <w:numId w:val="0"/>
              </w:numPr>
              <w:spacing w:line="500" w:lineRule="exact"/>
              <w:ind w:left="0" w:leftChars="0" w:firstLine="0" w:firstLineChars="0"/>
              <w:jc w:val="left"/>
              <w:rPr>
                <w:rFonts w:hint="eastAsia" w:ascii="仿宋" w:hAnsi="仿宋" w:eastAsia="仿宋" w:cs="仿宋"/>
                <w:b w:val="0"/>
                <w:bCs/>
                <w:sz w:val="32"/>
                <w:szCs w:val="32"/>
              </w:rPr>
            </w:pPr>
            <w:r>
              <w:rPr>
                <w:rFonts w:hint="eastAsia" w:ascii="仿宋" w:hAnsi="仿宋" w:eastAsia="仿宋" w:cs="仿宋"/>
                <w:b w:val="0"/>
                <w:bCs/>
                <w:sz w:val="32"/>
                <w:szCs w:val="32"/>
              </w:rPr>
              <w:t>通过按时发放劳务派遣人员工资，保障退役军人安置工作正常运转。</w:t>
            </w:r>
          </w:p>
        </w:tc>
      </w:tr>
      <w:tr w14:paraId="13588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030" w:type="dxa"/>
            <w:noWrap w:val="0"/>
            <w:vAlign w:val="center"/>
          </w:tcPr>
          <w:p w14:paraId="29619D9C">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威州镇弃砂现场监管人员经费</w:t>
            </w:r>
          </w:p>
        </w:tc>
        <w:tc>
          <w:tcPr>
            <w:tcW w:w="6900" w:type="dxa"/>
            <w:noWrap w:val="0"/>
            <w:vAlign w:val="top"/>
          </w:tcPr>
          <w:p w14:paraId="4746C0D9">
            <w:pPr>
              <w:numPr>
                <w:ilvl w:val="0"/>
                <w:numId w:val="0"/>
              </w:numPr>
              <w:spacing w:line="500" w:lineRule="exact"/>
              <w:ind w:left="0" w:leftChars="0" w:firstLine="0" w:firstLineChars="0"/>
              <w:jc w:val="left"/>
              <w:rPr>
                <w:rFonts w:hint="eastAsia" w:ascii="仿宋" w:hAnsi="仿宋" w:eastAsia="仿宋" w:cs="仿宋"/>
                <w:b w:val="0"/>
                <w:bCs/>
                <w:sz w:val="32"/>
                <w:szCs w:val="32"/>
              </w:rPr>
            </w:pPr>
            <w:r>
              <w:rPr>
                <w:rFonts w:hint="eastAsia" w:ascii="仿宋" w:hAnsi="仿宋" w:eastAsia="仿宋" w:cs="仿宋"/>
                <w:b w:val="0"/>
                <w:bCs/>
                <w:sz w:val="32"/>
                <w:szCs w:val="32"/>
              </w:rPr>
              <w:t>主要用于3个人弃砂现场监管人员费用项目，完成绵蔓河弃砂清运工作，提高村民群众生活质量，全心全意为民服务。</w:t>
            </w:r>
          </w:p>
        </w:tc>
      </w:tr>
      <w:tr w14:paraId="02D50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030" w:type="dxa"/>
            <w:noWrap w:val="0"/>
            <w:vAlign w:val="center"/>
          </w:tcPr>
          <w:p w14:paraId="21FB5D27">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乡镇文化站免费开放运转经费</w:t>
            </w:r>
          </w:p>
        </w:tc>
        <w:tc>
          <w:tcPr>
            <w:tcW w:w="6900" w:type="dxa"/>
            <w:noWrap w:val="0"/>
            <w:vAlign w:val="top"/>
          </w:tcPr>
          <w:p w14:paraId="6ADB5180">
            <w:pPr>
              <w:numPr>
                <w:ilvl w:val="0"/>
                <w:numId w:val="0"/>
              </w:numPr>
              <w:spacing w:line="500" w:lineRule="exact"/>
              <w:ind w:left="0" w:leftChars="0" w:firstLine="0" w:firstLineChars="0"/>
              <w:jc w:val="left"/>
              <w:rPr>
                <w:rFonts w:hint="eastAsia" w:ascii="仿宋" w:hAnsi="仿宋" w:eastAsia="仿宋" w:cs="仿宋"/>
                <w:b w:val="0"/>
                <w:bCs/>
                <w:sz w:val="32"/>
                <w:szCs w:val="32"/>
              </w:rPr>
            </w:pPr>
            <w:r>
              <w:rPr>
                <w:rFonts w:hint="eastAsia" w:ascii="仿宋" w:hAnsi="仿宋" w:eastAsia="仿宋" w:cs="仿宋"/>
                <w:b w:val="0"/>
                <w:bCs/>
                <w:sz w:val="32"/>
                <w:szCs w:val="32"/>
              </w:rPr>
              <w:t>通过乡镇文化站免费开放活动工作，进而丰富村民的精神文化活动。</w:t>
            </w:r>
          </w:p>
        </w:tc>
      </w:tr>
      <w:tr w14:paraId="07E58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030" w:type="dxa"/>
            <w:noWrap w:val="0"/>
            <w:vAlign w:val="center"/>
          </w:tcPr>
          <w:p w14:paraId="4A1466C1">
            <w:pPr>
              <w:keepNext w:val="0"/>
              <w:keepLines w:val="0"/>
              <w:widowControl/>
              <w:suppressLineNumbers w:val="0"/>
              <w:jc w:val="left"/>
              <w:textAlignment w:val="center"/>
              <w:rPr>
                <w:rFonts w:hint="eastAsia" w:ascii="仿宋" w:hAnsi="仿宋" w:eastAsia="仿宋" w:cs="仿宋"/>
                <w:b w:val="0"/>
                <w:bCs/>
                <w:sz w:val="32"/>
                <w:szCs w:val="32"/>
              </w:rPr>
            </w:pPr>
            <w:r>
              <w:rPr>
                <w:rFonts w:hint="eastAsia" w:ascii="仿宋" w:hAnsi="仿宋" w:eastAsia="仿宋" w:cs="仿宋"/>
                <w:i w:val="0"/>
                <w:iCs w:val="0"/>
                <w:color w:val="000000"/>
                <w:kern w:val="0"/>
                <w:sz w:val="32"/>
                <w:szCs w:val="32"/>
                <w:u w:val="none"/>
                <w:lang w:val="en-US" w:eastAsia="zh-CN" w:bidi="ar"/>
              </w:rPr>
              <w:t>信访稳定经费</w:t>
            </w:r>
          </w:p>
        </w:tc>
        <w:tc>
          <w:tcPr>
            <w:tcW w:w="6900" w:type="dxa"/>
            <w:noWrap w:val="0"/>
            <w:vAlign w:val="top"/>
          </w:tcPr>
          <w:p w14:paraId="1320AE93">
            <w:pPr>
              <w:numPr>
                <w:ilvl w:val="0"/>
                <w:numId w:val="0"/>
              </w:numPr>
              <w:spacing w:line="500" w:lineRule="exact"/>
              <w:ind w:left="0" w:leftChars="0" w:firstLine="0" w:firstLineChars="0"/>
              <w:jc w:val="left"/>
              <w:rPr>
                <w:rFonts w:hint="eastAsia" w:ascii="仿宋" w:hAnsi="仿宋" w:eastAsia="仿宋" w:cs="仿宋"/>
                <w:b w:val="0"/>
                <w:bCs/>
                <w:sz w:val="32"/>
                <w:szCs w:val="32"/>
              </w:rPr>
            </w:pPr>
            <w:r>
              <w:rPr>
                <w:rFonts w:hint="eastAsia" w:ascii="仿宋" w:hAnsi="仿宋" w:eastAsia="仿宋" w:cs="仿宋"/>
                <w:b w:val="0"/>
                <w:bCs/>
                <w:sz w:val="32"/>
                <w:szCs w:val="32"/>
              </w:rPr>
              <w:t>通过有效控制本辖区内信访事件，防止出现群访、越级访事件，防止矛盾激化，为民排忧解难，化解群众矛盾，解决辖区内信访案件，维护社会和谐稳定。</w:t>
            </w:r>
          </w:p>
        </w:tc>
      </w:tr>
    </w:tbl>
    <w:p w14:paraId="4FEFC010">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p>
    <w:p w14:paraId="4D8660D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C0763DF">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A8C8FC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我镇根据县委县政府、县财政有关财务工作的相关规定，制定了部门项目管理办法。办法明确了经费审批权限及使用程序。重视对项目支出的管理，牢固树立"先预算，后支出"的观念，项目支出严格纳入经费预算，统筹安排使用专项资金。</w:t>
      </w:r>
    </w:p>
    <w:p w14:paraId="67FCF08C">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DA9D33C">
      <w:pPr>
        <w:widowControl w:val="0"/>
        <w:wordWrap/>
        <w:adjustRightInd w:val="0"/>
        <w:snapToGrid w:val="0"/>
        <w:spacing w:line="560" w:lineRule="exact"/>
        <w:ind w:left="0" w:leftChars="0" w:right="0" w:firstLine="640" w:firstLineChars="200"/>
        <w:textAlignment w:val="auto"/>
        <w:outlineLvl w:val="9"/>
        <w:rPr>
          <w:rFonts w:ascii="楷体" w:hAnsi="楷体" w:eastAsia="楷体" w:cs="楷体_GB2312"/>
          <w:bCs/>
          <w:sz w:val="32"/>
          <w:szCs w:val="32"/>
        </w:rPr>
      </w:pPr>
      <w:r>
        <w:rPr>
          <w:rFonts w:hint="eastAsia" w:ascii="仿宋" w:hAnsi="仿宋" w:eastAsia="仿宋"/>
          <w:sz w:val="32"/>
          <w:szCs w:val="32"/>
          <w:lang w:eastAsia="zh-CN"/>
        </w:rPr>
        <w:t>所有</w:t>
      </w:r>
      <w:r>
        <w:rPr>
          <w:rFonts w:hint="eastAsia" w:ascii="仿宋" w:hAnsi="仿宋" w:eastAsia="仿宋"/>
          <w:sz w:val="32"/>
          <w:szCs w:val="32"/>
        </w:rPr>
        <w:t>项目由井陉县财政局下达额度后，我镇根据项目进度合理规范使用资金额度，按照财政财务制度要求，严格支出手续确保质量达标率。保证资金支付的安全、透明、规范。</w:t>
      </w:r>
    </w:p>
    <w:p w14:paraId="107D1CE6">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2128CEF">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846AA2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做好机关日常工作的综合协调和督促检查，做好机关日常运作工作，做好机关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村日常管理工作等。</w:t>
      </w:r>
    </w:p>
    <w:p w14:paraId="143D8183">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2.做好城乡建设、生态环境、文化市场、农业农村、安全生产、民族宗教等领域行政执法工作。</w:t>
      </w:r>
    </w:p>
    <w:p w14:paraId="0B7C9EB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做好行政审批服务事项的受理、办理工作，提供政策和业务咨询，指导村便民服务点建设。做好开展群众文化艺术娱乐、体育活动，做好文化市场进行监督、巡察工作，做好文物普查、保护和开发利用工作，指导村文化室建设、文体设施规划建设。做好编制镇财政预决算，做好镇政府预算单位的财务管理和核算，做好村级资金核拨和监督管理等相关工作。</w:t>
      </w:r>
    </w:p>
    <w:p w14:paraId="3697D0C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4.配合农口部门（农、林、牧、水）做好农业技术服务和技术推广工作，动物防疫工作；加强农田水利基本建设，增强农业抗御自然灾害的能力做好森林培育和护林防火工作。做好农村一事一议项目管理。</w:t>
      </w:r>
    </w:p>
    <w:p w14:paraId="2EA9EBE7">
      <w:pPr>
        <w:spacing w:line="560" w:lineRule="exact"/>
        <w:ind w:firstLine="643" w:firstLineChars="200"/>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E6702F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 机关事务管理</w:t>
      </w:r>
    </w:p>
    <w:p w14:paraId="5E4D341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 xml:space="preserve"> 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140BF2C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 综合行政执法</w:t>
      </w:r>
    </w:p>
    <w:p w14:paraId="1E54659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 xml:space="preserve"> 承担综合行政执法工作，做好食品安全隐患排查，本区域内小作坊、小餐饮。小摊点的监督管理工作，协助市场监督管理部门对药品零售活动进行监督，协助有关部门查处传销行为等。</w:t>
      </w:r>
    </w:p>
    <w:p w14:paraId="6BA5B36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 行政综合服务</w:t>
      </w:r>
    </w:p>
    <w:p w14:paraId="32DE3C8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 xml:space="preserve"> 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14:paraId="5362FDF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4. 农业综合服务</w:t>
      </w:r>
    </w:p>
    <w:p w14:paraId="4FD54B54">
      <w:pPr>
        <w:widowControl w:val="0"/>
        <w:wordWrap/>
        <w:adjustRightInd w:val="0"/>
        <w:snapToGrid w:val="0"/>
        <w:spacing w:line="560" w:lineRule="exact"/>
        <w:ind w:left="0" w:leftChars="0" w:right="0" w:firstLine="640" w:firstLineChars="200"/>
        <w:textAlignment w:val="auto"/>
        <w:outlineLvl w:val="9"/>
        <w:rPr>
          <w:rFonts w:hint="eastAsia" w:ascii="新宋体" w:hAnsi="新宋体" w:eastAsia="新宋体" w:cs="仿宋"/>
          <w:sz w:val="30"/>
          <w:szCs w:val="30"/>
        </w:rPr>
      </w:pPr>
      <w:r>
        <w:rPr>
          <w:rFonts w:hint="eastAsia" w:ascii="仿宋" w:hAnsi="仿宋" w:eastAsia="仿宋"/>
          <w:sz w:val="32"/>
          <w:szCs w:val="32"/>
          <w:lang w:eastAsia="zh-CN"/>
        </w:rPr>
        <w:t xml:space="preserve"> 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r>
        <w:rPr>
          <w:rFonts w:hint="eastAsia" w:ascii="新宋体" w:hAnsi="新宋体" w:eastAsia="新宋体" w:cs="仿宋"/>
          <w:sz w:val="30"/>
          <w:szCs w:val="30"/>
        </w:rPr>
        <w:t>。</w:t>
      </w:r>
    </w:p>
    <w:p w14:paraId="541AA7C1">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0DC9C12">
      <w:pPr>
        <w:ind w:firstLine="640" w:firstLineChars="200"/>
        <w:rPr>
          <w:rFonts w:ascii="仿宋" w:hAnsi="仿宋" w:eastAsia="仿宋"/>
          <w:sz w:val="32"/>
          <w:szCs w:val="32"/>
        </w:rPr>
      </w:pP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87.92</w:t>
      </w:r>
      <w:r>
        <w:rPr>
          <w:rFonts w:hint="eastAsia" w:ascii="仿宋" w:hAnsi="仿宋" w:eastAsia="仿宋"/>
          <w:sz w:val="32"/>
          <w:szCs w:val="32"/>
          <w:lang w:eastAsia="zh-CN"/>
        </w:rPr>
        <w:t>分，得出综合评价等级为优秀。</w:t>
      </w:r>
    </w:p>
    <w:p w14:paraId="3E065EF1">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385C238">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楷体" w:hAnsi="楷体" w:eastAsia="楷体"/>
          <w:bCs/>
          <w:sz w:val="32"/>
          <w:szCs w:val="32"/>
        </w:rPr>
        <w:t>（一）存在的主要问题</w:t>
      </w:r>
    </w:p>
    <w:p w14:paraId="7D096C4C">
      <w:pPr>
        <w:widowControl w:val="0"/>
        <w:wordWrap/>
        <w:spacing w:line="560" w:lineRule="exact"/>
        <w:ind w:left="0" w:leftChars="0" w:right="0" w:firstLine="640" w:firstLineChars="200"/>
        <w:textAlignment w:val="auto"/>
        <w:outlineLvl w:val="9"/>
        <w:rPr>
          <w:rFonts w:ascii="楷体" w:hAnsi="楷体" w:eastAsia="楷体"/>
          <w:bCs/>
          <w:sz w:val="32"/>
          <w:szCs w:val="32"/>
        </w:rPr>
      </w:pPr>
      <w:r>
        <w:rPr>
          <w:rFonts w:hint="eastAsia" w:ascii="仿宋" w:hAnsi="仿宋" w:eastAsia="仿宋"/>
          <w:sz w:val="32"/>
          <w:szCs w:val="32"/>
        </w:rPr>
        <w:t>各项目有序开展实施，一部分项目取得了预期效果，但是有些项目进度缓慢。</w:t>
      </w:r>
    </w:p>
    <w:p w14:paraId="49ED812D">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5FA3F891">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rPr>
        <w:t>各项目有序开展实施，一部分项目取得了预期效果，但是有些项目进度缓慢，与对口科室沟通加快项目的建设，确保按时按质按量的完成年初预算绩效指标。</w:t>
      </w:r>
    </w:p>
    <w:p w14:paraId="62EBF4D3">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pPr w:leftFromText="180" w:rightFromText="180" w:vertAnchor="text" w:horzAnchor="page" w:tblpX="1927" w:tblpY="3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2130"/>
        <w:gridCol w:w="2652"/>
        <w:gridCol w:w="1825"/>
      </w:tblGrid>
      <w:tr w14:paraId="2AD2A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46CD249B">
            <w:pPr>
              <w:jc w:val="center"/>
              <w:rPr>
                <w:rFonts w:hint="eastAsia" w:ascii="宋体" w:hAnsi="宋体" w:eastAsia="宋体" w:cs="宋体"/>
                <w:sz w:val="32"/>
                <w:szCs w:val="32"/>
              </w:rPr>
            </w:pPr>
            <w:r>
              <w:rPr>
                <w:rFonts w:hint="eastAsia" w:ascii="宋体" w:hAnsi="宋体" w:eastAsia="宋体" w:cs="宋体"/>
                <w:sz w:val="32"/>
                <w:szCs w:val="32"/>
              </w:rPr>
              <w:t>姓名</w:t>
            </w:r>
          </w:p>
        </w:tc>
        <w:tc>
          <w:tcPr>
            <w:tcW w:w="2130" w:type="dxa"/>
          </w:tcPr>
          <w:p w14:paraId="7B5116DB">
            <w:pPr>
              <w:jc w:val="center"/>
              <w:rPr>
                <w:rFonts w:hint="eastAsia" w:ascii="宋体" w:hAnsi="宋体" w:eastAsia="宋体" w:cs="宋体"/>
                <w:sz w:val="32"/>
                <w:szCs w:val="32"/>
              </w:rPr>
            </w:pPr>
            <w:r>
              <w:rPr>
                <w:rFonts w:hint="eastAsia" w:ascii="宋体" w:hAnsi="宋体" w:eastAsia="宋体" w:cs="宋体"/>
                <w:sz w:val="32"/>
                <w:szCs w:val="32"/>
              </w:rPr>
              <w:t>单位</w:t>
            </w:r>
          </w:p>
        </w:tc>
        <w:tc>
          <w:tcPr>
            <w:tcW w:w="2652" w:type="dxa"/>
          </w:tcPr>
          <w:p w14:paraId="5006EE92">
            <w:pPr>
              <w:jc w:val="center"/>
              <w:rPr>
                <w:rFonts w:hint="eastAsia" w:ascii="宋体" w:hAnsi="宋体" w:eastAsia="宋体" w:cs="宋体"/>
                <w:sz w:val="32"/>
                <w:szCs w:val="32"/>
              </w:rPr>
            </w:pPr>
            <w:r>
              <w:rPr>
                <w:rFonts w:hint="eastAsia" w:ascii="宋体" w:hAnsi="宋体" w:eastAsia="宋体" w:cs="宋体"/>
                <w:sz w:val="32"/>
                <w:szCs w:val="32"/>
              </w:rPr>
              <w:t>职务</w:t>
            </w:r>
          </w:p>
        </w:tc>
        <w:tc>
          <w:tcPr>
            <w:tcW w:w="1825" w:type="dxa"/>
          </w:tcPr>
          <w:p w14:paraId="465EB8DB">
            <w:pPr>
              <w:jc w:val="center"/>
              <w:rPr>
                <w:rFonts w:hint="eastAsia" w:ascii="宋体" w:hAnsi="宋体" w:eastAsia="宋体" w:cs="宋体"/>
                <w:sz w:val="32"/>
                <w:szCs w:val="32"/>
                <w:lang w:eastAsia="zh-CN"/>
              </w:rPr>
            </w:pPr>
            <w:r>
              <w:rPr>
                <w:rFonts w:hint="eastAsia" w:ascii="宋体" w:hAnsi="宋体" w:eastAsia="宋体" w:cs="宋体"/>
                <w:sz w:val="32"/>
                <w:szCs w:val="32"/>
              </w:rPr>
              <w:t>签字</w:t>
            </w:r>
            <w:r>
              <w:rPr>
                <w:rFonts w:hint="eastAsia" w:ascii="宋体" w:hAnsi="宋体" w:cs="宋体"/>
                <w:sz w:val="32"/>
                <w:szCs w:val="32"/>
                <w:lang w:eastAsia="zh-CN"/>
              </w:rPr>
              <w:t>（签章）</w:t>
            </w:r>
          </w:p>
        </w:tc>
      </w:tr>
      <w:tr w14:paraId="69F1D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35836132">
            <w:pPr>
              <w:jc w:val="center"/>
              <w:rPr>
                <w:rFonts w:hint="eastAsia" w:ascii="宋体" w:hAnsi="宋体" w:eastAsia="宋体" w:cs="宋体"/>
                <w:sz w:val="32"/>
                <w:szCs w:val="32"/>
                <w:lang w:eastAsia="zh-CN"/>
              </w:rPr>
            </w:pPr>
            <w:r>
              <w:rPr>
                <w:rFonts w:hint="eastAsia" w:ascii="宋体" w:hAnsi="宋体" w:cs="宋体"/>
                <w:sz w:val="32"/>
                <w:szCs w:val="32"/>
                <w:lang w:eastAsia="zh-CN"/>
              </w:rPr>
              <w:t>武锋</w:t>
            </w:r>
          </w:p>
        </w:tc>
        <w:tc>
          <w:tcPr>
            <w:tcW w:w="2130" w:type="dxa"/>
          </w:tcPr>
          <w:p w14:paraId="1C702A1B">
            <w:pPr>
              <w:jc w:val="center"/>
              <w:rPr>
                <w:rFonts w:hint="eastAsia" w:ascii="宋体" w:hAnsi="宋体" w:eastAsia="宋体" w:cs="宋体"/>
                <w:sz w:val="32"/>
                <w:szCs w:val="32"/>
              </w:rPr>
            </w:pPr>
            <w:r>
              <w:rPr>
                <w:rFonts w:hint="eastAsia" w:ascii="宋体" w:hAnsi="宋体" w:eastAsia="宋体" w:cs="宋体"/>
                <w:sz w:val="32"/>
                <w:szCs w:val="32"/>
              </w:rPr>
              <w:t>威州镇</w:t>
            </w:r>
          </w:p>
        </w:tc>
        <w:tc>
          <w:tcPr>
            <w:tcW w:w="2652" w:type="dxa"/>
          </w:tcPr>
          <w:p w14:paraId="227D520E">
            <w:pPr>
              <w:jc w:val="center"/>
              <w:rPr>
                <w:rFonts w:hint="eastAsia" w:ascii="宋体" w:hAnsi="宋体" w:eastAsia="宋体" w:cs="宋体"/>
                <w:sz w:val="32"/>
                <w:szCs w:val="32"/>
              </w:rPr>
            </w:pPr>
            <w:r>
              <w:rPr>
                <w:rFonts w:hint="eastAsia" w:ascii="宋体" w:hAnsi="宋体" w:eastAsia="宋体" w:cs="宋体"/>
                <w:sz w:val="32"/>
                <w:szCs w:val="32"/>
              </w:rPr>
              <w:t>党委书记</w:t>
            </w:r>
          </w:p>
        </w:tc>
        <w:tc>
          <w:tcPr>
            <w:tcW w:w="1825" w:type="dxa"/>
          </w:tcPr>
          <w:p w14:paraId="34F8CC25">
            <w:pPr>
              <w:jc w:val="center"/>
              <w:rPr>
                <w:rFonts w:hint="eastAsia" w:ascii="宋体" w:hAnsi="宋体" w:eastAsia="宋体" w:cs="宋体"/>
                <w:sz w:val="32"/>
                <w:szCs w:val="32"/>
              </w:rPr>
            </w:pPr>
          </w:p>
        </w:tc>
      </w:tr>
      <w:tr w14:paraId="5EFFB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3DCA2274">
            <w:pPr>
              <w:jc w:val="center"/>
              <w:rPr>
                <w:rFonts w:hint="eastAsia" w:ascii="宋体" w:hAnsi="宋体" w:eastAsia="宋体" w:cs="宋体"/>
                <w:sz w:val="32"/>
                <w:szCs w:val="32"/>
                <w:lang w:eastAsia="zh-CN"/>
              </w:rPr>
            </w:pPr>
            <w:r>
              <w:rPr>
                <w:rFonts w:hint="eastAsia" w:ascii="宋体" w:hAnsi="宋体" w:cs="宋体"/>
                <w:sz w:val="32"/>
                <w:szCs w:val="32"/>
                <w:lang w:eastAsia="zh-CN"/>
              </w:rPr>
              <w:t>王超雄</w:t>
            </w:r>
          </w:p>
        </w:tc>
        <w:tc>
          <w:tcPr>
            <w:tcW w:w="2130" w:type="dxa"/>
          </w:tcPr>
          <w:p w14:paraId="22001467">
            <w:pPr>
              <w:jc w:val="center"/>
              <w:rPr>
                <w:rFonts w:hint="eastAsia" w:ascii="宋体" w:hAnsi="宋体" w:eastAsia="宋体" w:cs="宋体"/>
                <w:sz w:val="32"/>
                <w:szCs w:val="32"/>
              </w:rPr>
            </w:pPr>
            <w:r>
              <w:rPr>
                <w:rFonts w:hint="eastAsia" w:ascii="宋体" w:hAnsi="宋体" w:eastAsia="宋体" w:cs="宋体"/>
                <w:sz w:val="32"/>
                <w:szCs w:val="32"/>
              </w:rPr>
              <w:t>威州镇</w:t>
            </w:r>
          </w:p>
        </w:tc>
        <w:tc>
          <w:tcPr>
            <w:tcW w:w="2652" w:type="dxa"/>
          </w:tcPr>
          <w:p w14:paraId="378EE3A4">
            <w:pPr>
              <w:jc w:val="center"/>
              <w:rPr>
                <w:rFonts w:hint="eastAsia" w:ascii="宋体" w:hAnsi="宋体" w:eastAsia="宋体" w:cs="宋体"/>
                <w:sz w:val="32"/>
                <w:szCs w:val="32"/>
                <w:lang w:eastAsia="zh-CN"/>
              </w:rPr>
            </w:pPr>
            <w:r>
              <w:rPr>
                <w:rFonts w:hint="eastAsia" w:ascii="宋体" w:hAnsi="宋体" w:eastAsia="宋体" w:cs="宋体"/>
                <w:sz w:val="32"/>
                <w:szCs w:val="32"/>
              </w:rPr>
              <w:t>党委</w:t>
            </w:r>
            <w:r>
              <w:rPr>
                <w:rFonts w:hint="eastAsia" w:ascii="宋体" w:hAnsi="宋体" w:cs="宋体"/>
                <w:sz w:val="32"/>
                <w:szCs w:val="32"/>
                <w:lang w:eastAsia="zh-CN"/>
              </w:rPr>
              <w:t>副</w:t>
            </w:r>
            <w:r>
              <w:rPr>
                <w:rFonts w:hint="eastAsia" w:ascii="宋体" w:hAnsi="宋体" w:eastAsia="宋体" w:cs="宋体"/>
                <w:sz w:val="32"/>
                <w:szCs w:val="32"/>
              </w:rPr>
              <w:t>书记</w:t>
            </w:r>
            <w:r>
              <w:rPr>
                <w:rFonts w:hint="eastAsia" w:ascii="宋体" w:hAnsi="宋体" w:cs="宋体"/>
                <w:sz w:val="32"/>
                <w:szCs w:val="32"/>
                <w:lang w:eastAsia="zh-CN"/>
              </w:rPr>
              <w:t>、镇长</w:t>
            </w:r>
          </w:p>
        </w:tc>
        <w:tc>
          <w:tcPr>
            <w:tcW w:w="1825" w:type="dxa"/>
          </w:tcPr>
          <w:p w14:paraId="4C4181D3">
            <w:pPr>
              <w:jc w:val="center"/>
              <w:rPr>
                <w:rFonts w:hint="eastAsia" w:ascii="宋体" w:hAnsi="宋体" w:eastAsia="宋体" w:cs="宋体"/>
                <w:sz w:val="32"/>
                <w:szCs w:val="32"/>
              </w:rPr>
            </w:pPr>
          </w:p>
        </w:tc>
      </w:tr>
      <w:tr w14:paraId="1D20B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70299AEF">
            <w:pPr>
              <w:jc w:val="center"/>
              <w:rPr>
                <w:rFonts w:hint="eastAsia" w:ascii="宋体" w:hAnsi="宋体" w:eastAsia="宋体" w:cs="宋体"/>
                <w:sz w:val="32"/>
                <w:szCs w:val="32"/>
                <w:lang w:eastAsia="zh-CN"/>
              </w:rPr>
            </w:pPr>
            <w:r>
              <w:rPr>
                <w:rFonts w:hint="eastAsia" w:ascii="宋体" w:hAnsi="宋体" w:cs="宋体"/>
                <w:sz w:val="32"/>
                <w:szCs w:val="32"/>
                <w:lang w:eastAsia="zh-CN"/>
              </w:rPr>
              <w:t>于小晶</w:t>
            </w:r>
          </w:p>
        </w:tc>
        <w:tc>
          <w:tcPr>
            <w:tcW w:w="2130" w:type="dxa"/>
          </w:tcPr>
          <w:p w14:paraId="78BF89C4">
            <w:pPr>
              <w:jc w:val="center"/>
              <w:rPr>
                <w:rFonts w:hint="eastAsia" w:ascii="宋体" w:hAnsi="宋体" w:eastAsia="宋体" w:cs="宋体"/>
                <w:sz w:val="32"/>
                <w:szCs w:val="32"/>
              </w:rPr>
            </w:pPr>
            <w:r>
              <w:rPr>
                <w:rFonts w:hint="eastAsia" w:ascii="宋体" w:hAnsi="宋体" w:eastAsia="宋体" w:cs="宋体"/>
                <w:sz w:val="32"/>
                <w:szCs w:val="32"/>
              </w:rPr>
              <w:t>威州镇</w:t>
            </w:r>
          </w:p>
        </w:tc>
        <w:tc>
          <w:tcPr>
            <w:tcW w:w="2652" w:type="dxa"/>
          </w:tcPr>
          <w:p w14:paraId="30E4925D">
            <w:pPr>
              <w:jc w:val="center"/>
              <w:rPr>
                <w:rFonts w:hint="eastAsia" w:ascii="宋体" w:hAnsi="宋体" w:eastAsia="宋体" w:cs="宋体"/>
                <w:sz w:val="32"/>
                <w:szCs w:val="32"/>
              </w:rPr>
            </w:pPr>
            <w:r>
              <w:rPr>
                <w:rFonts w:hint="eastAsia" w:ascii="宋体" w:hAnsi="宋体" w:eastAsia="宋体" w:cs="宋体"/>
                <w:sz w:val="32"/>
                <w:szCs w:val="32"/>
              </w:rPr>
              <w:t>人大主席</w:t>
            </w:r>
          </w:p>
        </w:tc>
        <w:tc>
          <w:tcPr>
            <w:tcW w:w="1825" w:type="dxa"/>
          </w:tcPr>
          <w:p w14:paraId="1CBED553">
            <w:pPr>
              <w:jc w:val="center"/>
              <w:rPr>
                <w:rFonts w:hint="eastAsia" w:ascii="宋体" w:hAnsi="宋体" w:eastAsia="宋体" w:cs="宋体"/>
                <w:sz w:val="32"/>
                <w:szCs w:val="32"/>
              </w:rPr>
            </w:pPr>
          </w:p>
        </w:tc>
      </w:tr>
      <w:tr w14:paraId="244BE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0BCA05C7">
            <w:pPr>
              <w:jc w:val="center"/>
              <w:rPr>
                <w:rFonts w:hint="eastAsia" w:ascii="宋体" w:hAnsi="宋体" w:eastAsia="宋体" w:cs="宋体"/>
                <w:sz w:val="32"/>
                <w:szCs w:val="32"/>
                <w:lang w:eastAsia="zh-CN"/>
              </w:rPr>
            </w:pPr>
            <w:r>
              <w:rPr>
                <w:rFonts w:hint="eastAsia" w:ascii="宋体" w:hAnsi="宋体" w:cs="宋体"/>
                <w:sz w:val="32"/>
                <w:szCs w:val="32"/>
                <w:lang w:eastAsia="zh-CN"/>
              </w:rPr>
              <w:t>何建梅</w:t>
            </w:r>
          </w:p>
        </w:tc>
        <w:tc>
          <w:tcPr>
            <w:tcW w:w="2130" w:type="dxa"/>
          </w:tcPr>
          <w:p w14:paraId="571F8D00">
            <w:pPr>
              <w:jc w:val="center"/>
              <w:rPr>
                <w:rFonts w:hint="eastAsia" w:ascii="宋体" w:hAnsi="宋体" w:eastAsia="宋体" w:cs="宋体"/>
                <w:sz w:val="32"/>
                <w:szCs w:val="32"/>
              </w:rPr>
            </w:pPr>
            <w:r>
              <w:rPr>
                <w:rFonts w:hint="eastAsia" w:ascii="宋体" w:hAnsi="宋体" w:eastAsia="宋体" w:cs="宋体"/>
                <w:sz w:val="32"/>
                <w:szCs w:val="32"/>
              </w:rPr>
              <w:t>威州镇</w:t>
            </w:r>
          </w:p>
        </w:tc>
        <w:tc>
          <w:tcPr>
            <w:tcW w:w="2652" w:type="dxa"/>
          </w:tcPr>
          <w:p w14:paraId="120027D4">
            <w:pPr>
              <w:jc w:val="center"/>
              <w:rPr>
                <w:rFonts w:hint="eastAsia" w:ascii="宋体" w:hAnsi="宋体" w:eastAsia="宋体" w:cs="宋体"/>
                <w:sz w:val="32"/>
                <w:szCs w:val="32"/>
              </w:rPr>
            </w:pPr>
            <w:r>
              <w:rPr>
                <w:rFonts w:hint="eastAsia" w:ascii="宋体" w:hAnsi="宋体" w:eastAsia="宋体" w:cs="宋体"/>
                <w:sz w:val="32"/>
                <w:szCs w:val="32"/>
              </w:rPr>
              <w:t>纪委书记</w:t>
            </w:r>
          </w:p>
        </w:tc>
        <w:tc>
          <w:tcPr>
            <w:tcW w:w="1825" w:type="dxa"/>
          </w:tcPr>
          <w:p w14:paraId="034264B4">
            <w:pPr>
              <w:jc w:val="center"/>
              <w:rPr>
                <w:rFonts w:hint="eastAsia" w:ascii="宋体" w:hAnsi="宋体" w:eastAsia="宋体" w:cs="宋体"/>
                <w:sz w:val="32"/>
                <w:szCs w:val="32"/>
              </w:rPr>
            </w:pPr>
          </w:p>
        </w:tc>
      </w:tr>
    </w:tbl>
    <w:p w14:paraId="2E04F8CD">
      <w:pPr>
        <w:spacing w:line="560" w:lineRule="exact"/>
        <w:rPr>
          <w:rFonts w:ascii="仿宋" w:hAnsi="仿宋" w:eastAsia="仿宋"/>
        </w:rPr>
      </w:pPr>
    </w:p>
    <w:p w14:paraId="062A534D">
      <w:pPr>
        <w:adjustRightInd w:val="0"/>
        <w:snapToGrid w:val="0"/>
        <w:spacing w:line="560" w:lineRule="exact"/>
        <w:ind w:firstLine="640" w:firstLineChars="200"/>
        <w:rPr>
          <w:rFonts w:ascii="黑体" w:hAnsi="黑体" w:eastAsia="黑体"/>
          <w:sz w:val="32"/>
          <w:szCs w:val="32"/>
        </w:rPr>
      </w:pPr>
    </w:p>
    <w:p w14:paraId="7AAD72D9">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F65B3">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A8325A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A8325A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290C44"/>
    <w:multiLevelType w:val="singleLevel"/>
    <w:tmpl w:val="BA290C44"/>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110E4A49"/>
    <w:multiLevelType w:val="singleLevel"/>
    <w:tmpl w:val="110E4A49"/>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AAF0063"/>
    <w:rsid w:val="1BE140DE"/>
    <w:rsid w:val="1FD84C71"/>
    <w:rsid w:val="248C197D"/>
    <w:rsid w:val="252959AF"/>
    <w:rsid w:val="277A6671"/>
    <w:rsid w:val="28E369DB"/>
    <w:rsid w:val="292D35B7"/>
    <w:rsid w:val="31151E97"/>
    <w:rsid w:val="33EB6CFF"/>
    <w:rsid w:val="35A12947"/>
    <w:rsid w:val="37387040"/>
    <w:rsid w:val="3B0548E0"/>
    <w:rsid w:val="3B625C0A"/>
    <w:rsid w:val="3CEE1963"/>
    <w:rsid w:val="436B78D3"/>
    <w:rsid w:val="48B60C1B"/>
    <w:rsid w:val="4C9C27FE"/>
    <w:rsid w:val="512260B4"/>
    <w:rsid w:val="52BD6ACB"/>
    <w:rsid w:val="55537534"/>
    <w:rsid w:val="561A74F1"/>
    <w:rsid w:val="597244E8"/>
    <w:rsid w:val="5EB71C30"/>
    <w:rsid w:val="66AF0CE5"/>
    <w:rsid w:val="6AA27932"/>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5402</Words>
  <Characters>5577</Characters>
  <Lines>4</Lines>
  <Paragraphs>1</Paragraphs>
  <TotalTime>4</TotalTime>
  <ScaleCrop>false</ScaleCrop>
  <LinksUpToDate>false</LinksUpToDate>
  <CharactersWithSpaces>5606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兜里没糖了</cp:lastModifiedBy>
  <cp:lastPrinted>2026-04-09T00:59:51Z</cp:lastPrinted>
  <dcterms:modified xsi:type="dcterms:W3CDTF">2026-04-09T01:01:02Z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807859DDDB204D7484EDDFBB4E9D1D2E</vt:lpwstr>
  </property>
  <property fmtid="{D5CDD505-2E9C-101B-9397-08002B2CF9AE}" pid="4" name="KSOTemplateDocerSaveRecord">
    <vt:lpwstr>eyJoZGlkIjoiOGEyMjU5YjZhMWRkYzJhYjg4ZmQxM2FiM2VjNjNlZDYiLCJ1c2VySWQiOiIyMDc2MjM5NjkifQ==</vt:lpwstr>
  </property>
</Properties>
</file>