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28030A">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5EAA6CC4">
      <w:pPr>
        <w:spacing w:line="560" w:lineRule="exact"/>
        <w:jc w:val="center"/>
        <w:rPr>
          <w:rFonts w:ascii="宋体" w:hAnsi="宋体" w:cs="宋体"/>
          <w:b/>
          <w:bCs/>
          <w:sz w:val="44"/>
          <w:szCs w:val="44"/>
        </w:rPr>
      </w:pPr>
    </w:p>
    <w:p w14:paraId="03FADF21">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井陉县测鱼镇人民政府</w:t>
      </w:r>
    </w:p>
    <w:p w14:paraId="3218D37C">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bookmarkStart w:id="0" w:name="_GoBack"/>
      <w:bookmarkEnd w:id="0"/>
      <w:r>
        <w:rPr>
          <w:rFonts w:hint="eastAsia" w:ascii="宋体" w:hAnsi="宋体" w:cs="宋体"/>
          <w:b/>
          <w:bCs/>
          <w:sz w:val="44"/>
          <w:szCs w:val="44"/>
        </w:rPr>
        <w:t>年度整体支出绩效自评报告</w:t>
      </w:r>
    </w:p>
    <w:p w14:paraId="68A914CF">
      <w:pPr>
        <w:spacing w:line="560" w:lineRule="exact"/>
        <w:jc w:val="center"/>
        <w:rPr>
          <w:rFonts w:ascii="华文楷体" w:eastAsia="华文楷体"/>
          <w:sz w:val="32"/>
          <w:szCs w:val="32"/>
        </w:rPr>
      </w:pPr>
    </w:p>
    <w:p w14:paraId="4866427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井陉县测鱼镇人民政府2025</w:t>
      </w:r>
      <w:r>
        <w:rPr>
          <w:rFonts w:hint="eastAsia" w:ascii="仿宋" w:hAnsi="仿宋" w:eastAsia="仿宋"/>
          <w:sz w:val="32"/>
          <w:szCs w:val="32"/>
        </w:rPr>
        <w:t>年整体支出情况实施了财政支出绩效自评价，形成本评价报告。</w:t>
      </w:r>
    </w:p>
    <w:p w14:paraId="7A96551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D79C207">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0074EB7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1、测鱼镇人民政府主要职责为：</w:t>
      </w:r>
    </w:p>
    <w:p w14:paraId="1EA5656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D4532C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(2)讨论和决定本镇经济建设、政治建设、文化建设、社会建设、生态文明建设和党的建设以及乡村振兴中的重大问题。</w:t>
      </w:r>
    </w:p>
    <w:p w14:paraId="6786AA9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(3)组织召开本级人民代表大会，充分行使重大事项决定权、监督权和任免权，做好人大代表工作，联系选民、反映群众意见和要求。</w:t>
      </w:r>
    </w:p>
    <w:p w14:paraId="0B5CEC2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426F90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(5)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7F6FC8A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(6)加强镇党委自身建设和村党组织建设,以及其他隶属镇党委的党组织建设，抓好发展党员工作，加强党员队伍建设。维护和执行党的纪律，监督党员干部和其他任何工作人员严格遵守国家法律法规。</w:t>
      </w:r>
    </w:p>
    <w:p w14:paraId="6961D460">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(7)按照干部管理权限，负责对干部的教育、培训、选拔、考核和监督工作。协助管理上级有关部门驻乡单位的干部。做好人才服务工作。</w:t>
      </w:r>
    </w:p>
    <w:p w14:paraId="7FAE328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(8)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1BF435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(9)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0918223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(10)承办上级党委、人大、政府交办的其他事项。</w:t>
      </w:r>
    </w:p>
    <w:p w14:paraId="1712C40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2、综合行政执法队主要职责为：</w:t>
      </w:r>
    </w:p>
    <w:p w14:paraId="63C1B330">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根据有关法律法规和上级部门授权、委托，承担城乡建设、生态环境、文化市场、农业农村、安全生产、民族宗教等领域行政执法工作。配合县直相关部门做好授权、委托事项之外的其它领域行政执法工作。</w:t>
      </w:r>
    </w:p>
    <w:p w14:paraId="58C4815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3、行政综合服务中心主要职责为：</w:t>
      </w:r>
    </w:p>
    <w:p w14:paraId="3835CE0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负责行政审批服务事项的受理、办理工作，提供政策和业务咨询; 指导村(社区)便民服务点建设。负责开展群众文化艺术娱乐、体育活动，负责文化市场进行监督、巡查工作，负责文物普查、保护和开发利用工作，指导村(社区)文化室建设、文体设施规划建设。负责编制乡财政预决算,负责乡政府预算单位的财务管理和核算，负责村级资金核拨和监督管理等相关工作。</w:t>
      </w:r>
    </w:p>
    <w:p w14:paraId="7E82736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4、农业综合服务中心主要职责为：</w:t>
      </w:r>
    </w:p>
    <w:p w14:paraId="250B07B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439B850A">
      <w:pPr>
        <w:widowControl w:val="0"/>
        <w:numPr>
          <w:ilvl w:val="0"/>
          <w:numId w:val="0"/>
        </w:numPr>
        <w:wordWrap/>
        <w:adjustRightInd w:val="0"/>
        <w:snapToGrid w:val="0"/>
        <w:spacing w:line="560" w:lineRule="exact"/>
        <w:ind w:right="0" w:rightChars="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组织机构概况</w:t>
      </w:r>
    </w:p>
    <w:tbl>
      <w:tblPr>
        <w:tblStyle w:val="6"/>
        <w:tblpPr w:leftFromText="180" w:rightFromText="180" w:vertAnchor="text" w:horzAnchor="page" w:tblpXSpec="center" w:tblpY="10"/>
        <w:tblOverlap w:val="never"/>
        <w:tblW w:w="8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4"/>
        <w:gridCol w:w="3225"/>
        <w:gridCol w:w="2310"/>
        <w:gridCol w:w="2523"/>
      </w:tblGrid>
      <w:tr w14:paraId="49B50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574" w:type="dxa"/>
            <w:noWrap w:val="0"/>
            <w:vAlign w:val="center"/>
          </w:tcPr>
          <w:p w14:paraId="5404E906">
            <w:pPr>
              <w:spacing w:after="0" w:line="560" w:lineRule="exact"/>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序号</w:t>
            </w:r>
          </w:p>
        </w:tc>
        <w:tc>
          <w:tcPr>
            <w:tcW w:w="3225" w:type="dxa"/>
            <w:noWrap w:val="0"/>
            <w:vAlign w:val="center"/>
          </w:tcPr>
          <w:p w14:paraId="74BC9107">
            <w:pPr>
              <w:spacing w:after="0" w:line="560" w:lineRule="exact"/>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单位名称</w:t>
            </w:r>
          </w:p>
        </w:tc>
        <w:tc>
          <w:tcPr>
            <w:tcW w:w="2310" w:type="dxa"/>
            <w:noWrap w:val="0"/>
            <w:vAlign w:val="center"/>
          </w:tcPr>
          <w:p w14:paraId="18195225">
            <w:pPr>
              <w:spacing w:after="0" w:line="560" w:lineRule="exact"/>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单位基本性质</w:t>
            </w:r>
          </w:p>
        </w:tc>
        <w:tc>
          <w:tcPr>
            <w:tcW w:w="2523" w:type="dxa"/>
            <w:noWrap w:val="0"/>
            <w:vAlign w:val="center"/>
          </w:tcPr>
          <w:p w14:paraId="50D6CDF0">
            <w:pPr>
              <w:spacing w:after="0" w:line="560" w:lineRule="exact"/>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经费形式</w:t>
            </w:r>
          </w:p>
        </w:tc>
      </w:tr>
      <w:tr w14:paraId="03FAA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74" w:type="dxa"/>
            <w:noWrap w:val="0"/>
            <w:vAlign w:val="top"/>
          </w:tcPr>
          <w:p w14:paraId="414D8E5B">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1</w:t>
            </w:r>
          </w:p>
        </w:tc>
        <w:tc>
          <w:tcPr>
            <w:tcW w:w="3225" w:type="dxa"/>
            <w:noWrap w:val="0"/>
            <w:vAlign w:val="top"/>
          </w:tcPr>
          <w:p w14:paraId="6969571F">
            <w:pPr>
              <w:spacing w:after="0" w:line="560" w:lineRule="exact"/>
              <w:jc w:val="center"/>
              <w:rPr>
                <w:rFonts w:hint="eastAsia" w:ascii="仿宋" w:hAnsi="仿宋" w:eastAsia="仿宋" w:cs="仿宋"/>
                <w:color w:val="080808"/>
                <w:kern w:val="0"/>
                <w:sz w:val="32"/>
                <w:szCs w:val="32"/>
              </w:rPr>
            </w:pPr>
            <w:r>
              <w:rPr>
                <w:rFonts w:hint="eastAsia" w:ascii="仿宋" w:hAnsi="仿宋" w:eastAsia="仿宋" w:cs="仿宋"/>
                <w:kern w:val="2"/>
                <w:sz w:val="32"/>
                <w:szCs w:val="32"/>
                <w:lang w:val="en-US" w:eastAsia="zh-CN" w:bidi="ar"/>
              </w:rPr>
              <w:t>测鱼镇人民政府</w:t>
            </w:r>
          </w:p>
        </w:tc>
        <w:tc>
          <w:tcPr>
            <w:tcW w:w="2310" w:type="dxa"/>
            <w:noWrap w:val="0"/>
            <w:vAlign w:val="top"/>
          </w:tcPr>
          <w:p w14:paraId="4C28DE62">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行政单位</w:t>
            </w:r>
          </w:p>
        </w:tc>
        <w:tc>
          <w:tcPr>
            <w:tcW w:w="2523" w:type="dxa"/>
            <w:noWrap w:val="0"/>
            <w:vAlign w:val="top"/>
          </w:tcPr>
          <w:p w14:paraId="0DCA22B8">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财政拨款</w:t>
            </w:r>
          </w:p>
        </w:tc>
      </w:tr>
      <w:tr w14:paraId="7183B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74" w:type="dxa"/>
            <w:noWrap w:val="0"/>
            <w:vAlign w:val="top"/>
          </w:tcPr>
          <w:p w14:paraId="192034CB">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2</w:t>
            </w:r>
          </w:p>
        </w:tc>
        <w:tc>
          <w:tcPr>
            <w:tcW w:w="3225" w:type="dxa"/>
            <w:noWrap w:val="0"/>
            <w:vAlign w:val="top"/>
          </w:tcPr>
          <w:p w14:paraId="755F7253">
            <w:pPr>
              <w:spacing w:after="0" w:line="560" w:lineRule="exact"/>
              <w:jc w:val="center"/>
              <w:rPr>
                <w:rFonts w:hint="eastAsia" w:ascii="仿宋" w:hAnsi="仿宋" w:eastAsia="仿宋" w:cs="仿宋"/>
                <w:color w:val="080808"/>
                <w:kern w:val="0"/>
                <w:sz w:val="32"/>
                <w:szCs w:val="32"/>
                <w:lang w:val="en-US" w:eastAsia="zh-CN"/>
              </w:rPr>
            </w:pPr>
            <w:r>
              <w:rPr>
                <w:rFonts w:hint="eastAsia" w:ascii="仿宋" w:hAnsi="仿宋" w:eastAsia="仿宋" w:cs="仿宋"/>
                <w:kern w:val="2"/>
                <w:sz w:val="32"/>
                <w:szCs w:val="32"/>
                <w:lang w:val="en-US" w:eastAsia="zh-CN" w:bidi="ar"/>
              </w:rPr>
              <w:t>测鱼镇综合行政执法大队</w:t>
            </w:r>
          </w:p>
        </w:tc>
        <w:tc>
          <w:tcPr>
            <w:tcW w:w="2310" w:type="dxa"/>
            <w:noWrap w:val="0"/>
            <w:vAlign w:val="top"/>
          </w:tcPr>
          <w:p w14:paraId="28B3182E">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财政补助事业单位</w:t>
            </w:r>
          </w:p>
        </w:tc>
        <w:tc>
          <w:tcPr>
            <w:tcW w:w="2523" w:type="dxa"/>
            <w:noWrap w:val="0"/>
            <w:vAlign w:val="top"/>
          </w:tcPr>
          <w:p w14:paraId="5B52ED2B">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财政性资金基本保证</w:t>
            </w:r>
          </w:p>
        </w:tc>
      </w:tr>
      <w:tr w14:paraId="63CCB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74" w:type="dxa"/>
            <w:noWrap w:val="0"/>
            <w:vAlign w:val="top"/>
          </w:tcPr>
          <w:p w14:paraId="7FB400A1">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3</w:t>
            </w:r>
          </w:p>
        </w:tc>
        <w:tc>
          <w:tcPr>
            <w:tcW w:w="3225" w:type="dxa"/>
            <w:noWrap w:val="0"/>
            <w:vAlign w:val="top"/>
          </w:tcPr>
          <w:p w14:paraId="628A2BF6">
            <w:pPr>
              <w:spacing w:after="0" w:line="560" w:lineRule="exact"/>
              <w:jc w:val="center"/>
              <w:rPr>
                <w:rFonts w:hint="eastAsia" w:ascii="仿宋" w:hAnsi="仿宋" w:eastAsia="仿宋" w:cs="仿宋"/>
                <w:color w:val="080808"/>
                <w:kern w:val="0"/>
                <w:sz w:val="32"/>
                <w:szCs w:val="32"/>
                <w:lang w:val="en-US" w:eastAsia="zh-CN"/>
              </w:rPr>
            </w:pPr>
            <w:r>
              <w:rPr>
                <w:rFonts w:hint="eastAsia" w:ascii="仿宋" w:hAnsi="仿宋" w:eastAsia="仿宋" w:cs="仿宋"/>
                <w:color w:val="080808"/>
                <w:sz w:val="32"/>
                <w:szCs w:val="32"/>
                <w:lang w:eastAsia="zh-CN"/>
              </w:rPr>
              <w:t>测鱼镇</w:t>
            </w:r>
            <w:r>
              <w:rPr>
                <w:rFonts w:hint="eastAsia" w:ascii="仿宋" w:hAnsi="仿宋" w:eastAsia="仿宋" w:cs="仿宋"/>
                <w:color w:val="080808"/>
                <w:sz w:val="32"/>
                <w:szCs w:val="32"/>
                <w:lang w:val="en-US" w:eastAsia="zh-CN"/>
              </w:rPr>
              <w:t>行政综合服务中心</w:t>
            </w:r>
          </w:p>
        </w:tc>
        <w:tc>
          <w:tcPr>
            <w:tcW w:w="2310" w:type="dxa"/>
            <w:noWrap w:val="0"/>
            <w:vAlign w:val="top"/>
          </w:tcPr>
          <w:p w14:paraId="26082CF5">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财政补助事业单位</w:t>
            </w:r>
          </w:p>
        </w:tc>
        <w:tc>
          <w:tcPr>
            <w:tcW w:w="2523" w:type="dxa"/>
            <w:noWrap w:val="0"/>
            <w:vAlign w:val="top"/>
          </w:tcPr>
          <w:p w14:paraId="10A00970">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财政性资金基本保证</w:t>
            </w:r>
          </w:p>
        </w:tc>
      </w:tr>
      <w:tr w14:paraId="6D003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74" w:type="dxa"/>
            <w:tcBorders>
              <w:bottom w:val="single" w:color="auto" w:sz="4" w:space="0"/>
            </w:tcBorders>
            <w:noWrap w:val="0"/>
            <w:vAlign w:val="top"/>
          </w:tcPr>
          <w:p w14:paraId="016696B0">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4</w:t>
            </w:r>
          </w:p>
        </w:tc>
        <w:tc>
          <w:tcPr>
            <w:tcW w:w="3225" w:type="dxa"/>
            <w:tcBorders>
              <w:bottom w:val="single" w:color="auto" w:sz="4" w:space="0"/>
            </w:tcBorders>
            <w:noWrap w:val="0"/>
            <w:vAlign w:val="top"/>
          </w:tcPr>
          <w:p w14:paraId="105974C0">
            <w:pPr>
              <w:spacing w:after="0" w:line="560" w:lineRule="exact"/>
              <w:jc w:val="center"/>
              <w:rPr>
                <w:rFonts w:hint="eastAsia" w:ascii="仿宋" w:hAnsi="仿宋" w:eastAsia="仿宋" w:cs="仿宋"/>
                <w:color w:val="080808"/>
                <w:kern w:val="0"/>
                <w:sz w:val="32"/>
                <w:szCs w:val="32"/>
                <w:lang w:val="en-US" w:eastAsia="zh-CN"/>
              </w:rPr>
            </w:pPr>
            <w:r>
              <w:rPr>
                <w:rFonts w:hint="eastAsia" w:ascii="仿宋" w:hAnsi="仿宋" w:eastAsia="仿宋" w:cs="仿宋"/>
                <w:color w:val="080808"/>
                <w:sz w:val="32"/>
                <w:szCs w:val="32"/>
                <w:lang w:eastAsia="zh-CN"/>
              </w:rPr>
              <w:t>测鱼镇</w:t>
            </w:r>
            <w:r>
              <w:rPr>
                <w:rFonts w:hint="eastAsia" w:ascii="仿宋" w:hAnsi="仿宋" w:eastAsia="仿宋" w:cs="仿宋"/>
                <w:color w:val="080808"/>
                <w:sz w:val="32"/>
                <w:szCs w:val="32"/>
                <w:lang w:val="en-US" w:eastAsia="zh-CN"/>
              </w:rPr>
              <w:t>农业综合服务中心</w:t>
            </w:r>
          </w:p>
        </w:tc>
        <w:tc>
          <w:tcPr>
            <w:tcW w:w="2310" w:type="dxa"/>
            <w:tcBorders>
              <w:bottom w:val="single" w:color="auto" w:sz="4" w:space="0"/>
            </w:tcBorders>
            <w:noWrap w:val="0"/>
            <w:vAlign w:val="top"/>
          </w:tcPr>
          <w:p w14:paraId="764F829A">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财政补助事业单位</w:t>
            </w:r>
          </w:p>
        </w:tc>
        <w:tc>
          <w:tcPr>
            <w:tcW w:w="2523" w:type="dxa"/>
            <w:tcBorders>
              <w:bottom w:val="single" w:color="auto" w:sz="4" w:space="0"/>
            </w:tcBorders>
            <w:noWrap w:val="0"/>
            <w:vAlign w:val="top"/>
          </w:tcPr>
          <w:p w14:paraId="4AC82F76">
            <w:pPr>
              <w:spacing w:after="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财政性资金基本保证</w:t>
            </w:r>
          </w:p>
        </w:tc>
      </w:tr>
    </w:tbl>
    <w:p w14:paraId="70BE3877">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人员情况</w:t>
      </w:r>
    </w:p>
    <w:p w14:paraId="0867CD6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本单位现共有41人，其中行政人员23名，与上年相同，非参公事业人员18名，比上年增加2人，听从组织安排进行调动。</w:t>
      </w:r>
    </w:p>
    <w:p w14:paraId="4934E8D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资产情况</w:t>
      </w:r>
    </w:p>
    <w:p w14:paraId="0A0B982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房屋和构筑物208.08万元，占固定资产的84.4%（其中，房屋208.08万元，占固定资产的84.4%）；设备29.57万元，占12%（其中，车辆8.23万元，占3.34%，单价100万（含）以上（不含车辆）设备0.00万元，占0%）；文物和陈列品0.00万元，占0%；图书和档案0.00万元，占0%；家具和用具8.87万元，占3.6% ；特种动植物0.00万元，占0%。本年度无负债。</w:t>
      </w:r>
    </w:p>
    <w:p w14:paraId="4BB28947">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313C6845">
      <w:pPr>
        <w:widowControl w:val="0"/>
        <w:numPr>
          <w:ilvl w:val="0"/>
          <w:numId w:val="2"/>
        </w:numPr>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收入支出预算安排情况：</w:t>
      </w:r>
    </w:p>
    <w:p w14:paraId="471D9EF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本部门2025年年初安排财政拨款收入为</w:t>
      </w:r>
      <w:r>
        <w:rPr>
          <w:rFonts w:hint="eastAsia" w:ascii="仿宋_GB2312" w:hAnsi="仿宋" w:eastAsia="仿宋_GB2312"/>
          <w:sz w:val="32"/>
          <w:szCs w:val="32"/>
          <w:lang w:val="en-US" w:eastAsia="zh-CN"/>
        </w:rPr>
        <w:t>654.14</w:t>
      </w:r>
      <w:r>
        <w:rPr>
          <w:rFonts w:hint="eastAsia" w:ascii="仿宋" w:hAnsi="仿宋" w:eastAsia="仿宋"/>
          <w:b w:val="0"/>
          <w:bCs w:val="0"/>
          <w:sz w:val="32"/>
          <w:szCs w:val="32"/>
          <w:lang w:val="en-US" w:eastAsia="zh-CN"/>
        </w:rPr>
        <w:t>万元，比上年降低7.46%，年初安排支出为</w:t>
      </w:r>
      <w:r>
        <w:rPr>
          <w:rFonts w:hint="eastAsia" w:ascii="仿宋_GB2312" w:hAnsi="仿宋" w:eastAsia="仿宋_GB2312"/>
          <w:sz w:val="32"/>
          <w:szCs w:val="32"/>
          <w:lang w:val="en-US" w:eastAsia="zh-CN"/>
        </w:rPr>
        <w:t>692.39</w:t>
      </w:r>
      <w:r>
        <w:rPr>
          <w:rFonts w:hint="eastAsia" w:ascii="仿宋" w:hAnsi="仿宋" w:eastAsia="仿宋"/>
          <w:b w:val="0"/>
          <w:bCs w:val="0"/>
          <w:sz w:val="32"/>
          <w:szCs w:val="32"/>
          <w:lang w:val="en-US" w:eastAsia="zh-CN"/>
        </w:rPr>
        <w:t>万元，比上年降低5.84%，主要是因为人员减少，农林水预算投入减少导致年初安排预算和支出降低。</w:t>
      </w:r>
    </w:p>
    <w:p w14:paraId="0F390A2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2、收入支出决算执行情况：</w:t>
      </w:r>
    </w:p>
    <w:p w14:paraId="1FE48C8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收入，年初预算数</w:t>
      </w:r>
      <w:r>
        <w:rPr>
          <w:rFonts w:hint="eastAsia" w:ascii="仿宋_GB2312" w:hAnsi="仿宋" w:eastAsia="仿宋_GB2312"/>
          <w:sz w:val="32"/>
          <w:szCs w:val="32"/>
          <w:lang w:val="en-US" w:eastAsia="zh-CN"/>
        </w:rPr>
        <w:t>654.14</w:t>
      </w:r>
      <w:r>
        <w:rPr>
          <w:rFonts w:hint="eastAsia" w:ascii="仿宋" w:hAnsi="仿宋" w:eastAsia="仿宋"/>
          <w:b w:val="0"/>
          <w:bCs w:val="0"/>
          <w:sz w:val="32"/>
          <w:szCs w:val="32"/>
          <w:lang w:val="en-US" w:eastAsia="zh-CN"/>
        </w:rPr>
        <w:t>万元，决算数</w:t>
      </w:r>
      <w:r>
        <w:rPr>
          <w:rFonts w:hint="eastAsia" w:ascii="仿宋_GB2312" w:hAnsi="仿宋" w:eastAsia="仿宋_GB2312"/>
          <w:sz w:val="32"/>
          <w:szCs w:val="32"/>
          <w:lang w:val="en-US" w:eastAsia="zh-CN"/>
        </w:rPr>
        <w:t>1156.65</w:t>
      </w:r>
      <w:r>
        <w:rPr>
          <w:rFonts w:hint="eastAsia" w:ascii="仿宋" w:hAnsi="仿宋" w:eastAsia="仿宋"/>
          <w:b w:val="0"/>
          <w:bCs w:val="0"/>
          <w:sz w:val="32"/>
          <w:szCs w:val="32"/>
          <w:lang w:val="en-US" w:eastAsia="zh-CN"/>
        </w:rPr>
        <w:t>万元，差异率76.81%，调整预算数</w:t>
      </w:r>
      <w:r>
        <w:rPr>
          <w:rFonts w:hint="eastAsia" w:ascii="仿宋_GB2312" w:hAnsi="仿宋" w:eastAsia="仿宋_GB2312"/>
          <w:sz w:val="32"/>
          <w:szCs w:val="32"/>
          <w:lang w:val="en-US" w:eastAsia="zh-CN"/>
        </w:rPr>
        <w:t>1156.65</w:t>
      </w:r>
      <w:r>
        <w:rPr>
          <w:rFonts w:hint="eastAsia" w:ascii="仿宋" w:hAnsi="仿宋" w:eastAsia="仿宋"/>
          <w:b w:val="0"/>
          <w:bCs w:val="0"/>
          <w:sz w:val="32"/>
          <w:szCs w:val="32"/>
          <w:lang w:val="en-US" w:eastAsia="zh-CN"/>
        </w:rPr>
        <w:t>万元，决算数</w:t>
      </w:r>
      <w:r>
        <w:rPr>
          <w:rFonts w:hint="eastAsia" w:ascii="仿宋_GB2312" w:hAnsi="仿宋" w:eastAsia="仿宋_GB2312"/>
          <w:sz w:val="32"/>
          <w:szCs w:val="32"/>
          <w:lang w:val="en-US" w:eastAsia="zh-CN"/>
        </w:rPr>
        <w:t>1156.65</w:t>
      </w:r>
      <w:r>
        <w:rPr>
          <w:rFonts w:hint="eastAsia" w:ascii="仿宋" w:hAnsi="仿宋" w:eastAsia="仿宋"/>
          <w:b w:val="0"/>
          <w:bCs w:val="0"/>
          <w:sz w:val="32"/>
          <w:szCs w:val="32"/>
          <w:lang w:val="en-US" w:eastAsia="zh-CN"/>
        </w:rPr>
        <w:t>万元，差异率0%。</w:t>
      </w:r>
    </w:p>
    <w:p w14:paraId="63070619">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_GB2312"/>
          <w:b w:val="0"/>
          <w:bCs w:val="0"/>
          <w:sz w:val="32"/>
          <w:szCs w:val="32"/>
        </w:rPr>
      </w:pPr>
      <w:r>
        <w:rPr>
          <w:rFonts w:hint="eastAsia" w:ascii="仿宋" w:hAnsi="仿宋" w:eastAsia="仿宋"/>
          <w:b w:val="0"/>
          <w:bCs w:val="0"/>
          <w:sz w:val="32"/>
          <w:szCs w:val="32"/>
          <w:lang w:val="en-US" w:eastAsia="zh-CN"/>
        </w:rPr>
        <w:t>支出，年初预算数</w:t>
      </w:r>
      <w:r>
        <w:rPr>
          <w:rFonts w:hint="eastAsia" w:ascii="仿宋_GB2312" w:hAnsi="仿宋" w:eastAsia="仿宋_GB2312"/>
          <w:sz w:val="32"/>
          <w:szCs w:val="32"/>
          <w:lang w:val="en-US" w:eastAsia="zh-CN"/>
        </w:rPr>
        <w:t>654.14</w:t>
      </w:r>
      <w:r>
        <w:rPr>
          <w:rFonts w:hint="eastAsia" w:ascii="仿宋" w:hAnsi="仿宋" w:eastAsia="仿宋"/>
          <w:b w:val="0"/>
          <w:bCs w:val="0"/>
          <w:sz w:val="32"/>
          <w:szCs w:val="32"/>
          <w:lang w:val="en-US" w:eastAsia="zh-CN"/>
        </w:rPr>
        <w:t>万元，决算数</w:t>
      </w:r>
      <w:r>
        <w:rPr>
          <w:rFonts w:hint="eastAsia" w:ascii="仿宋_GB2312" w:hAnsi="仿宋" w:eastAsia="仿宋_GB2312"/>
          <w:sz w:val="32"/>
          <w:szCs w:val="32"/>
          <w:lang w:val="en-US" w:eastAsia="zh-CN"/>
        </w:rPr>
        <w:t>1156.65</w:t>
      </w:r>
      <w:r>
        <w:rPr>
          <w:rFonts w:hint="eastAsia" w:ascii="仿宋" w:hAnsi="仿宋" w:eastAsia="仿宋"/>
          <w:b w:val="0"/>
          <w:bCs w:val="0"/>
          <w:sz w:val="32"/>
          <w:szCs w:val="32"/>
          <w:lang w:val="en-US" w:eastAsia="zh-CN"/>
        </w:rPr>
        <w:t>万元，差异率76.81%，调整预算数</w:t>
      </w:r>
      <w:r>
        <w:rPr>
          <w:rFonts w:hint="eastAsia" w:ascii="仿宋_GB2312" w:hAnsi="仿宋" w:eastAsia="仿宋_GB2312"/>
          <w:sz w:val="32"/>
          <w:szCs w:val="32"/>
          <w:lang w:val="en-US" w:eastAsia="zh-CN"/>
        </w:rPr>
        <w:t>1156.65</w:t>
      </w:r>
      <w:r>
        <w:rPr>
          <w:rFonts w:hint="eastAsia" w:ascii="仿宋" w:hAnsi="仿宋" w:eastAsia="仿宋"/>
          <w:b w:val="0"/>
          <w:bCs w:val="0"/>
          <w:sz w:val="32"/>
          <w:szCs w:val="32"/>
          <w:lang w:val="en-US" w:eastAsia="zh-CN"/>
        </w:rPr>
        <w:t>万元，决算数</w:t>
      </w:r>
      <w:r>
        <w:rPr>
          <w:rFonts w:hint="eastAsia" w:ascii="仿宋_GB2312" w:hAnsi="仿宋" w:eastAsia="仿宋_GB2312"/>
          <w:sz w:val="32"/>
          <w:szCs w:val="32"/>
          <w:lang w:val="en-US" w:eastAsia="zh-CN"/>
        </w:rPr>
        <w:t>1156.65</w:t>
      </w:r>
      <w:r>
        <w:rPr>
          <w:rFonts w:hint="eastAsia" w:ascii="仿宋" w:hAnsi="仿宋" w:eastAsia="仿宋"/>
          <w:b w:val="0"/>
          <w:bCs w:val="0"/>
          <w:sz w:val="32"/>
          <w:szCs w:val="32"/>
          <w:lang w:val="en-US" w:eastAsia="zh-CN"/>
        </w:rPr>
        <w:t>万元，差异率0%。</w:t>
      </w:r>
    </w:p>
    <w:p w14:paraId="2D8AE4D6">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476947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14:paraId="3E0FAFE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负责配合农口部门（农、林、牧、水）做好农业技术服务和技术推广工作，动物防疫工作；加强农田水利基本建设，增强农业抗御自然灾害的能力，做好农村一事一议项目管理。</w:t>
      </w:r>
    </w:p>
    <w:p w14:paraId="2F9FEF6C">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配合食品药品监督管理的协调、督导，做好新型农村合作医疗等卫生方面工作。负责计划生育技术服务及人口生育管理，负责育龄妇女普查、妇女病防治、四术及协会等项工作。完成群众文化娱乐、体育活动、广播电视村村通等工作。配合劳动保障部门做好劳动法的宣传贯彻、劳动就业、社会保障等工作。配合安全生产监督管理部门做好安全生产监督管理等工作。</w:t>
      </w:r>
    </w:p>
    <w:p w14:paraId="665AD73C">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 w:hAnsi="仿宋" w:eastAsia="仿宋"/>
          <w:sz w:val="32"/>
          <w:szCs w:val="32"/>
          <w:lang w:val="en-US" w:eastAsia="zh-CN"/>
        </w:rPr>
        <w:t>做好信访接待、资料建档归类工作，健全各项制度机制，全面精准摸底完善建档立卡，建立镇村信息平台；落实安置和帮扶措施，做好困难军人的救助、社保、和就业创业工作；建立常态走访慰问机制。</w:t>
      </w:r>
    </w:p>
    <w:p w14:paraId="332B1EA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D68CDC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8FF7D9F">
      <w:pPr>
        <w:widowControl w:val="0"/>
        <w:wordWrap/>
        <w:adjustRightInd w:val="0"/>
        <w:snapToGrid w:val="0"/>
        <w:spacing w:line="560" w:lineRule="exact"/>
        <w:ind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贯彻落实市委市政府《关于全面落实预算绩效管理的实施意见》（石发﹝2019﹞8号）文件精神，遵循“科学性、规范性、客观性和公正性”的原则，通过河北预算管理一体化系统查询、查阅凭证与决算数据核对相结合的形式、对2025年本部门所有项目名称、项目内容、预算金额、到位资金、拨付资金、分管科室等情况进行梳理，制定台账；对井陉县测鱼镇人民政府2025年整体支出情况实施了财政支出绩效自评价，由财务主管姚晓科牵头，组成项目评价小组，传达文件精神，对专项项目自评表、填报要求、评分要求进行详细讲解，分配项目。我镇项目为一般财政拨款，我镇积极申请上级财政资金，有健全管理制度及监理制度，执行率高，具有可控性；根据规定合理规范使用资金，严格支出手续；有计划，有步骤地使用资金。</w:t>
      </w:r>
    </w:p>
    <w:p w14:paraId="63A9814E">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740626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针对项目完成情况，我单位采用了成本分析法、公众评判法等方法，从数量指标、质量指标、时效指标、成本指标、预算执行率、经济效益指标、社会效益指标、生态效益指标、可持续影响指标、满意度指标等方面进行评价，设计绩效评价指标体系，细化评价类别，拟定了评分标准，根据项目实际情况进行绩效评价。</w:t>
      </w:r>
    </w:p>
    <w:p w14:paraId="26B7AD71">
      <w:pPr>
        <w:widowControl w:val="0"/>
        <w:wordWrap/>
        <w:adjustRightInd w:val="0"/>
        <w:snapToGrid w:val="0"/>
        <w:spacing w:line="560" w:lineRule="exact"/>
        <w:ind w:left="0" w:leftChars="0" w:right="0" w:firstLine="640" w:firstLineChars="200"/>
        <w:textAlignment w:val="auto"/>
        <w:outlineLvl w:val="9"/>
        <w:rPr>
          <w:rFonts w:ascii="楷体" w:hAnsi="楷体" w:eastAsia="楷体" w:cs="楷体_GB2312"/>
          <w:bCs/>
          <w:sz w:val="32"/>
          <w:szCs w:val="32"/>
        </w:rPr>
      </w:pPr>
      <w:r>
        <w:rPr>
          <w:rFonts w:hint="eastAsia" w:ascii="仿宋" w:hAnsi="仿宋" w:eastAsia="仿宋"/>
          <w:sz w:val="32"/>
          <w:szCs w:val="32"/>
          <w:lang w:val="en-US" w:eastAsia="zh-CN"/>
        </w:rPr>
        <w:t>总分设定为100分。原则上一级指标权重统一设置为：产出指标40分（包含数量、质量、时效、成本）、预算执行率指标10分、效益指标40分（包含经济效益、社会效益、生态效益、可持续影响）、满意度指标10分。</w:t>
      </w:r>
    </w:p>
    <w:p w14:paraId="1188DF34">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0632009">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E3D10B5">
      <w:pPr>
        <w:widowControl w:val="0"/>
        <w:wordWrap/>
        <w:adjustRightInd w:val="0"/>
        <w:snapToGrid w:val="0"/>
        <w:spacing w:line="560" w:lineRule="exact"/>
        <w:ind w:left="0" w:leftChars="0" w:right="0" w:firstLine="640" w:firstLineChars="200"/>
        <w:textAlignment w:val="auto"/>
        <w:outlineLvl w:val="9"/>
        <w:rPr>
          <w:rFonts w:ascii="楷体" w:hAnsi="楷体" w:eastAsia="楷体" w:cs="楷体_GB2312"/>
          <w:b w:val="0"/>
          <w:bCs w:val="0"/>
          <w:sz w:val="32"/>
          <w:szCs w:val="32"/>
        </w:rPr>
      </w:pPr>
      <w:r>
        <w:rPr>
          <w:rFonts w:hint="eastAsia" w:ascii="仿宋" w:hAnsi="仿宋" w:eastAsia="仿宋"/>
          <w:sz w:val="32"/>
          <w:szCs w:val="32"/>
          <w:lang w:val="en-US" w:eastAsia="zh-CN"/>
        </w:rPr>
        <w:t>2025年我镇财政工作坚持以党建引领财政工作，扎实开展党史学习教育，学习研讨党的二十大重要讲话精神，持续在“学懂、弄通、做实”上下功夫，使我镇干部职工进一步树牢“两个确立”，做到“两个维护”，进一步提升“为国理财、为民服务、政令财行、财随政走”的意识，进一步做到“矢志不渝听党话，坚定不移跟党走”。进一步发挥基层党组织在发展农村集体经济的基层堡垒战斗作用，积极盘活国有资产资源，提高资源利用率；坚持政府过紧日子的要求，维持本部门日常运行，节约和控制三公经费支出；及时争取上级资金，合理使用资金，节约成本。围绕健饼厂建设、张河湾-锦山风景区开发等多措并举增加财政税收收入，确保完成全年目标任务。</w:t>
      </w:r>
    </w:p>
    <w:p w14:paraId="59AB5387">
      <w:pPr>
        <w:numPr>
          <w:ilvl w:val="0"/>
          <w:numId w:val="4"/>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14:paraId="197B5A65">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1、综合业务管理工作</w:t>
      </w:r>
    </w:p>
    <w:p w14:paraId="19E3E3A6">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绩效目标：负责人大代表议政、人代会，做好各项工作的迎查、考核完成乡镇财政计划和经济发展规划，做好统计、审计工作；做好与各职责部门的社会事务工作。</w:t>
      </w:r>
    </w:p>
    <w:p w14:paraId="4D92D76C">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绩效指标：年度工作完成率、任务实现率、年度工作考核排名</w:t>
      </w:r>
    </w:p>
    <w:p w14:paraId="09AD85EC">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2、综合事务管理工作</w:t>
      </w:r>
    </w:p>
    <w:p w14:paraId="154F6C56">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绩效目标：完成机关日常事务，搞好文秘、档案管理、政务公开和机关后勤保障工作。</w:t>
      </w:r>
    </w:p>
    <w:p w14:paraId="1882721F">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绩效指标：年度工作完成率、任务实现率</w:t>
      </w:r>
    </w:p>
    <w:p w14:paraId="4450614A">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3、信访专项工作</w:t>
      </w:r>
    </w:p>
    <w:p w14:paraId="1CAD9474">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绩效目标：做好信访工作，维护社会稳定。</w:t>
      </w:r>
    </w:p>
    <w:p w14:paraId="4D6B9BEB">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绩效指标：年度信访工作完成率、任务实现率</w:t>
      </w:r>
    </w:p>
    <w:p w14:paraId="7EFB2F4D">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4、农业专项工作</w:t>
      </w:r>
    </w:p>
    <w:p w14:paraId="6C21A6D1">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绩效目标：配合农业部门做好农业技术服务和技术推广及动物防疫，加强农业基本建设，增强农业抗御自然灾害的能力。</w:t>
      </w:r>
    </w:p>
    <w:p w14:paraId="4B105988">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绩效指标：年度农业工作完成率、任务实现率</w:t>
      </w:r>
    </w:p>
    <w:p w14:paraId="7E97A6E4">
      <w:pPr>
        <w:pStyle w:val="8"/>
        <w:rPr>
          <w:rFonts w:hint="eastAsia" w:ascii="仿宋" w:hAnsi="仿宋" w:eastAsia="仿宋"/>
          <w:sz w:val="32"/>
          <w:szCs w:val="32"/>
          <w:lang w:val="en-US" w:eastAsia="zh-CN"/>
        </w:rPr>
      </w:pPr>
      <w:r>
        <w:rPr>
          <w:rFonts w:hint="eastAsia" w:ascii="仿宋" w:hAnsi="仿宋" w:eastAsia="仿宋"/>
          <w:sz w:val="32"/>
          <w:szCs w:val="32"/>
          <w:lang w:val="en-US" w:eastAsia="zh-CN"/>
        </w:rPr>
        <w:t>5、林业专项工作</w:t>
      </w:r>
    </w:p>
    <w:p w14:paraId="67688E6F">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绩效目标：配合林业部门做好林业技术服务和技术推广，做好森林培育和护林防火工作，年度内不发生一起火灾事故。</w:t>
      </w:r>
    </w:p>
    <w:p w14:paraId="339F2C32">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绩效指标：年度林业工作完成率、任务实现率</w:t>
      </w:r>
    </w:p>
    <w:p w14:paraId="57DAE0F2">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6、水利专项工作</w:t>
      </w:r>
    </w:p>
    <w:p w14:paraId="64CE196F">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绩效目标：配合水利部门做好农田水机基础设施建设、开展群众安全饮水项目。</w:t>
      </w:r>
    </w:p>
    <w:p w14:paraId="6AC906CD">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绩效指标：年度水利工作完成率、任务实现率</w:t>
      </w:r>
    </w:p>
    <w:p w14:paraId="0A95285F">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7、一事一议专项工作</w:t>
      </w:r>
    </w:p>
    <w:p w14:paraId="345E3D81">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绩效目标：做好农村一事一议档案的统一管理、监督项目的运行情况、督促项目的及时完成及确保完成质量</w:t>
      </w:r>
    </w:p>
    <w:p w14:paraId="3BB51DA5">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绩效指标：年度一事一议工作完成率、任务实现率</w:t>
      </w:r>
    </w:p>
    <w:p w14:paraId="601048E1">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8、卫生专项工作</w:t>
      </w:r>
    </w:p>
    <w:p w14:paraId="734B6EE9">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绩效目标：配合食品药品监督管理的协调、督导，做好新型农村合作医疗等卫生方面工作。</w:t>
      </w:r>
    </w:p>
    <w:p w14:paraId="4D73776D">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绩效指标：年度卫生工作完成率、任务实现率</w:t>
      </w:r>
    </w:p>
    <w:p w14:paraId="03DD48CE">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9、计生专项工作</w:t>
      </w:r>
    </w:p>
    <w:p w14:paraId="5A486FFE">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绩效目标：完成计划生育技术服务及人口生育管理，负责育龄妇女普查、妇女病防治、四术及协会等项工作。</w:t>
      </w:r>
    </w:p>
    <w:p w14:paraId="60C108CB">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绩效指标：年度计生工作完成率、任务实现率</w:t>
      </w:r>
    </w:p>
    <w:p w14:paraId="40F8A2F2">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10、文化综合服务工作</w:t>
      </w:r>
    </w:p>
    <w:p w14:paraId="19687BBE">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绩效目标：完成群众文化娱乐、体育活动、广播电视村村通等工作。</w:t>
      </w:r>
    </w:p>
    <w:p w14:paraId="7BE03956">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绩效指标：年度文化工作完成率、任务实现率</w:t>
      </w:r>
    </w:p>
    <w:p w14:paraId="790C4A64">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11、社会保障服务工作</w:t>
      </w:r>
    </w:p>
    <w:p w14:paraId="691CC86A">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绩效目标：配合劳动保障部门做好劳动法的宣传贯彻、劳动就业、社会保障等工作。配合安全生产监督管理部门，做好安全生产监督管理等工作。做好行政服务审批和行政执法工作。</w:t>
      </w:r>
    </w:p>
    <w:p w14:paraId="545F69A0">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绩效指标：年度社会保障工作完成率、任务实现率</w:t>
      </w:r>
    </w:p>
    <w:p w14:paraId="79C1C107">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12、退役军人服务工作</w:t>
      </w:r>
    </w:p>
    <w:p w14:paraId="5FC6BD32">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绩效目标：落实安置和帮扶措施，做好困难军人的救助、社保、和就业创业工作，保障退伍军人合法权益的落实。</w:t>
      </w:r>
    </w:p>
    <w:p w14:paraId="25696278">
      <w:pPr>
        <w:pStyle w:val="9"/>
        <w:rPr>
          <w:rFonts w:hint="eastAsia" w:ascii="楷体" w:hAnsi="楷体" w:eastAsia="楷体" w:cs="楷体_GB2312"/>
          <w:bCs/>
          <w:sz w:val="32"/>
          <w:szCs w:val="32"/>
        </w:rPr>
      </w:pPr>
      <w:r>
        <w:rPr>
          <w:rFonts w:hint="eastAsia" w:ascii="仿宋" w:hAnsi="仿宋" w:eastAsia="仿宋" w:cs="黑体"/>
          <w:kern w:val="2"/>
          <w:sz w:val="32"/>
          <w:szCs w:val="32"/>
          <w:lang w:val="en-US" w:eastAsia="zh-CN" w:bidi="ar-SA"/>
        </w:rPr>
        <w:t>绩效指标：年度退役军人工作完成率、任务实现率</w:t>
      </w:r>
    </w:p>
    <w:p w14:paraId="1D6B1A26">
      <w:pPr>
        <w:numPr>
          <w:ilvl w:val="0"/>
          <w:numId w:val="5"/>
        </w:num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评价结论和评价等级</w:t>
      </w:r>
    </w:p>
    <w:p w14:paraId="5A79CBE5">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sz w:val="32"/>
          <w:szCs w:val="32"/>
        </w:rPr>
      </w:pPr>
      <w:r>
        <w:rPr>
          <w:rFonts w:hint="eastAsia" w:ascii="仿宋" w:hAnsi="仿宋" w:eastAsia="仿宋"/>
          <w:sz w:val="32"/>
          <w:szCs w:val="32"/>
          <w:lang w:val="en-US" w:eastAsia="zh-CN"/>
        </w:rPr>
        <w:t>根据部门职责定位和各项工作履职情况进行综合评价，井陉县测鱼镇人民政府2025年各项业务工作经费支出绩效目标设定是科学、合理的，是符合部门职责的；二是预算执行真实有效，预算调整和执行进度符合财政规定；三是年度预算目标全部完成，绩效目标基本实现；四是预算支出效益明显，保障了我镇依法履职所需运行经费，为我镇财政工作后续发展奠定了基础。根据部门职责定位和各项工作履职情况进行综合评价，我镇综合评价结论和项目综合绩效评价等级得分给出总得分96分≥85分，满分100分，得出综合绩效评价等级为优秀。（部门整体支出综合绩效评价分为4个等级：得分≥85分为优秀；75≤得分＜85分为良好；60≤得分＜75分为一般；得分＜60分为较差。）</w:t>
      </w:r>
    </w:p>
    <w:p w14:paraId="1A9D314C">
      <w:pPr>
        <w:numPr>
          <w:ilvl w:val="0"/>
          <w:numId w:val="6"/>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存在的主要问题</w:t>
      </w:r>
    </w:p>
    <w:p w14:paraId="6FBB93E9">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val="en-US" w:eastAsia="zh-CN"/>
        </w:rPr>
        <w:t>2025年我镇财政项目预算任务完成良好，财政工作能力和水平进一步提高。但我们也清醒地认识到当前面临的困难和挑战依然较多。主要表现在：预算执行责任落实不够到位，一些重点投资项目前期准备不充分、开工不及时，财政支出进度慢；绩效理念不够牢固，重投入轻管理、重支出轻绩效的现象仍然存在。对这些问题，我们将高度重视，进一步强化问题导向、目标导向，采取有力有效措施，认真加以解决。</w:t>
      </w:r>
    </w:p>
    <w:p w14:paraId="1B9AFFF6">
      <w:pPr>
        <w:numPr>
          <w:ilvl w:val="0"/>
          <w:numId w:val="6"/>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76E883E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1、针对支出进度慢的项目，积极协调相关业务科室，加大施工进度，及时拨付资金。</w:t>
      </w:r>
    </w:p>
    <w:p w14:paraId="0BA5D8C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在绩效管理上求突破。全面强化绩效理念，以预算绩效管理制度建设为主线，建立全方位、全过程、全覆盖的预算绩效管理体系。完善监管方式，建立事前、事中、事后预算绩效管理，注重结果导向，突出成本效益，着力提高财政资源配置效率。</w:t>
      </w:r>
    </w:p>
    <w:p w14:paraId="20AA0702">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val="en-US" w:eastAsia="zh-CN"/>
        </w:rPr>
        <w:t>3、在向上争引资金上求突破。继续研究相关体制政策，科学谋划，认真分析研究，全力向上跑办，为支持我镇社会事业发展，争取更多的转移支付资金。</w:t>
      </w:r>
    </w:p>
    <w:p w14:paraId="1EDF937D">
      <w:pPr>
        <w:adjustRightInd w:val="0"/>
        <w:snapToGrid w:val="0"/>
        <w:spacing w:line="560" w:lineRule="exact"/>
        <w:ind w:firstLine="640" w:firstLineChars="200"/>
        <w:rPr>
          <w:rFonts w:hint="eastAsia" w:ascii="黑体" w:hAnsi="黑体" w:eastAsia="黑体"/>
          <w:sz w:val="32"/>
          <w:szCs w:val="32"/>
        </w:rPr>
      </w:pPr>
    </w:p>
    <w:p w14:paraId="63EF5545">
      <w:pPr>
        <w:adjustRightInd w:val="0"/>
        <w:snapToGrid w:val="0"/>
        <w:spacing w:line="560" w:lineRule="exact"/>
        <w:ind w:firstLine="640" w:firstLineChars="200"/>
        <w:rPr>
          <w:rFonts w:hint="eastAsia" w:ascii="黑体" w:hAnsi="黑体" w:eastAsia="黑体"/>
          <w:sz w:val="32"/>
          <w:szCs w:val="32"/>
        </w:rPr>
      </w:pPr>
    </w:p>
    <w:p w14:paraId="6E64310E">
      <w:pPr>
        <w:adjustRightInd w:val="0"/>
        <w:snapToGrid w:val="0"/>
        <w:spacing w:line="560" w:lineRule="exact"/>
        <w:ind w:firstLine="640" w:firstLineChars="200"/>
        <w:rPr>
          <w:rFonts w:hint="eastAsia" w:ascii="黑体" w:hAnsi="黑体" w:eastAsia="黑体"/>
          <w:sz w:val="32"/>
          <w:szCs w:val="32"/>
        </w:rPr>
      </w:pPr>
    </w:p>
    <w:p w14:paraId="6A6577D8">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1F43EF91">
      <w:pPr>
        <w:adjustRightInd w:val="0"/>
        <w:snapToGrid w:val="0"/>
        <w:spacing w:line="560" w:lineRule="exact"/>
        <w:ind w:firstLine="640" w:firstLineChars="200"/>
        <w:rPr>
          <w:rFonts w:hint="eastAsia" w:ascii="黑体" w:hAnsi="黑体" w:eastAsia="黑体"/>
          <w:sz w:val="32"/>
          <w:szCs w:val="32"/>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3417"/>
        <w:gridCol w:w="3134"/>
      </w:tblGrid>
      <w:tr w14:paraId="3FB70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14:paraId="4F697926">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姓名</w:t>
            </w:r>
          </w:p>
        </w:tc>
        <w:tc>
          <w:tcPr>
            <w:tcW w:w="3417" w:type="dxa"/>
            <w:noWrap w:val="0"/>
            <w:vAlign w:val="top"/>
          </w:tcPr>
          <w:p w14:paraId="7C27130F">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职务</w:t>
            </w:r>
          </w:p>
        </w:tc>
        <w:tc>
          <w:tcPr>
            <w:tcW w:w="3134" w:type="dxa"/>
            <w:noWrap w:val="0"/>
            <w:vAlign w:val="top"/>
          </w:tcPr>
          <w:p w14:paraId="65DA94FA">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签字</w:t>
            </w:r>
          </w:p>
        </w:tc>
      </w:tr>
      <w:tr w14:paraId="6DFD1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14:paraId="5012F78F">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程东辉</w:t>
            </w:r>
          </w:p>
        </w:tc>
        <w:tc>
          <w:tcPr>
            <w:tcW w:w="3417" w:type="dxa"/>
            <w:noWrap w:val="0"/>
            <w:vAlign w:val="top"/>
          </w:tcPr>
          <w:p w14:paraId="7D41B7C2">
            <w:pPr>
              <w:spacing w:line="360" w:lineRule="auto"/>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财务主管</w:t>
            </w:r>
          </w:p>
        </w:tc>
        <w:tc>
          <w:tcPr>
            <w:tcW w:w="3134" w:type="dxa"/>
            <w:noWrap w:val="0"/>
            <w:vAlign w:val="top"/>
          </w:tcPr>
          <w:p w14:paraId="5DF20ADD">
            <w:pPr>
              <w:spacing w:line="360" w:lineRule="auto"/>
              <w:ind w:firstLine="640" w:firstLineChars="200"/>
              <w:jc w:val="center"/>
              <w:rPr>
                <w:rFonts w:hint="eastAsia" w:ascii="仿宋" w:hAnsi="仿宋" w:eastAsia="仿宋" w:cs="仿宋"/>
                <w:sz w:val="32"/>
                <w:szCs w:val="32"/>
                <w:lang w:val="en-US" w:eastAsia="zh-CN"/>
              </w:rPr>
            </w:pPr>
          </w:p>
        </w:tc>
      </w:tr>
      <w:tr w14:paraId="1D445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14:paraId="03DCE278">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张相如</w:t>
            </w:r>
          </w:p>
        </w:tc>
        <w:tc>
          <w:tcPr>
            <w:tcW w:w="3417" w:type="dxa"/>
            <w:noWrap w:val="0"/>
            <w:vAlign w:val="top"/>
          </w:tcPr>
          <w:p w14:paraId="1DF30338">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会计</w:t>
            </w:r>
          </w:p>
        </w:tc>
        <w:tc>
          <w:tcPr>
            <w:tcW w:w="3134" w:type="dxa"/>
            <w:noWrap w:val="0"/>
            <w:vAlign w:val="top"/>
          </w:tcPr>
          <w:p w14:paraId="16AFD903">
            <w:pPr>
              <w:spacing w:line="360" w:lineRule="auto"/>
              <w:ind w:firstLine="640" w:firstLineChars="200"/>
              <w:jc w:val="center"/>
              <w:rPr>
                <w:rFonts w:hint="eastAsia" w:ascii="仿宋" w:hAnsi="仿宋" w:eastAsia="仿宋" w:cs="仿宋"/>
                <w:sz w:val="32"/>
                <w:szCs w:val="32"/>
                <w:lang w:val="en-US" w:eastAsia="zh-CN"/>
              </w:rPr>
            </w:pPr>
          </w:p>
        </w:tc>
      </w:tr>
      <w:tr w14:paraId="610AE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14:paraId="2D678B10">
            <w:pPr>
              <w:spacing w:line="360" w:lineRule="auto"/>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高彩</w:t>
            </w:r>
          </w:p>
        </w:tc>
        <w:tc>
          <w:tcPr>
            <w:tcW w:w="3417" w:type="dxa"/>
            <w:noWrap w:val="0"/>
            <w:vAlign w:val="top"/>
          </w:tcPr>
          <w:p w14:paraId="528E6B20">
            <w:pPr>
              <w:spacing w:line="360" w:lineRule="auto"/>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出纳</w:t>
            </w:r>
          </w:p>
        </w:tc>
        <w:tc>
          <w:tcPr>
            <w:tcW w:w="3134" w:type="dxa"/>
            <w:noWrap w:val="0"/>
            <w:vAlign w:val="top"/>
          </w:tcPr>
          <w:p w14:paraId="21A0E076">
            <w:pPr>
              <w:spacing w:line="360" w:lineRule="auto"/>
              <w:ind w:firstLine="640" w:firstLineChars="200"/>
              <w:jc w:val="center"/>
              <w:rPr>
                <w:rFonts w:hint="eastAsia" w:ascii="仿宋" w:hAnsi="仿宋" w:eastAsia="仿宋" w:cs="仿宋"/>
                <w:sz w:val="32"/>
                <w:szCs w:val="32"/>
                <w:lang w:val="en-US" w:eastAsia="zh-CN"/>
              </w:rPr>
            </w:pPr>
          </w:p>
        </w:tc>
      </w:tr>
    </w:tbl>
    <w:p w14:paraId="598ECDD8">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D3B423">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26CB9D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26CB9D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598691"/>
    <w:multiLevelType w:val="singleLevel"/>
    <w:tmpl w:val="A3598691"/>
    <w:lvl w:ilvl="0" w:tentative="0">
      <w:start w:val="1"/>
      <w:numFmt w:val="decimal"/>
      <w:suff w:val="nothing"/>
      <w:lvlText w:val="%1、"/>
      <w:lvlJc w:val="left"/>
    </w:lvl>
  </w:abstractNum>
  <w:abstractNum w:abstractNumId="1">
    <w:nsid w:val="ECF829FA"/>
    <w:multiLevelType w:val="singleLevel"/>
    <w:tmpl w:val="ECF829FA"/>
    <w:lvl w:ilvl="0" w:tentative="0">
      <w:start w:val="1"/>
      <w:numFmt w:val="chineseCounting"/>
      <w:suff w:val="nothing"/>
      <w:lvlText w:val="（%1）"/>
      <w:lvlJc w:val="left"/>
      <w:rPr>
        <w:rFonts w:hint="eastAsia"/>
      </w:rPr>
    </w:lvl>
  </w:abstractNum>
  <w:abstractNum w:abstractNumId="2">
    <w:nsid w:val="ED7674EC"/>
    <w:multiLevelType w:val="singleLevel"/>
    <w:tmpl w:val="ED7674EC"/>
    <w:lvl w:ilvl="0" w:tentative="0">
      <w:start w:val="2"/>
      <w:numFmt w:val="chineseCounting"/>
      <w:suff w:val="nothing"/>
      <w:lvlText w:val="（%1）"/>
      <w:lvlJc w:val="left"/>
      <w:rPr>
        <w:rFonts w:hint="eastAsia"/>
      </w:rPr>
    </w:lvl>
  </w:abstractNum>
  <w:abstractNum w:abstractNumId="3">
    <w:nsid w:val="0165CF0C"/>
    <w:multiLevelType w:val="singleLevel"/>
    <w:tmpl w:val="0165CF0C"/>
    <w:lvl w:ilvl="0" w:tentative="0">
      <w:start w:val="4"/>
      <w:numFmt w:val="chineseCounting"/>
      <w:suff w:val="nothing"/>
      <w:lvlText w:val="%1、"/>
      <w:lvlJc w:val="left"/>
      <w:rPr>
        <w:rFonts w:hint="eastAsia"/>
      </w:rPr>
    </w:lvl>
  </w:abstractNum>
  <w:abstractNum w:abstractNumId="4">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5">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0"/>
  </w:num>
  <w:num w:numId="3">
    <w:abstractNumId w:val="4"/>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FhZDUyMmNhNjAxMjA2ZTMwOGI3OTU3NTZiOGIxNTI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937B35"/>
    <w:rsid w:val="0EB97A43"/>
    <w:rsid w:val="0EBD2122"/>
    <w:rsid w:val="0F214EAE"/>
    <w:rsid w:val="11B71E6A"/>
    <w:rsid w:val="1AAF0063"/>
    <w:rsid w:val="1BE140DE"/>
    <w:rsid w:val="240337F6"/>
    <w:rsid w:val="248C197D"/>
    <w:rsid w:val="252959AF"/>
    <w:rsid w:val="277A6671"/>
    <w:rsid w:val="292D35B7"/>
    <w:rsid w:val="31151E97"/>
    <w:rsid w:val="33EB6CFF"/>
    <w:rsid w:val="35A12947"/>
    <w:rsid w:val="37387040"/>
    <w:rsid w:val="3B0548E0"/>
    <w:rsid w:val="3B625C0A"/>
    <w:rsid w:val="3CEE1963"/>
    <w:rsid w:val="3ED732AC"/>
    <w:rsid w:val="436B78D3"/>
    <w:rsid w:val="44865C7B"/>
    <w:rsid w:val="49715C0D"/>
    <w:rsid w:val="4C9C27FE"/>
    <w:rsid w:val="512260B4"/>
    <w:rsid w:val="52BD6ACB"/>
    <w:rsid w:val="55537534"/>
    <w:rsid w:val="561A74F1"/>
    <w:rsid w:val="56BD60EE"/>
    <w:rsid w:val="597244E8"/>
    <w:rsid w:val="5EB71C30"/>
    <w:rsid w:val="66AF0CE5"/>
    <w:rsid w:val="694E3FF4"/>
    <w:rsid w:val="6AA27932"/>
    <w:rsid w:val="6AC537CF"/>
    <w:rsid w:val="6E5B14A6"/>
    <w:rsid w:val="711B255E"/>
    <w:rsid w:val="77570ED7"/>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nhideWhenUsed/>
    <w:qFormat/>
    <w:uiPriority w:val="99"/>
    <w:pPr>
      <w:spacing w:before="100" w:beforeAutospacing="1" w:after="100" w:afterAutospacing="1"/>
    </w:pPr>
  </w:style>
  <w:style w:type="table" w:styleId="6">
    <w:name w:val="Table Grid"/>
    <w:basedOn w:val="5"/>
    <w:autoRedefine/>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5150</Words>
  <Characters>5354</Characters>
  <Lines>4</Lines>
  <Paragraphs>1</Paragraphs>
  <TotalTime>1</TotalTime>
  <ScaleCrop>false</ScaleCrop>
  <LinksUpToDate>false</LinksUpToDate>
  <CharactersWithSpaces>5369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2024-05-21T07:26:00Z</cp:lastPrinted>
  <dcterms:modified xsi:type="dcterms:W3CDTF">2026-04-23T02:15:19Z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AE893F30F2C741DE85C53AB7A0848965_13</vt:lpwstr>
  </property>
  <property fmtid="{D5CDD505-2E9C-101B-9397-08002B2CF9AE}" pid="4" name="KSOTemplateDocerSaveRecord">
    <vt:lpwstr>eyJoZGlkIjoiNDY2ZTMyNmQ5NDRmOTViZTE4ZjQ4NGI5NTVjOTJmMDUifQ==</vt:lpwstr>
  </property>
</Properties>
</file>