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井陉县应急管理</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楷体" w:hAnsi="楷体" w:eastAsia="仿宋" w:cs="楷体_GB2312"/>
          <w:bCs/>
          <w:sz w:val="32"/>
          <w:szCs w:val="32"/>
          <w:lang w:eastAsia="zh-CN"/>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井陉县应急管理</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r>
        <w:rPr>
          <w:rFonts w:hint="eastAsia" w:ascii="仿宋" w:hAnsi="仿宋" w:eastAsia="仿宋"/>
          <w:sz w:val="32"/>
          <w:szCs w:val="32"/>
          <w:lang w:eastAsia="zh-CN"/>
        </w:rPr>
        <w:t>。</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根据《井陉县应急管理局职能配置、内设机构和人员编制规定》， 井陉县应急管理局的主要职责是：</w:t>
      </w:r>
      <w:r>
        <w:rPr>
          <w:rFonts w:hint="eastAsia" w:ascii="仿宋" w:hAnsi="仿宋" w:eastAsia="仿宋"/>
          <w:sz w:val="32"/>
          <w:szCs w:val="32"/>
          <w:lang w:eastAsia="zh-CN"/>
        </w:rPr>
        <w:t>贯彻执行国家、省、市安全生产工作的方针、政策和安全生产法律、法规及规章制度；拟定全县安全生产规划，指导协调安全生产工作；负责组织县人民政府安全生产大检查和专项督查；承担安全生产综合监督管理和矿山、危险化学品、烟花爆竹、工贸行业生产经营单位安全生产监督管理工作；牵头组织调查处理全县一般生产安全事故，参与或协助较大以上事故的调查处理工作和应急救援工作；负责对全县重大安全隐患整改情况进行监察；组织指导全县安全生产宣传教育培训工作；管理国家、省、市下拨我县和县级财政预算安排的安全生产专项项目资金。</w:t>
      </w:r>
    </w:p>
    <w:p>
      <w:pPr>
        <w:ind w:firstLine="640"/>
        <w:rPr>
          <w:rFonts w:hint="eastAsia" w:ascii="黑体" w:hAnsi="黑体" w:eastAsia="黑体"/>
          <w:sz w:val="32"/>
          <w:szCs w:val="32"/>
          <w:lang w:eastAsia="zh-CN"/>
        </w:rPr>
      </w:pPr>
      <w:r>
        <w:rPr>
          <w:rFonts w:hint="eastAsia" w:ascii="仿宋" w:hAnsi="仿宋" w:eastAsia="仿宋"/>
          <w:sz w:val="32"/>
          <w:szCs w:val="32"/>
          <w:lang w:eastAsia="zh-CN"/>
        </w:rPr>
        <w:t>我部门现有</w:t>
      </w:r>
      <w:r>
        <w:rPr>
          <w:rFonts w:hint="eastAsia" w:ascii="仿宋" w:hAnsi="仿宋" w:eastAsia="仿宋"/>
          <w:sz w:val="32"/>
          <w:szCs w:val="32"/>
        </w:rPr>
        <w:t>行政编制</w:t>
      </w:r>
      <w:r>
        <w:rPr>
          <w:rFonts w:hint="eastAsia" w:ascii="仿宋" w:hAnsi="仿宋" w:eastAsia="仿宋"/>
          <w:sz w:val="32"/>
          <w:szCs w:val="32"/>
          <w:lang w:val="en-US" w:eastAsia="zh-CN"/>
        </w:rPr>
        <w:t>15</w:t>
      </w:r>
      <w:r>
        <w:rPr>
          <w:rFonts w:hint="eastAsia" w:ascii="仿宋" w:hAnsi="仿宋" w:eastAsia="仿宋"/>
          <w:sz w:val="32"/>
          <w:szCs w:val="32"/>
        </w:rPr>
        <w:t>名、全额事业编制</w:t>
      </w:r>
      <w:r>
        <w:rPr>
          <w:rFonts w:hint="eastAsia" w:ascii="仿宋" w:hAnsi="仿宋" w:eastAsia="仿宋"/>
          <w:sz w:val="32"/>
          <w:szCs w:val="32"/>
          <w:lang w:val="en-US" w:eastAsia="zh-CN"/>
        </w:rPr>
        <w:t>19</w:t>
      </w:r>
      <w:r>
        <w:rPr>
          <w:rFonts w:hint="eastAsia" w:ascii="仿宋" w:hAnsi="仿宋" w:eastAsia="仿宋"/>
          <w:sz w:val="32"/>
          <w:szCs w:val="32"/>
        </w:rPr>
        <w:t>，实有人数</w:t>
      </w:r>
      <w:r>
        <w:rPr>
          <w:rFonts w:hint="eastAsia" w:ascii="仿宋" w:hAnsi="仿宋" w:eastAsia="仿宋"/>
          <w:sz w:val="32"/>
          <w:szCs w:val="32"/>
          <w:lang w:val="en-US" w:eastAsia="zh-CN"/>
        </w:rPr>
        <w:t>34</w:t>
      </w:r>
      <w:r>
        <w:rPr>
          <w:rFonts w:hint="eastAsia" w:ascii="仿宋" w:hAnsi="仿宋" w:eastAsia="仿宋"/>
          <w:sz w:val="32"/>
          <w:szCs w:val="32"/>
        </w:rPr>
        <w:t>人。为独立核算的行政单位，属一级预算单位。根据编委核定，内设办公室、</w:t>
      </w:r>
      <w:r>
        <w:rPr>
          <w:rFonts w:hint="eastAsia" w:ascii="仿宋" w:hAnsi="仿宋" w:eastAsia="仿宋"/>
          <w:sz w:val="32"/>
          <w:szCs w:val="32"/>
          <w:lang w:eastAsia="zh-CN"/>
        </w:rPr>
        <w:t>综合一股</w:t>
      </w:r>
      <w:r>
        <w:rPr>
          <w:rFonts w:hint="eastAsia" w:ascii="仿宋" w:hAnsi="仿宋" w:eastAsia="仿宋"/>
          <w:sz w:val="32"/>
          <w:szCs w:val="32"/>
        </w:rPr>
        <w:t>、</w:t>
      </w:r>
      <w:r>
        <w:rPr>
          <w:rFonts w:hint="eastAsia" w:ascii="仿宋" w:hAnsi="仿宋" w:eastAsia="仿宋"/>
          <w:sz w:val="32"/>
          <w:szCs w:val="32"/>
          <w:lang w:eastAsia="zh-CN"/>
        </w:rPr>
        <w:t>综合二股、综合协调法规股</w:t>
      </w:r>
      <w:r>
        <w:rPr>
          <w:rFonts w:hint="eastAsia" w:ascii="仿宋" w:hAnsi="仿宋" w:eastAsia="仿宋"/>
          <w:sz w:val="32"/>
          <w:szCs w:val="32"/>
        </w:rPr>
        <w:t>、</w:t>
      </w:r>
      <w:r>
        <w:rPr>
          <w:rFonts w:hint="eastAsia" w:ascii="仿宋" w:hAnsi="仿宋" w:eastAsia="仿宋"/>
          <w:sz w:val="32"/>
          <w:szCs w:val="32"/>
          <w:lang w:eastAsia="zh-CN"/>
        </w:rPr>
        <w:t>防火救灾股</w:t>
      </w:r>
      <w:r>
        <w:rPr>
          <w:rFonts w:hint="eastAsia" w:ascii="仿宋" w:hAnsi="仿宋" w:eastAsia="仿宋"/>
          <w:sz w:val="32"/>
          <w:szCs w:val="32"/>
        </w:rPr>
        <w:t>和</w:t>
      </w:r>
      <w:r>
        <w:rPr>
          <w:rFonts w:hint="eastAsia" w:ascii="仿宋" w:hAnsi="仿宋" w:eastAsia="仿宋"/>
          <w:sz w:val="32"/>
          <w:szCs w:val="32"/>
          <w:lang w:eastAsia="zh-CN"/>
        </w:rPr>
        <w:t>防汛减灾股</w:t>
      </w:r>
      <w:r>
        <w:rPr>
          <w:rFonts w:hint="eastAsia" w:ascii="仿宋" w:hAnsi="仿宋" w:eastAsia="仿宋"/>
          <w:sz w:val="32"/>
          <w:szCs w:val="32"/>
        </w:rPr>
        <w:t>、</w:t>
      </w:r>
      <w:r>
        <w:rPr>
          <w:rFonts w:hint="eastAsia" w:ascii="仿宋" w:hAnsi="仿宋" w:eastAsia="仿宋"/>
          <w:sz w:val="32"/>
          <w:szCs w:val="32"/>
          <w:lang w:eastAsia="zh-CN"/>
        </w:rPr>
        <w:t>综合行政执法大队</w:t>
      </w:r>
      <w:r>
        <w:rPr>
          <w:rFonts w:hint="eastAsia" w:ascii="仿宋" w:hAnsi="仿宋" w:eastAsia="仿宋"/>
          <w:sz w:val="32"/>
          <w:szCs w:val="32"/>
        </w:rPr>
        <w:t>。</w:t>
      </w:r>
    </w:p>
    <w:p>
      <w:pPr>
        <w:spacing w:line="500" w:lineRule="exact"/>
        <w:ind w:firstLine="640" w:firstLineChars="200"/>
        <w:jc w:val="left"/>
        <w:rPr>
          <w:rFonts w:hint="eastAsia" w:ascii="Times New Roman" w:hAnsi="Times New Roman" w:eastAsia="方正小标宋_GBK"/>
          <w:sz w:val="32"/>
          <w:szCs w:val="24"/>
        </w:rPr>
      </w:pPr>
      <w:r>
        <w:rPr>
          <w:rFonts w:hint="eastAsia" w:ascii="黑体" w:hAnsi="黑体" w:eastAsia="黑体"/>
          <w:sz w:val="32"/>
          <w:szCs w:val="32"/>
          <w:lang w:eastAsia="zh-CN"/>
        </w:rPr>
        <w:t>机构设置：</w:t>
      </w:r>
      <w:r>
        <w:rPr>
          <w:rFonts w:hint="eastAsia" w:ascii="黑体" w:hAnsi="黑体" w:eastAsia="黑体"/>
          <w:sz w:val="32"/>
          <w:szCs w:val="32"/>
          <w:lang w:val="en-US" w:eastAsia="zh-CN"/>
        </w:rPr>
        <w:t xml:space="preserve">     </w:t>
      </w:r>
      <w:r>
        <w:rPr>
          <w:rFonts w:ascii="Times New Roman" w:hAnsi="Times New Roman" w:eastAsia="方正小标宋_GBK"/>
          <w:sz w:val="32"/>
          <w:szCs w:val="24"/>
        </w:rPr>
        <w:t>部门</w:t>
      </w:r>
      <w:r>
        <w:rPr>
          <w:rFonts w:hint="eastAsia" w:ascii="Times New Roman" w:hAnsi="Times New Roman" w:eastAsia="方正小标宋_GBK"/>
          <w:sz w:val="32"/>
          <w:szCs w:val="24"/>
        </w:rPr>
        <w:t>机构设置情况</w:t>
      </w:r>
    </w:p>
    <w:tbl>
      <w:tblPr>
        <w:tblStyle w:val="6"/>
        <w:tblpPr w:leftFromText="180" w:rightFromText="180" w:vertAnchor="text" w:horzAnchor="page" w:tblpX="1497" w:tblpY="367"/>
        <w:tblOverlap w:val="never"/>
        <w:tblW w:w="901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5"/>
        <w:gridCol w:w="1200"/>
        <w:gridCol w:w="1481"/>
        <w:gridCol w:w="25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4" w:hRule="atLeast"/>
          <w:tblHeader/>
        </w:trPr>
        <w:tc>
          <w:tcPr>
            <w:tcW w:w="3825" w:type="dxa"/>
            <w:tcBorders>
              <w:top w:val="single" w:color="000000" w:sz="6" w:space="0"/>
              <w:left w:val="single" w:color="000000" w:sz="6" w:space="0"/>
              <w:bottom w:val="single" w:color="000000" w:sz="6" w:space="0"/>
              <w:right w:val="single" w:color="000000" w:sz="6" w:space="0"/>
            </w:tcBorders>
            <w:vAlign w:val="center"/>
          </w:tcPr>
          <w:p>
            <w:pPr>
              <w:jc w:val="center"/>
              <w:rPr>
                <w:rFonts w:ascii="宋体" w:hAnsi="宋体" w:cs="宋体"/>
                <w:sz w:val="24"/>
                <w:szCs w:val="24"/>
              </w:rPr>
            </w:pPr>
            <w:r>
              <w:rPr>
                <w:rFonts w:hint="eastAsia" w:ascii="宋体" w:hAnsi="宋体" w:cs="宋体"/>
                <w:sz w:val="24"/>
                <w:szCs w:val="24"/>
              </w:rPr>
              <w:t>单位名称</w:t>
            </w:r>
          </w:p>
        </w:tc>
        <w:tc>
          <w:tcPr>
            <w:tcW w:w="1200" w:type="dxa"/>
            <w:tcBorders>
              <w:top w:val="single" w:color="000000" w:sz="6" w:space="0"/>
              <w:left w:val="single" w:color="000000" w:sz="6" w:space="0"/>
              <w:bottom w:val="single" w:color="000000" w:sz="6" w:space="0"/>
              <w:right w:val="single" w:color="000000" w:sz="6" w:space="0"/>
            </w:tcBorders>
            <w:vAlign w:val="center"/>
          </w:tcPr>
          <w:p>
            <w:pPr>
              <w:spacing w:line="500" w:lineRule="exact"/>
              <w:jc w:val="center"/>
              <w:rPr>
                <w:rFonts w:ascii="宋体" w:hAnsi="宋体" w:cs="宋体"/>
                <w:sz w:val="24"/>
                <w:szCs w:val="24"/>
              </w:rPr>
            </w:pPr>
            <w:r>
              <w:rPr>
                <w:rFonts w:hint="eastAsia" w:ascii="宋体" w:hAnsi="宋体" w:cs="宋体"/>
                <w:sz w:val="24"/>
                <w:szCs w:val="24"/>
              </w:rPr>
              <w:t>单位性质</w:t>
            </w:r>
          </w:p>
        </w:tc>
        <w:tc>
          <w:tcPr>
            <w:tcW w:w="1481" w:type="dxa"/>
            <w:tcBorders>
              <w:top w:val="single" w:color="000000" w:sz="6" w:space="0"/>
              <w:left w:val="single" w:color="000000" w:sz="6" w:space="0"/>
              <w:bottom w:val="single" w:color="000000" w:sz="6" w:space="0"/>
              <w:right w:val="single" w:color="000000" w:sz="6" w:space="0"/>
            </w:tcBorders>
            <w:vAlign w:val="center"/>
          </w:tcPr>
          <w:p>
            <w:pPr>
              <w:spacing w:line="500" w:lineRule="exact"/>
              <w:jc w:val="center"/>
              <w:rPr>
                <w:rFonts w:ascii="宋体" w:hAnsi="宋体" w:cs="宋体"/>
                <w:sz w:val="24"/>
                <w:szCs w:val="24"/>
              </w:rPr>
            </w:pPr>
            <w:r>
              <w:rPr>
                <w:rFonts w:hint="eastAsia" w:ascii="宋体" w:hAnsi="宋体" w:cs="宋体"/>
                <w:sz w:val="24"/>
                <w:szCs w:val="24"/>
              </w:rPr>
              <w:t>单位规格</w:t>
            </w:r>
          </w:p>
        </w:tc>
        <w:tc>
          <w:tcPr>
            <w:tcW w:w="2510" w:type="dxa"/>
            <w:tcBorders>
              <w:top w:val="single" w:color="000000" w:sz="6" w:space="0"/>
              <w:left w:val="single" w:color="000000" w:sz="6" w:space="0"/>
              <w:bottom w:val="single" w:color="000000" w:sz="6" w:space="0"/>
              <w:right w:val="single" w:color="000000" w:sz="6" w:space="0"/>
            </w:tcBorders>
            <w:vAlign w:val="center"/>
          </w:tcPr>
          <w:p>
            <w:pPr>
              <w:spacing w:line="500" w:lineRule="exact"/>
              <w:ind w:firstLine="480" w:firstLineChars="200"/>
              <w:rPr>
                <w:rFonts w:ascii="宋体" w:hAnsi="宋体" w:cs="宋体"/>
                <w:sz w:val="24"/>
                <w:szCs w:val="24"/>
              </w:rPr>
            </w:pPr>
            <w:r>
              <w:rPr>
                <w:rFonts w:hint="eastAsia" w:ascii="宋体" w:hAnsi="宋体" w:cs="宋体"/>
                <w:sz w:val="24"/>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25" w:type="dxa"/>
            <w:tcBorders>
              <w:top w:val="single" w:color="000000" w:sz="6" w:space="0"/>
              <w:left w:val="single" w:color="000000" w:sz="6" w:space="0"/>
              <w:bottom w:val="single" w:color="000000" w:sz="6" w:space="0"/>
              <w:right w:val="single" w:color="000000" w:sz="6" w:space="0"/>
            </w:tcBorders>
            <w:vAlign w:val="center"/>
          </w:tcPr>
          <w:p>
            <w:pPr>
              <w:spacing w:line="500" w:lineRule="exact"/>
              <w:jc w:val="center"/>
              <w:rPr>
                <w:rFonts w:ascii="宋体" w:hAnsi="宋体" w:cs="宋体"/>
                <w:sz w:val="24"/>
                <w:szCs w:val="24"/>
              </w:rPr>
            </w:pPr>
            <w:r>
              <w:rPr>
                <w:rFonts w:hint="eastAsia" w:ascii="宋体" w:hAnsi="宋体" w:cs="宋体"/>
                <w:sz w:val="24"/>
                <w:szCs w:val="24"/>
              </w:rPr>
              <w:t>井陉县应急管理局</w:t>
            </w:r>
          </w:p>
        </w:tc>
        <w:tc>
          <w:tcPr>
            <w:tcW w:w="1200" w:type="dxa"/>
            <w:tcBorders>
              <w:top w:val="single" w:color="000000" w:sz="6" w:space="0"/>
              <w:left w:val="single" w:color="000000" w:sz="6" w:space="0"/>
              <w:bottom w:val="single" w:color="000000" w:sz="6" w:space="0"/>
              <w:right w:val="single" w:color="000000" w:sz="6" w:space="0"/>
            </w:tcBorders>
            <w:vAlign w:val="center"/>
          </w:tcPr>
          <w:p>
            <w:pPr>
              <w:spacing w:line="500" w:lineRule="exact"/>
              <w:jc w:val="center"/>
              <w:rPr>
                <w:rFonts w:ascii="宋体" w:hAnsi="宋体" w:cs="宋体"/>
                <w:sz w:val="24"/>
                <w:szCs w:val="24"/>
              </w:rPr>
            </w:pPr>
            <w:r>
              <w:rPr>
                <w:rFonts w:hint="eastAsia" w:ascii="宋体" w:hAnsi="宋体" w:cs="宋体"/>
                <w:sz w:val="24"/>
                <w:szCs w:val="24"/>
              </w:rPr>
              <w:t>行政</w:t>
            </w:r>
          </w:p>
        </w:tc>
        <w:tc>
          <w:tcPr>
            <w:tcW w:w="1481" w:type="dxa"/>
            <w:tcBorders>
              <w:top w:val="single" w:color="000000" w:sz="6" w:space="0"/>
              <w:left w:val="single" w:color="000000" w:sz="6" w:space="0"/>
              <w:bottom w:val="single" w:color="000000" w:sz="6" w:space="0"/>
              <w:right w:val="single" w:color="000000" w:sz="6" w:space="0"/>
            </w:tcBorders>
            <w:vAlign w:val="center"/>
          </w:tcPr>
          <w:p>
            <w:pPr>
              <w:spacing w:line="500" w:lineRule="exact"/>
              <w:jc w:val="center"/>
              <w:rPr>
                <w:rFonts w:ascii="宋体" w:hAnsi="宋体" w:cs="宋体"/>
                <w:sz w:val="24"/>
                <w:szCs w:val="24"/>
              </w:rPr>
            </w:pPr>
            <w:r>
              <w:rPr>
                <w:rFonts w:hint="eastAsia" w:ascii="宋体" w:hAnsi="宋体" w:cs="宋体"/>
                <w:sz w:val="24"/>
                <w:szCs w:val="24"/>
              </w:rPr>
              <w:t>正科级</w:t>
            </w:r>
          </w:p>
        </w:tc>
        <w:tc>
          <w:tcPr>
            <w:tcW w:w="2510" w:type="dxa"/>
            <w:tcBorders>
              <w:top w:val="single" w:color="000000" w:sz="6" w:space="0"/>
              <w:left w:val="single" w:color="000000" w:sz="6" w:space="0"/>
              <w:bottom w:val="single" w:color="000000" w:sz="6" w:space="0"/>
              <w:right w:val="single" w:color="000000" w:sz="6" w:space="0"/>
            </w:tcBorders>
            <w:vAlign w:val="center"/>
          </w:tcPr>
          <w:p>
            <w:pPr>
              <w:spacing w:line="500" w:lineRule="exact"/>
              <w:ind w:firstLine="720" w:firstLineChars="300"/>
              <w:rPr>
                <w:rFonts w:ascii="宋体" w:hAnsi="宋体" w:cs="宋体"/>
                <w:sz w:val="24"/>
                <w:szCs w:val="24"/>
              </w:rPr>
            </w:pPr>
            <w:r>
              <w:rPr>
                <w:rFonts w:hint="eastAsia" w:ascii="宋体" w:hAnsi="宋体" w:cs="宋体"/>
                <w:sz w:val="24"/>
                <w:szCs w:val="24"/>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25" w:type="dxa"/>
            <w:tcBorders>
              <w:top w:val="single" w:color="000000" w:sz="6" w:space="0"/>
              <w:left w:val="single" w:color="000000" w:sz="6" w:space="0"/>
              <w:bottom w:val="single" w:color="000000" w:sz="6" w:space="0"/>
              <w:right w:val="single" w:color="000000" w:sz="6" w:space="0"/>
            </w:tcBorders>
            <w:vAlign w:val="center"/>
          </w:tcPr>
          <w:p>
            <w:pPr>
              <w:spacing w:line="500" w:lineRule="exact"/>
              <w:jc w:val="center"/>
              <w:rPr>
                <w:rFonts w:hint="eastAsia" w:ascii="宋体" w:hAnsi="宋体" w:cs="宋体"/>
                <w:sz w:val="24"/>
                <w:szCs w:val="24"/>
                <w:lang w:eastAsia="zh-CN"/>
              </w:rPr>
            </w:pPr>
            <w:r>
              <w:rPr>
                <w:rFonts w:hint="eastAsia" w:ascii="宋体" w:hAnsi="宋体" w:cs="宋体"/>
                <w:sz w:val="24"/>
                <w:szCs w:val="24"/>
                <w:lang w:eastAsia="zh-CN"/>
              </w:rPr>
              <w:t>井陉县应急管理综合行政执法大队</w:t>
            </w:r>
          </w:p>
        </w:tc>
        <w:tc>
          <w:tcPr>
            <w:tcW w:w="1200" w:type="dxa"/>
            <w:tcBorders>
              <w:top w:val="single" w:color="000000" w:sz="6" w:space="0"/>
              <w:left w:val="single" w:color="000000" w:sz="6" w:space="0"/>
              <w:bottom w:val="single" w:color="000000" w:sz="6" w:space="0"/>
              <w:right w:val="single" w:color="000000" w:sz="6" w:space="0"/>
            </w:tcBorders>
            <w:vAlign w:val="center"/>
          </w:tcPr>
          <w:p>
            <w:pPr>
              <w:spacing w:line="500" w:lineRule="exact"/>
              <w:jc w:val="center"/>
              <w:rPr>
                <w:rFonts w:hint="eastAsia" w:ascii="宋体" w:hAnsi="宋体" w:cs="宋体"/>
                <w:sz w:val="24"/>
                <w:szCs w:val="24"/>
              </w:rPr>
            </w:pPr>
            <w:r>
              <w:rPr>
                <w:rFonts w:hint="eastAsia" w:ascii="宋体" w:hAnsi="宋体" w:cs="宋体"/>
                <w:sz w:val="24"/>
                <w:szCs w:val="24"/>
              </w:rPr>
              <w:t>事业</w:t>
            </w:r>
          </w:p>
        </w:tc>
        <w:tc>
          <w:tcPr>
            <w:tcW w:w="1481" w:type="dxa"/>
            <w:tcBorders>
              <w:top w:val="single" w:color="000000" w:sz="6" w:space="0"/>
              <w:left w:val="single" w:color="000000" w:sz="6" w:space="0"/>
              <w:bottom w:val="single" w:color="000000" w:sz="6" w:space="0"/>
              <w:right w:val="single" w:color="000000" w:sz="6" w:space="0"/>
            </w:tcBorders>
            <w:vAlign w:val="center"/>
          </w:tcPr>
          <w:p>
            <w:pPr>
              <w:tabs>
                <w:tab w:val="center" w:pos="567"/>
              </w:tabs>
              <w:spacing w:line="500" w:lineRule="exact"/>
              <w:jc w:val="center"/>
              <w:rPr>
                <w:rFonts w:hint="eastAsia" w:ascii="宋体" w:hAnsi="宋体" w:cs="宋体"/>
                <w:sz w:val="24"/>
                <w:szCs w:val="24"/>
                <w:lang w:eastAsia="zh-CN"/>
              </w:rPr>
            </w:pPr>
            <w:r>
              <w:rPr>
                <w:rFonts w:hint="eastAsia" w:ascii="宋体" w:hAnsi="宋体" w:cs="宋体"/>
                <w:sz w:val="24"/>
                <w:szCs w:val="24"/>
                <w:lang w:eastAsia="zh-CN"/>
              </w:rPr>
              <w:t>副科级</w:t>
            </w:r>
          </w:p>
        </w:tc>
        <w:tc>
          <w:tcPr>
            <w:tcW w:w="2510" w:type="dxa"/>
            <w:tcBorders>
              <w:top w:val="single" w:color="000000" w:sz="6" w:space="0"/>
              <w:left w:val="single" w:color="000000" w:sz="6" w:space="0"/>
              <w:bottom w:val="single" w:color="000000" w:sz="6" w:space="0"/>
              <w:right w:val="single" w:color="000000" w:sz="6" w:space="0"/>
            </w:tcBorders>
            <w:vAlign w:val="center"/>
          </w:tcPr>
          <w:p>
            <w:pPr>
              <w:spacing w:line="500" w:lineRule="exact"/>
              <w:ind w:firstLine="240" w:firstLineChars="100"/>
              <w:rPr>
                <w:rFonts w:hint="eastAsia" w:ascii="宋体" w:hAnsi="宋体" w:cs="宋体"/>
                <w:sz w:val="24"/>
                <w:szCs w:val="24"/>
              </w:rPr>
            </w:pPr>
            <w:r>
              <w:rPr>
                <w:rFonts w:hint="eastAsia" w:ascii="宋体" w:hAnsi="宋体" w:cs="宋体"/>
                <w:sz w:val="24"/>
                <w:szCs w:val="24"/>
              </w:rPr>
              <w:t>财政拨款基本保证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25" w:type="dxa"/>
            <w:tcBorders>
              <w:top w:val="single" w:color="000000" w:sz="6" w:space="0"/>
              <w:left w:val="single" w:color="000000" w:sz="6" w:space="0"/>
              <w:bottom w:val="single" w:color="000000" w:sz="6" w:space="0"/>
              <w:right w:val="single" w:color="000000" w:sz="6" w:space="0"/>
            </w:tcBorders>
            <w:vAlign w:val="center"/>
          </w:tcPr>
          <w:p>
            <w:pPr>
              <w:spacing w:line="500" w:lineRule="exact"/>
              <w:jc w:val="center"/>
              <w:rPr>
                <w:rFonts w:hint="eastAsia" w:ascii="宋体" w:hAnsi="宋体" w:eastAsia="宋体" w:cs="宋体"/>
                <w:kern w:val="2"/>
                <w:sz w:val="24"/>
                <w:szCs w:val="24"/>
                <w:lang w:val="en-US" w:eastAsia="zh-CN" w:bidi="ar-SA"/>
              </w:rPr>
            </w:pPr>
            <w:r>
              <w:rPr>
                <w:rFonts w:hint="eastAsia" w:ascii="宋体" w:hAnsi="宋体" w:cs="宋体"/>
                <w:sz w:val="24"/>
                <w:szCs w:val="24"/>
                <w:lang w:eastAsia="zh-CN"/>
              </w:rPr>
              <w:t>井陉县森林草原消防大队</w:t>
            </w:r>
          </w:p>
        </w:tc>
        <w:tc>
          <w:tcPr>
            <w:tcW w:w="1200" w:type="dxa"/>
            <w:tcBorders>
              <w:top w:val="single" w:color="000000" w:sz="6" w:space="0"/>
              <w:left w:val="single" w:color="000000" w:sz="6" w:space="0"/>
              <w:bottom w:val="single" w:color="000000" w:sz="6" w:space="0"/>
              <w:right w:val="single" w:color="000000" w:sz="6" w:space="0"/>
            </w:tcBorders>
            <w:vAlign w:val="center"/>
          </w:tcPr>
          <w:p>
            <w:pPr>
              <w:spacing w:line="500" w:lineRule="exact"/>
              <w:jc w:val="center"/>
              <w:rPr>
                <w:rFonts w:hint="eastAsia" w:ascii="宋体" w:hAnsi="宋体" w:eastAsia="宋体" w:cs="宋体"/>
                <w:kern w:val="2"/>
                <w:sz w:val="24"/>
                <w:szCs w:val="24"/>
                <w:lang w:val="en-US" w:eastAsia="zh-CN" w:bidi="ar-SA"/>
              </w:rPr>
            </w:pPr>
            <w:r>
              <w:rPr>
                <w:rFonts w:hint="eastAsia" w:ascii="宋体" w:hAnsi="宋体" w:cs="宋体"/>
                <w:sz w:val="24"/>
                <w:szCs w:val="24"/>
              </w:rPr>
              <w:t>事业</w:t>
            </w:r>
          </w:p>
        </w:tc>
        <w:tc>
          <w:tcPr>
            <w:tcW w:w="1481" w:type="dxa"/>
            <w:tcBorders>
              <w:top w:val="single" w:color="000000" w:sz="6" w:space="0"/>
              <w:left w:val="single" w:color="000000" w:sz="6" w:space="0"/>
              <w:bottom w:val="single" w:color="000000" w:sz="6" w:space="0"/>
              <w:right w:val="single" w:color="000000" w:sz="6" w:space="0"/>
            </w:tcBorders>
            <w:vAlign w:val="center"/>
          </w:tcPr>
          <w:p>
            <w:pPr>
              <w:tabs>
                <w:tab w:val="center" w:pos="567"/>
              </w:tabs>
              <w:spacing w:line="500" w:lineRule="exact"/>
              <w:jc w:val="center"/>
              <w:rPr>
                <w:rFonts w:hint="eastAsia" w:ascii="宋体" w:hAnsi="宋体" w:eastAsia="宋体" w:cs="宋体"/>
                <w:kern w:val="2"/>
                <w:sz w:val="24"/>
                <w:szCs w:val="24"/>
                <w:lang w:val="en-US" w:eastAsia="zh-CN" w:bidi="ar-SA"/>
              </w:rPr>
            </w:pPr>
            <w:r>
              <w:rPr>
                <w:rFonts w:hint="eastAsia" w:ascii="宋体" w:hAnsi="宋体" w:cs="宋体"/>
                <w:sz w:val="24"/>
                <w:szCs w:val="24"/>
                <w:lang w:eastAsia="zh-CN"/>
              </w:rPr>
              <w:t>股级</w:t>
            </w:r>
          </w:p>
        </w:tc>
        <w:tc>
          <w:tcPr>
            <w:tcW w:w="2510" w:type="dxa"/>
            <w:tcBorders>
              <w:top w:val="single" w:color="000000" w:sz="6" w:space="0"/>
              <w:left w:val="single" w:color="000000" w:sz="6" w:space="0"/>
              <w:bottom w:val="single" w:color="000000" w:sz="6" w:space="0"/>
              <w:right w:val="single" w:color="000000" w:sz="6" w:space="0"/>
            </w:tcBorders>
            <w:vAlign w:val="center"/>
          </w:tcPr>
          <w:p>
            <w:pPr>
              <w:spacing w:line="500" w:lineRule="exact"/>
              <w:ind w:firstLine="240" w:firstLineChars="100"/>
              <w:rPr>
                <w:rFonts w:hint="eastAsia" w:ascii="宋体" w:hAnsi="宋体" w:eastAsia="宋体" w:cs="宋体"/>
                <w:kern w:val="2"/>
                <w:sz w:val="24"/>
                <w:szCs w:val="24"/>
                <w:lang w:val="en-US" w:eastAsia="zh-CN" w:bidi="ar-SA"/>
              </w:rPr>
            </w:pPr>
            <w:r>
              <w:rPr>
                <w:rFonts w:hint="eastAsia" w:ascii="宋体" w:hAnsi="宋体" w:cs="宋体"/>
                <w:sz w:val="24"/>
                <w:szCs w:val="24"/>
              </w:rPr>
              <w:t>财政拨款基本保证</w:t>
            </w:r>
          </w:p>
        </w:tc>
      </w:tr>
    </w:tbl>
    <w:p>
      <w:pPr>
        <w:autoSpaceDE w:val="0"/>
        <w:autoSpaceDN w:val="0"/>
        <w:adjustRightInd w:val="0"/>
        <w:jc w:val="left"/>
        <w:rPr>
          <w:rFonts w:ascii="黑体" w:hAnsi="黑体" w:eastAsia="黑体"/>
          <w:sz w:val="32"/>
          <w:szCs w:val="32"/>
        </w:rPr>
      </w:pPr>
      <w:r>
        <w:rPr>
          <w:rFonts w:hint="eastAsia" w:ascii="黑体" w:hAnsi="黑体" w:eastAsia="黑体"/>
          <w:sz w:val="32"/>
          <w:szCs w:val="32"/>
        </w:rPr>
        <w:t>国有资产信息</w:t>
      </w:r>
    </w:p>
    <w:p>
      <w:pPr>
        <w:ind w:firstLine="640" w:firstLineChars="200"/>
        <w:rPr>
          <w:rFonts w:ascii="Times New Roman" w:hAnsi="Times New Roman" w:eastAsia="仿宋"/>
          <w:color w:val="000000"/>
          <w:sz w:val="32"/>
          <w:szCs w:val="32"/>
        </w:rPr>
      </w:pPr>
      <w:r>
        <w:rPr>
          <w:rFonts w:hint="eastAsia" w:ascii="Times New Roman" w:hAnsi="Times New Roman" w:eastAsia="仿宋"/>
          <w:color w:val="000000"/>
          <w:sz w:val="32"/>
          <w:szCs w:val="32"/>
        </w:rPr>
        <w:t>井陉县应急管理局202</w:t>
      </w:r>
      <w:r>
        <w:rPr>
          <w:rFonts w:hint="eastAsia" w:ascii="Times New Roman" w:hAnsi="Times New Roman" w:eastAsia="仿宋"/>
          <w:color w:val="000000"/>
          <w:sz w:val="32"/>
          <w:szCs w:val="32"/>
          <w:lang w:val="en-US" w:eastAsia="zh-CN"/>
        </w:rPr>
        <w:t>5</w:t>
      </w:r>
      <w:r>
        <w:rPr>
          <w:rFonts w:ascii="Times New Roman" w:hAnsi="Times New Roman" w:eastAsia="仿宋"/>
          <w:color w:val="000000"/>
          <w:sz w:val="32"/>
          <w:szCs w:val="32"/>
        </w:rPr>
        <w:t>年末固定资产金额为</w:t>
      </w:r>
      <w:r>
        <w:rPr>
          <w:rFonts w:hint="eastAsia" w:ascii="Times New Roman" w:hAnsi="Times New Roman" w:eastAsia="仿宋"/>
          <w:color w:val="000000"/>
          <w:sz w:val="32"/>
          <w:szCs w:val="32"/>
          <w:lang w:val="en-US" w:eastAsia="zh-CN"/>
        </w:rPr>
        <w:t>14242.53</w:t>
      </w:r>
      <w:r>
        <w:rPr>
          <w:rFonts w:ascii="Times New Roman" w:hAnsi="Times New Roman" w:eastAsia="仿宋"/>
          <w:color w:val="000000"/>
          <w:sz w:val="32"/>
          <w:szCs w:val="32"/>
        </w:rPr>
        <w:t>万元（详见下表）</w:t>
      </w:r>
      <w:r>
        <w:rPr>
          <w:rFonts w:hint="eastAsia" w:ascii="Times New Roman" w:hAnsi="Times New Roman" w:eastAsia="仿宋"/>
          <w:color w:val="000000"/>
          <w:sz w:val="32"/>
          <w:szCs w:val="32"/>
        </w:rPr>
        <w:t>。</w:t>
      </w:r>
    </w:p>
    <w:tbl>
      <w:tblPr>
        <w:tblStyle w:val="6"/>
        <w:tblpPr w:leftFromText="180" w:rightFromText="180" w:vertAnchor="text" w:horzAnchor="page" w:tblpX="100" w:tblpY="940"/>
        <w:tblOverlap w:val="never"/>
        <w:tblW w:w="26964" w:type="dxa"/>
        <w:tblInd w:w="0" w:type="dxa"/>
        <w:tblLayout w:type="fixed"/>
        <w:tblCellMar>
          <w:top w:w="0" w:type="dxa"/>
          <w:left w:w="108" w:type="dxa"/>
          <w:bottom w:w="0" w:type="dxa"/>
          <w:right w:w="108" w:type="dxa"/>
        </w:tblCellMar>
      </w:tblPr>
      <w:tblGrid>
        <w:gridCol w:w="3316"/>
        <w:gridCol w:w="2762"/>
        <w:gridCol w:w="7404"/>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井陉县县直部门固定资产占用情况表</w:t>
            </w:r>
          </w:p>
        </w:tc>
      </w:tr>
      <w:tr>
        <w:tblPrEx>
          <w:tblCellMar>
            <w:top w:w="0" w:type="dxa"/>
            <w:left w:w="108" w:type="dxa"/>
            <w:bottom w:w="0" w:type="dxa"/>
            <w:right w:w="108" w:type="dxa"/>
          </w:tblCellMar>
        </w:tblPrEx>
        <w:trPr>
          <w:trHeight w:val="510" w:hRule="atLeast"/>
        </w:trPr>
        <w:tc>
          <w:tcPr>
            <w:tcW w:w="6078" w:type="dxa"/>
            <w:gridSpan w:val="2"/>
            <w:tcBorders>
              <w:top w:val="nil"/>
              <w:left w:val="nil"/>
              <w:bottom w:val="nil"/>
              <w:right w:val="nil"/>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编制部门：</w:t>
            </w:r>
            <w:r>
              <w:rPr>
                <w:rFonts w:hint="eastAsia" w:ascii="Times New Roman" w:hAnsi="Times New Roman" w:eastAsia="仿宋"/>
                <w:kern w:val="0"/>
                <w:sz w:val="22"/>
              </w:rPr>
              <w:t>井陉县应急管理局</w:t>
            </w:r>
          </w:p>
        </w:tc>
        <w:tc>
          <w:tcPr>
            <w:tcW w:w="7404" w:type="dxa"/>
            <w:tcBorders>
              <w:top w:val="nil"/>
              <w:left w:val="nil"/>
              <w:bottom w:val="nil"/>
              <w:right w:val="nil"/>
            </w:tcBorders>
            <w:vAlign w:val="center"/>
          </w:tcPr>
          <w:p>
            <w:pPr>
              <w:widowControl/>
              <w:ind w:firstLine="1320" w:firstLineChars="600"/>
              <w:jc w:val="left"/>
              <w:rPr>
                <w:rFonts w:ascii="Times New Roman" w:hAnsi="Times New Roman" w:eastAsia="仿宋"/>
                <w:kern w:val="0"/>
                <w:sz w:val="22"/>
              </w:rPr>
            </w:pPr>
            <w:r>
              <w:rPr>
                <w:rFonts w:ascii="Times New Roman" w:hAnsi="Times New Roman" w:eastAsia="仿宋"/>
                <w:kern w:val="0"/>
                <w:sz w:val="22"/>
              </w:rPr>
              <w:t>截止时间：20</w:t>
            </w:r>
            <w:r>
              <w:rPr>
                <w:rFonts w:hint="eastAsia" w:ascii="Times New Roman" w:hAnsi="Times New Roman" w:eastAsia="仿宋"/>
                <w:kern w:val="0"/>
                <w:sz w:val="22"/>
              </w:rPr>
              <w:t>2</w:t>
            </w:r>
            <w:r>
              <w:rPr>
                <w:rFonts w:hint="eastAsia" w:ascii="Times New Roman" w:hAnsi="Times New Roman" w:eastAsia="仿宋"/>
                <w:kern w:val="0"/>
                <w:sz w:val="22"/>
                <w:lang w:val="en-US" w:eastAsia="zh-CN"/>
              </w:rPr>
              <w:t>5</w:t>
            </w:r>
            <w:r>
              <w:rPr>
                <w:rFonts w:ascii="Times New Roman" w:hAnsi="Times New Roman" w:eastAsia="仿宋"/>
                <w:kern w:val="0"/>
                <w:sz w:val="22"/>
              </w:rPr>
              <w:t>年12月31日</w:t>
            </w:r>
          </w:p>
        </w:tc>
      </w:tr>
      <w:tr>
        <w:tblPrEx>
          <w:tblCellMar>
            <w:top w:w="0" w:type="dxa"/>
            <w:left w:w="108" w:type="dxa"/>
            <w:bottom w:w="0" w:type="dxa"/>
            <w:right w:w="108" w:type="dxa"/>
          </w:tblCellMar>
        </w:tblPrEx>
        <w:trPr>
          <w:trHeight w:val="645" w:hRule="atLeast"/>
        </w:trPr>
        <w:tc>
          <w:tcPr>
            <w:tcW w:w="331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2762"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7404"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3316"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ascii="Times New Roman" w:hAnsi="Times New Roman" w:eastAsia="仿宋"/>
                <w:kern w:val="0"/>
                <w:sz w:val="22"/>
              </w:rPr>
              <w:t>资产总额</w:t>
            </w:r>
          </w:p>
        </w:tc>
        <w:tc>
          <w:tcPr>
            <w:tcW w:w="2762"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ascii="Times New Roman" w:hAnsi="Times New Roman" w:eastAsia="仿宋"/>
                <w:kern w:val="0"/>
                <w:sz w:val="22"/>
              </w:rPr>
              <w:t>——</w:t>
            </w:r>
          </w:p>
        </w:tc>
        <w:tc>
          <w:tcPr>
            <w:tcW w:w="7404"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olor w:val="FF0000"/>
                <w:kern w:val="0"/>
                <w:sz w:val="22"/>
                <w:lang w:val="en-US" w:eastAsia="zh-CN"/>
              </w:rPr>
            </w:pPr>
            <w:r>
              <w:rPr>
                <w:rFonts w:hint="eastAsia" w:ascii="Times New Roman" w:hAnsi="Times New Roman" w:eastAsia="仿宋"/>
                <w:kern w:val="0"/>
                <w:sz w:val="22"/>
                <w:lang w:val="en-US" w:eastAsia="zh-CN"/>
              </w:rPr>
              <w:t>14242.53</w:t>
            </w:r>
          </w:p>
        </w:tc>
      </w:tr>
      <w:tr>
        <w:tblPrEx>
          <w:tblCellMar>
            <w:top w:w="0" w:type="dxa"/>
            <w:left w:w="108" w:type="dxa"/>
            <w:bottom w:w="0" w:type="dxa"/>
            <w:right w:w="108" w:type="dxa"/>
          </w:tblCellMar>
        </w:tblPrEx>
        <w:trPr>
          <w:trHeight w:val="645" w:hRule="atLeast"/>
        </w:trPr>
        <w:tc>
          <w:tcPr>
            <w:tcW w:w="331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1、房屋（平方米）</w:t>
            </w:r>
          </w:p>
        </w:tc>
        <w:tc>
          <w:tcPr>
            <w:tcW w:w="2762"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kern w:val="0"/>
                <w:sz w:val="22"/>
                <w:lang w:val="en-US" w:eastAsia="zh-CN"/>
              </w:rPr>
            </w:pPr>
            <w:r>
              <w:rPr>
                <w:rFonts w:hint="eastAsia" w:ascii="Times New Roman" w:hAnsi="Times New Roman" w:eastAsia="仿宋"/>
                <w:kern w:val="0"/>
                <w:sz w:val="22"/>
                <w:lang w:val="en-US" w:eastAsia="zh-CN"/>
              </w:rPr>
              <w:t>13175.92</w:t>
            </w:r>
          </w:p>
        </w:tc>
        <w:tc>
          <w:tcPr>
            <w:tcW w:w="7404"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kern w:val="0"/>
                <w:sz w:val="22"/>
                <w:lang w:val="en-US" w:eastAsia="zh-CN"/>
              </w:rPr>
            </w:pPr>
            <w:r>
              <w:rPr>
                <w:rFonts w:hint="eastAsia" w:ascii="Times New Roman" w:hAnsi="Times New Roman" w:eastAsia="仿宋"/>
                <w:kern w:val="0"/>
                <w:sz w:val="22"/>
                <w:lang w:val="en-US" w:eastAsia="zh-CN"/>
              </w:rPr>
              <w:t>4458.9</w:t>
            </w:r>
          </w:p>
        </w:tc>
      </w:tr>
      <w:tr>
        <w:tblPrEx>
          <w:tblCellMar>
            <w:top w:w="0" w:type="dxa"/>
            <w:left w:w="108" w:type="dxa"/>
            <w:bottom w:w="0" w:type="dxa"/>
            <w:right w:w="108" w:type="dxa"/>
          </w:tblCellMar>
        </w:tblPrEx>
        <w:trPr>
          <w:trHeight w:val="645" w:hRule="atLeast"/>
        </w:trPr>
        <w:tc>
          <w:tcPr>
            <w:tcW w:w="331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其中：办公用房（平方米）</w:t>
            </w:r>
          </w:p>
        </w:tc>
        <w:tc>
          <w:tcPr>
            <w:tcW w:w="2762"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kern w:val="0"/>
                <w:sz w:val="22"/>
              </w:rPr>
            </w:pPr>
            <w:r>
              <w:rPr>
                <w:rFonts w:hint="eastAsia" w:ascii="Times New Roman" w:hAnsi="Times New Roman" w:eastAsia="仿宋"/>
                <w:kern w:val="0"/>
                <w:sz w:val="22"/>
              </w:rPr>
              <w:t>0</w:t>
            </w:r>
          </w:p>
        </w:tc>
        <w:tc>
          <w:tcPr>
            <w:tcW w:w="740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kern w:val="0"/>
                <w:sz w:val="22"/>
              </w:rPr>
            </w:pPr>
            <w:r>
              <w:rPr>
                <w:rFonts w:hint="eastAsia" w:ascii="Times New Roman" w:hAnsi="Times New Roman" w:eastAsia="仿宋"/>
                <w:kern w:val="0"/>
                <w:sz w:val="22"/>
              </w:rPr>
              <w:t>0</w:t>
            </w:r>
          </w:p>
        </w:tc>
      </w:tr>
      <w:tr>
        <w:tblPrEx>
          <w:tblCellMar>
            <w:top w:w="0" w:type="dxa"/>
            <w:left w:w="108" w:type="dxa"/>
            <w:bottom w:w="0" w:type="dxa"/>
            <w:right w:w="108" w:type="dxa"/>
          </w:tblCellMar>
        </w:tblPrEx>
        <w:trPr>
          <w:trHeight w:val="645" w:hRule="atLeast"/>
        </w:trPr>
        <w:tc>
          <w:tcPr>
            <w:tcW w:w="331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2、车辆（台、辆）</w:t>
            </w:r>
          </w:p>
        </w:tc>
        <w:tc>
          <w:tcPr>
            <w:tcW w:w="2762"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kern w:val="0"/>
                <w:sz w:val="22"/>
                <w:lang w:val="en-US" w:eastAsia="zh-CN"/>
              </w:rPr>
            </w:pPr>
            <w:r>
              <w:rPr>
                <w:rFonts w:hint="eastAsia" w:ascii="Times New Roman" w:hAnsi="Times New Roman" w:eastAsia="仿宋"/>
                <w:kern w:val="0"/>
                <w:sz w:val="22"/>
                <w:lang w:val="en-US" w:eastAsia="zh-CN"/>
              </w:rPr>
              <w:t>7</w:t>
            </w:r>
          </w:p>
        </w:tc>
        <w:tc>
          <w:tcPr>
            <w:tcW w:w="7404"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kern w:val="0"/>
                <w:sz w:val="22"/>
                <w:lang w:val="en-US" w:eastAsia="zh-CN"/>
              </w:rPr>
            </w:pPr>
            <w:r>
              <w:rPr>
                <w:rFonts w:hint="eastAsia" w:ascii="Times New Roman" w:hAnsi="Times New Roman" w:eastAsia="仿宋"/>
                <w:kern w:val="0"/>
                <w:sz w:val="22"/>
                <w:lang w:val="en-US" w:eastAsia="zh-CN"/>
              </w:rPr>
              <w:t>105.95</w:t>
            </w:r>
          </w:p>
        </w:tc>
      </w:tr>
      <w:tr>
        <w:tblPrEx>
          <w:tblCellMar>
            <w:top w:w="0" w:type="dxa"/>
            <w:left w:w="108" w:type="dxa"/>
            <w:bottom w:w="0" w:type="dxa"/>
            <w:right w:w="108" w:type="dxa"/>
          </w:tblCellMar>
        </w:tblPrEx>
        <w:trPr>
          <w:trHeight w:val="645" w:hRule="atLeast"/>
        </w:trPr>
        <w:tc>
          <w:tcPr>
            <w:tcW w:w="331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3、单价在20万元以上设备</w:t>
            </w:r>
          </w:p>
        </w:tc>
        <w:tc>
          <w:tcPr>
            <w:tcW w:w="2762"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ascii="Times New Roman" w:hAnsi="Times New Roman" w:eastAsia="仿宋"/>
                <w:kern w:val="0"/>
                <w:sz w:val="22"/>
              </w:rPr>
              <w:t>——</w:t>
            </w:r>
          </w:p>
        </w:tc>
        <w:tc>
          <w:tcPr>
            <w:tcW w:w="7404"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kern w:val="0"/>
                <w:sz w:val="22"/>
                <w:lang w:val="en-US" w:eastAsia="zh-CN"/>
              </w:rPr>
            </w:pPr>
            <w:r>
              <w:rPr>
                <w:rFonts w:hint="eastAsia" w:ascii="Times New Roman" w:hAnsi="Times New Roman" w:eastAsia="仿宋"/>
                <w:kern w:val="0"/>
                <w:sz w:val="22"/>
                <w:lang w:val="en-US" w:eastAsia="zh-CN"/>
              </w:rPr>
              <w:t>1926.02</w:t>
            </w:r>
          </w:p>
        </w:tc>
      </w:tr>
      <w:tr>
        <w:tblPrEx>
          <w:tblCellMar>
            <w:top w:w="0" w:type="dxa"/>
            <w:left w:w="108" w:type="dxa"/>
            <w:bottom w:w="0" w:type="dxa"/>
            <w:right w:w="108" w:type="dxa"/>
          </w:tblCellMar>
        </w:tblPrEx>
        <w:trPr>
          <w:trHeight w:val="645" w:hRule="atLeast"/>
        </w:trPr>
        <w:tc>
          <w:tcPr>
            <w:tcW w:w="331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4、其他固定资产</w:t>
            </w:r>
          </w:p>
        </w:tc>
        <w:tc>
          <w:tcPr>
            <w:tcW w:w="2762"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ascii="Times New Roman" w:hAnsi="Times New Roman" w:eastAsia="仿宋"/>
                <w:kern w:val="0"/>
                <w:sz w:val="22"/>
              </w:rPr>
              <w:t>——</w:t>
            </w:r>
          </w:p>
        </w:tc>
        <w:tc>
          <w:tcPr>
            <w:tcW w:w="7404"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kern w:val="0"/>
                <w:sz w:val="22"/>
                <w:lang w:val="en-US" w:eastAsia="zh-CN"/>
              </w:rPr>
            </w:pPr>
            <w:r>
              <w:rPr>
                <w:rFonts w:hint="eastAsia" w:ascii="Times New Roman" w:hAnsi="Times New Roman" w:eastAsia="仿宋"/>
                <w:kern w:val="0"/>
                <w:sz w:val="22"/>
                <w:lang w:val="en-US" w:eastAsia="zh-CN"/>
              </w:rPr>
              <w:t>7751.66</w:t>
            </w:r>
          </w:p>
        </w:tc>
      </w:tr>
    </w:tbl>
    <w:p>
      <w:pPr>
        <w:pStyle w:val="2"/>
      </w:pPr>
    </w:p>
    <w:p>
      <w:pPr>
        <w:numPr>
          <w:ilvl w:val="0"/>
          <w:numId w:val="1"/>
        </w:numPr>
        <w:adjustRightInd w:val="0"/>
        <w:snapToGrid w:val="0"/>
        <w:spacing w:line="560" w:lineRule="exact"/>
        <w:ind w:left="200" w:leftChars="0" w:firstLine="640" w:firstLineChars="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numPr>
          <w:ilvl w:val="0"/>
          <w:numId w:val="0"/>
        </w:numPr>
        <w:snapToGrid w:val="0"/>
        <w:spacing w:line="520" w:lineRule="exact"/>
        <w:ind w:firstLine="1920" w:firstLineChars="600"/>
        <w:jc w:val="both"/>
        <w:rPr>
          <w:rFonts w:hint="eastAsia" w:ascii="仿宋_GB2312" w:hAnsi="仿宋" w:eastAsia="仿宋_GB2312"/>
          <w:sz w:val="32"/>
          <w:szCs w:val="32"/>
        </w:rPr>
      </w:pPr>
      <w:r>
        <w:rPr>
          <w:rFonts w:hint="eastAsia" w:ascii="仿宋_GB2312" w:hAnsi="仿宋" w:eastAsia="仿宋_GB2312"/>
          <w:sz w:val="32"/>
          <w:szCs w:val="32"/>
          <w:lang w:val="en-US" w:eastAsia="zh-CN"/>
        </w:rPr>
        <w:t>2025年收入预算、决算对比情况表</w:t>
      </w:r>
    </w:p>
    <w:p>
      <w:pPr>
        <w:keepNext w:val="0"/>
        <w:keepLines w:val="0"/>
        <w:widowControl w:val="0"/>
        <w:suppressLineNumbers w:val="0"/>
        <w:snapToGrid w:val="0"/>
        <w:spacing w:before="0" w:beforeAutospacing="0" w:after="0" w:afterAutospacing="0" w:line="360" w:lineRule="auto"/>
        <w:ind w:left="0" w:right="0" w:firstLine="480" w:firstLineChars="200"/>
        <w:jc w:val="both"/>
        <w:rPr>
          <w:rFonts w:hint="default" w:ascii="仿宋_GB2312" w:hAnsi="仿宋" w:eastAsia="仿宋_GB2312"/>
          <w:sz w:val="32"/>
          <w:szCs w:val="32"/>
          <w:lang w:val="en-US" w:eastAsia="zh-CN"/>
        </w:rPr>
      </w:pPr>
      <w:r>
        <w:rPr>
          <w:rFonts w:hint="eastAsia" w:ascii="仿宋_GB2312" w:hAnsi="Calibri" w:eastAsia="仿宋_GB2312" w:cs="仿宋_GB2312"/>
          <w:kern w:val="2"/>
          <w:sz w:val="24"/>
          <w:szCs w:val="24"/>
          <w:lang w:val="en-US" w:eastAsia="zh-CN" w:bidi="ar"/>
        </w:rPr>
        <w:t xml:space="preserve">                                              </w:t>
      </w:r>
      <w:r>
        <w:rPr>
          <w:rFonts w:hint="eastAsia" w:ascii="仿宋_GB2312" w:hAnsi="仿宋" w:eastAsia="仿宋_GB2312"/>
          <w:sz w:val="32"/>
          <w:szCs w:val="32"/>
          <w:lang w:val="en-US" w:eastAsia="zh-CN"/>
        </w:rPr>
        <w:t xml:space="preserve"> 单位：万元</w:t>
      </w:r>
    </w:p>
    <w:p>
      <w:pPr>
        <w:pStyle w:val="9"/>
        <w:rPr>
          <w:rFonts w:hint="eastAsia"/>
        </w:rPr>
      </w:pPr>
    </w:p>
    <w:tbl>
      <w:tblPr>
        <w:tblStyle w:val="7"/>
        <w:tblW w:w="88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
        <w:gridCol w:w="4113"/>
        <w:gridCol w:w="1605"/>
        <w:gridCol w:w="2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 w:type="dxa"/>
            <w:noWrap w:val="0"/>
            <w:vAlign w:val="top"/>
          </w:tcPr>
          <w:p>
            <w:pPr>
              <w:keepNext w:val="0"/>
              <w:keepLines w:val="0"/>
              <w:widowControl w:val="0"/>
              <w:suppressLineNumbers w:val="0"/>
              <w:snapToGrid w:val="0"/>
              <w:spacing w:before="0" w:beforeAutospacing="0" w:after="0" w:afterAutospacing="0" w:line="360" w:lineRule="auto"/>
              <w:ind w:left="0" w:right="0" w:firstLine="480" w:firstLineChars="200"/>
              <w:jc w:val="both"/>
              <w:rPr>
                <w:rFonts w:hint="eastAsia" w:ascii="仿宋_GB2312" w:hAnsi="Calibri" w:eastAsia="仿宋_GB2312" w:cs="仿宋_GB2312"/>
                <w:kern w:val="2"/>
                <w:sz w:val="24"/>
                <w:szCs w:val="24"/>
                <w:lang w:val="en-US" w:eastAsia="zh-CN" w:bidi="ar"/>
              </w:rPr>
            </w:pPr>
          </w:p>
        </w:tc>
        <w:tc>
          <w:tcPr>
            <w:tcW w:w="4113" w:type="dxa"/>
            <w:noWrap w:val="0"/>
            <w:vAlign w:val="center"/>
          </w:tcPr>
          <w:p>
            <w:pPr>
              <w:keepNext w:val="0"/>
              <w:keepLines w:val="0"/>
              <w:widowControl w:val="0"/>
              <w:suppressLineNumbers w:val="0"/>
              <w:snapToGrid w:val="0"/>
              <w:spacing w:before="0" w:beforeAutospacing="0" w:after="0" w:afterAutospacing="0" w:line="360" w:lineRule="auto"/>
              <w:ind w:left="0" w:right="0" w:firstLine="480" w:firstLineChars="200"/>
              <w:jc w:val="center"/>
              <w:rPr>
                <w:rFonts w:hint="eastAsia" w:ascii="仿宋_GB2312" w:hAnsi="Calibri" w:eastAsia="仿宋_GB2312" w:cs="仿宋_GB2312"/>
                <w:kern w:val="2"/>
                <w:sz w:val="24"/>
                <w:szCs w:val="24"/>
                <w:lang w:val="en-US" w:eastAsia="zh-CN" w:bidi="ar"/>
              </w:rPr>
            </w:pPr>
          </w:p>
        </w:tc>
        <w:tc>
          <w:tcPr>
            <w:tcW w:w="1605" w:type="dxa"/>
            <w:noWrap w:val="0"/>
            <w:vAlign w:val="center"/>
          </w:tcPr>
          <w:p>
            <w:pPr>
              <w:keepNext w:val="0"/>
              <w:keepLines w:val="0"/>
              <w:widowControl w:val="0"/>
              <w:suppressLineNumbers w:val="0"/>
              <w:snapToGrid w:val="0"/>
              <w:spacing w:before="0" w:beforeAutospacing="0" w:after="0" w:afterAutospacing="0" w:line="360" w:lineRule="auto"/>
              <w:ind w:right="0"/>
              <w:jc w:val="center"/>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预算</w:t>
            </w:r>
          </w:p>
        </w:tc>
        <w:tc>
          <w:tcPr>
            <w:tcW w:w="2250" w:type="dxa"/>
            <w:noWrap w:val="0"/>
            <w:vAlign w:val="center"/>
          </w:tcPr>
          <w:p>
            <w:pPr>
              <w:keepNext w:val="0"/>
              <w:keepLines w:val="0"/>
              <w:widowControl w:val="0"/>
              <w:suppressLineNumbers w:val="0"/>
              <w:snapToGrid w:val="0"/>
              <w:spacing w:before="0" w:beforeAutospacing="0" w:after="0" w:afterAutospacing="0" w:line="360" w:lineRule="auto"/>
              <w:ind w:right="0"/>
              <w:jc w:val="center"/>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决算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trPr>
        <w:tc>
          <w:tcPr>
            <w:tcW w:w="906" w:type="dxa"/>
            <w:vMerge w:val="restart"/>
            <w:noWrap w:val="0"/>
            <w:vAlign w:val="top"/>
          </w:tcPr>
          <w:p>
            <w:pPr>
              <w:keepNext w:val="0"/>
              <w:keepLines w:val="0"/>
              <w:widowControl w:val="0"/>
              <w:suppressLineNumbers w:val="0"/>
              <w:snapToGrid w:val="0"/>
              <w:spacing w:before="0" w:beforeAutospacing="0" w:after="0" w:afterAutospacing="0" w:line="360" w:lineRule="auto"/>
              <w:ind w:right="0"/>
              <w:jc w:val="both"/>
              <w:rPr>
                <w:rFonts w:hint="eastAsia" w:ascii="仿宋_GB2312" w:hAnsi="仿宋" w:eastAsia="仿宋_GB2312" w:cs="Times New Roman"/>
                <w:kern w:val="2"/>
                <w:sz w:val="32"/>
                <w:szCs w:val="32"/>
                <w:lang w:val="en-US" w:eastAsia="zh-CN" w:bidi="ar-SA"/>
              </w:rPr>
            </w:pPr>
          </w:p>
          <w:p>
            <w:pPr>
              <w:keepNext w:val="0"/>
              <w:keepLines w:val="0"/>
              <w:widowControl w:val="0"/>
              <w:suppressLineNumbers w:val="0"/>
              <w:snapToGrid w:val="0"/>
              <w:spacing w:before="0" w:beforeAutospacing="0" w:after="0" w:afterAutospacing="0" w:line="360" w:lineRule="auto"/>
              <w:ind w:right="0"/>
              <w:jc w:val="both"/>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收入</w:t>
            </w:r>
          </w:p>
          <w:p>
            <w:pPr>
              <w:keepNext w:val="0"/>
              <w:keepLines w:val="0"/>
              <w:widowControl w:val="0"/>
              <w:suppressLineNumbers w:val="0"/>
              <w:snapToGrid w:val="0"/>
              <w:spacing w:before="0" w:beforeAutospacing="0" w:after="0" w:afterAutospacing="0" w:line="360" w:lineRule="auto"/>
              <w:ind w:right="0"/>
              <w:jc w:val="both"/>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情况</w:t>
            </w:r>
          </w:p>
        </w:tc>
        <w:tc>
          <w:tcPr>
            <w:tcW w:w="4113" w:type="dxa"/>
            <w:noWrap w:val="0"/>
            <w:vAlign w:val="center"/>
          </w:tcPr>
          <w:p>
            <w:pPr>
              <w:keepNext w:val="0"/>
              <w:keepLines w:val="0"/>
              <w:widowControl w:val="0"/>
              <w:suppressLineNumbers w:val="0"/>
              <w:snapToGrid w:val="0"/>
              <w:spacing w:before="0" w:beforeAutospacing="0" w:after="0" w:afterAutospacing="0" w:line="360" w:lineRule="auto"/>
              <w:ind w:right="0"/>
              <w:jc w:val="center"/>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一般公共预算财政拨款收入</w:t>
            </w:r>
          </w:p>
        </w:tc>
        <w:tc>
          <w:tcPr>
            <w:tcW w:w="1605" w:type="dxa"/>
            <w:noWrap w:val="0"/>
            <w:vAlign w:val="center"/>
          </w:tcPr>
          <w:p>
            <w:pPr>
              <w:keepNext w:val="0"/>
              <w:keepLines w:val="0"/>
              <w:widowControl w:val="0"/>
              <w:suppressLineNumbers w:val="0"/>
              <w:snapToGrid w:val="0"/>
              <w:spacing w:before="0" w:beforeAutospacing="0" w:after="0" w:afterAutospacing="0" w:line="360" w:lineRule="auto"/>
              <w:ind w:right="0"/>
              <w:jc w:val="center"/>
              <w:rPr>
                <w:rFonts w:hint="default"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1360.56</w:t>
            </w:r>
          </w:p>
        </w:tc>
        <w:tc>
          <w:tcPr>
            <w:tcW w:w="2250" w:type="dxa"/>
            <w:noWrap w:val="0"/>
            <w:vAlign w:val="center"/>
          </w:tcPr>
          <w:p>
            <w:pPr>
              <w:keepNext w:val="0"/>
              <w:keepLines w:val="0"/>
              <w:widowControl w:val="0"/>
              <w:suppressLineNumbers w:val="0"/>
              <w:snapToGrid w:val="0"/>
              <w:spacing w:before="0" w:beforeAutospacing="0" w:after="0" w:afterAutospacing="0" w:line="360" w:lineRule="auto"/>
              <w:ind w:right="0" w:rightChars="0"/>
              <w:jc w:val="center"/>
              <w:rPr>
                <w:rFonts w:hint="default"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1484.9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 w:type="dxa"/>
            <w:vMerge w:val="continue"/>
            <w:noWrap w:val="0"/>
            <w:vAlign w:val="top"/>
          </w:tcPr>
          <w:p>
            <w:pPr>
              <w:keepNext w:val="0"/>
              <w:keepLines w:val="0"/>
              <w:widowControl w:val="0"/>
              <w:suppressLineNumbers w:val="0"/>
              <w:snapToGrid w:val="0"/>
              <w:spacing w:before="0" w:beforeAutospacing="0" w:after="0" w:afterAutospacing="0" w:line="360" w:lineRule="auto"/>
              <w:ind w:left="0" w:right="0" w:firstLine="640" w:firstLineChars="200"/>
              <w:jc w:val="both"/>
              <w:rPr>
                <w:rFonts w:hint="eastAsia" w:ascii="仿宋_GB2312" w:hAnsi="仿宋" w:eastAsia="仿宋_GB2312" w:cs="Times New Roman"/>
                <w:kern w:val="2"/>
                <w:sz w:val="32"/>
                <w:szCs w:val="32"/>
                <w:lang w:val="en-US" w:eastAsia="zh-CN" w:bidi="ar-SA"/>
              </w:rPr>
            </w:pPr>
          </w:p>
        </w:tc>
        <w:tc>
          <w:tcPr>
            <w:tcW w:w="4113" w:type="dxa"/>
            <w:noWrap w:val="0"/>
            <w:vAlign w:val="center"/>
          </w:tcPr>
          <w:p>
            <w:pPr>
              <w:keepNext w:val="0"/>
              <w:keepLines w:val="0"/>
              <w:widowControl w:val="0"/>
              <w:suppressLineNumbers w:val="0"/>
              <w:snapToGrid w:val="0"/>
              <w:spacing w:before="0" w:beforeAutospacing="0" w:after="0" w:afterAutospacing="0" w:line="360" w:lineRule="auto"/>
              <w:ind w:left="0" w:right="0" w:firstLine="640" w:firstLineChars="200"/>
              <w:jc w:val="center"/>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其他收入</w:t>
            </w:r>
          </w:p>
        </w:tc>
        <w:tc>
          <w:tcPr>
            <w:tcW w:w="1605" w:type="dxa"/>
            <w:noWrap w:val="0"/>
            <w:vAlign w:val="center"/>
          </w:tcPr>
          <w:p>
            <w:pPr>
              <w:keepNext w:val="0"/>
              <w:keepLines w:val="0"/>
              <w:widowControl w:val="0"/>
              <w:suppressLineNumbers w:val="0"/>
              <w:snapToGrid w:val="0"/>
              <w:spacing w:before="0" w:beforeAutospacing="0" w:after="0" w:afterAutospacing="0" w:line="360" w:lineRule="auto"/>
              <w:ind w:left="0" w:right="0" w:firstLine="640" w:firstLineChars="200"/>
              <w:jc w:val="center"/>
              <w:rPr>
                <w:rFonts w:hint="default" w:ascii="仿宋_GB2312" w:hAnsi="仿宋" w:eastAsia="仿宋_GB2312" w:cs="Times New Roman"/>
                <w:kern w:val="2"/>
                <w:sz w:val="32"/>
                <w:szCs w:val="32"/>
                <w:lang w:val="en-US" w:eastAsia="zh-CN" w:bidi="ar-SA"/>
              </w:rPr>
            </w:pPr>
          </w:p>
        </w:tc>
        <w:tc>
          <w:tcPr>
            <w:tcW w:w="2250" w:type="dxa"/>
            <w:noWrap w:val="0"/>
            <w:vAlign w:val="center"/>
          </w:tcPr>
          <w:p>
            <w:pPr>
              <w:keepNext w:val="0"/>
              <w:keepLines w:val="0"/>
              <w:widowControl w:val="0"/>
              <w:suppressLineNumbers w:val="0"/>
              <w:snapToGrid w:val="0"/>
              <w:spacing w:before="0" w:beforeAutospacing="0" w:after="0" w:afterAutospacing="0" w:line="360" w:lineRule="auto"/>
              <w:ind w:right="0" w:rightChars="0" w:firstLine="960" w:firstLineChars="300"/>
              <w:jc w:val="both"/>
              <w:rPr>
                <w:rFonts w:hint="default"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 w:type="dxa"/>
            <w:vMerge w:val="continue"/>
            <w:noWrap w:val="0"/>
            <w:vAlign w:val="top"/>
          </w:tcPr>
          <w:p>
            <w:pPr>
              <w:keepNext w:val="0"/>
              <w:keepLines w:val="0"/>
              <w:widowControl w:val="0"/>
              <w:suppressLineNumbers w:val="0"/>
              <w:snapToGrid w:val="0"/>
              <w:spacing w:before="0" w:beforeAutospacing="0" w:after="0" w:afterAutospacing="0" w:line="360" w:lineRule="auto"/>
              <w:ind w:left="0" w:right="0" w:firstLine="640" w:firstLineChars="200"/>
              <w:jc w:val="both"/>
              <w:rPr>
                <w:rFonts w:hint="eastAsia" w:ascii="仿宋_GB2312" w:hAnsi="仿宋" w:eastAsia="仿宋_GB2312" w:cs="Times New Roman"/>
                <w:kern w:val="2"/>
                <w:sz w:val="32"/>
                <w:szCs w:val="32"/>
                <w:lang w:val="en-US" w:eastAsia="zh-CN" w:bidi="ar-SA"/>
              </w:rPr>
            </w:pPr>
          </w:p>
        </w:tc>
        <w:tc>
          <w:tcPr>
            <w:tcW w:w="4113" w:type="dxa"/>
            <w:noWrap w:val="0"/>
            <w:vAlign w:val="center"/>
          </w:tcPr>
          <w:p>
            <w:pPr>
              <w:keepNext w:val="0"/>
              <w:keepLines w:val="0"/>
              <w:widowControl w:val="0"/>
              <w:suppressLineNumbers w:val="0"/>
              <w:snapToGrid w:val="0"/>
              <w:spacing w:before="0" w:beforeAutospacing="0" w:after="0" w:afterAutospacing="0" w:line="360" w:lineRule="auto"/>
              <w:ind w:right="0"/>
              <w:jc w:val="center"/>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政府性基金</w:t>
            </w:r>
          </w:p>
          <w:p>
            <w:pPr>
              <w:keepNext w:val="0"/>
              <w:keepLines w:val="0"/>
              <w:widowControl w:val="0"/>
              <w:suppressLineNumbers w:val="0"/>
              <w:snapToGrid w:val="0"/>
              <w:spacing w:before="0" w:beforeAutospacing="0" w:after="0" w:afterAutospacing="0" w:line="360" w:lineRule="auto"/>
              <w:ind w:right="0"/>
              <w:jc w:val="center"/>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财政拨款预算收入</w:t>
            </w:r>
          </w:p>
        </w:tc>
        <w:tc>
          <w:tcPr>
            <w:tcW w:w="1605" w:type="dxa"/>
            <w:noWrap w:val="0"/>
            <w:vAlign w:val="center"/>
          </w:tcPr>
          <w:p>
            <w:pPr>
              <w:keepNext w:val="0"/>
              <w:keepLines w:val="0"/>
              <w:widowControl w:val="0"/>
              <w:suppressLineNumbers w:val="0"/>
              <w:snapToGrid w:val="0"/>
              <w:spacing w:before="0" w:beforeAutospacing="0" w:after="0" w:afterAutospacing="0" w:line="360" w:lineRule="auto"/>
              <w:ind w:right="0"/>
              <w:jc w:val="center"/>
              <w:rPr>
                <w:rFonts w:hint="default" w:ascii="仿宋_GB2312" w:hAnsi="仿宋" w:eastAsia="仿宋_GB2312" w:cs="Times New Roman"/>
                <w:kern w:val="2"/>
                <w:sz w:val="32"/>
                <w:szCs w:val="32"/>
                <w:lang w:val="en-US" w:eastAsia="zh-CN" w:bidi="ar-SA"/>
              </w:rPr>
            </w:pPr>
          </w:p>
        </w:tc>
        <w:tc>
          <w:tcPr>
            <w:tcW w:w="2250" w:type="dxa"/>
            <w:noWrap w:val="0"/>
            <w:vAlign w:val="center"/>
          </w:tcPr>
          <w:p>
            <w:pPr>
              <w:keepNext w:val="0"/>
              <w:keepLines w:val="0"/>
              <w:widowControl w:val="0"/>
              <w:suppressLineNumbers w:val="0"/>
              <w:snapToGrid w:val="0"/>
              <w:spacing w:before="0" w:beforeAutospacing="0" w:after="0" w:afterAutospacing="0" w:line="360" w:lineRule="auto"/>
              <w:ind w:right="0" w:rightChars="0"/>
              <w:jc w:val="center"/>
              <w:rPr>
                <w:rFonts w:hint="default"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80.14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 w:type="dxa"/>
            <w:vMerge w:val="continue"/>
            <w:noWrap w:val="0"/>
            <w:vAlign w:val="top"/>
          </w:tcPr>
          <w:p>
            <w:pPr>
              <w:keepNext w:val="0"/>
              <w:keepLines w:val="0"/>
              <w:widowControl w:val="0"/>
              <w:suppressLineNumbers w:val="0"/>
              <w:snapToGrid w:val="0"/>
              <w:spacing w:before="0" w:beforeAutospacing="0" w:after="0" w:afterAutospacing="0" w:line="360" w:lineRule="auto"/>
              <w:ind w:left="0" w:right="0" w:firstLine="640" w:firstLineChars="200"/>
              <w:jc w:val="both"/>
              <w:rPr>
                <w:rFonts w:hint="eastAsia" w:ascii="仿宋_GB2312" w:hAnsi="仿宋" w:eastAsia="仿宋_GB2312" w:cs="Times New Roman"/>
                <w:kern w:val="2"/>
                <w:sz w:val="32"/>
                <w:szCs w:val="32"/>
                <w:lang w:val="en-US" w:eastAsia="zh-CN" w:bidi="ar-SA"/>
              </w:rPr>
            </w:pPr>
          </w:p>
        </w:tc>
        <w:tc>
          <w:tcPr>
            <w:tcW w:w="4113" w:type="dxa"/>
            <w:noWrap w:val="0"/>
            <w:vAlign w:val="center"/>
          </w:tcPr>
          <w:p>
            <w:pPr>
              <w:keepNext w:val="0"/>
              <w:keepLines w:val="0"/>
              <w:widowControl w:val="0"/>
              <w:suppressLineNumbers w:val="0"/>
              <w:snapToGrid w:val="0"/>
              <w:spacing w:before="0" w:beforeAutospacing="0" w:after="0" w:afterAutospacing="0" w:line="360" w:lineRule="auto"/>
              <w:ind w:left="0" w:leftChars="0" w:right="0" w:rightChars="0" w:firstLine="640" w:firstLineChars="200"/>
              <w:jc w:val="center"/>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年初结转结余</w:t>
            </w:r>
          </w:p>
        </w:tc>
        <w:tc>
          <w:tcPr>
            <w:tcW w:w="1605" w:type="dxa"/>
            <w:noWrap w:val="0"/>
            <w:vAlign w:val="center"/>
          </w:tcPr>
          <w:p>
            <w:pPr>
              <w:keepNext w:val="0"/>
              <w:keepLines w:val="0"/>
              <w:widowControl w:val="0"/>
              <w:suppressLineNumbers w:val="0"/>
              <w:snapToGrid w:val="0"/>
              <w:spacing w:before="0" w:beforeAutospacing="0" w:after="0" w:afterAutospacing="0" w:line="360" w:lineRule="auto"/>
              <w:ind w:right="0" w:rightChars="0"/>
              <w:jc w:val="center"/>
              <w:rPr>
                <w:rFonts w:hint="eastAsia" w:ascii="仿宋_GB2312" w:hAnsi="仿宋" w:eastAsia="仿宋_GB2312" w:cs="Times New Roman"/>
                <w:kern w:val="2"/>
                <w:sz w:val="32"/>
                <w:szCs w:val="32"/>
                <w:lang w:val="en-US" w:eastAsia="zh-CN" w:bidi="ar-SA"/>
              </w:rPr>
            </w:pPr>
          </w:p>
        </w:tc>
        <w:tc>
          <w:tcPr>
            <w:tcW w:w="2250" w:type="dxa"/>
            <w:noWrap w:val="0"/>
            <w:vAlign w:val="center"/>
          </w:tcPr>
          <w:p>
            <w:pPr>
              <w:keepNext w:val="0"/>
              <w:keepLines w:val="0"/>
              <w:widowControl w:val="0"/>
              <w:suppressLineNumbers w:val="0"/>
              <w:snapToGrid w:val="0"/>
              <w:spacing w:before="0" w:beforeAutospacing="0" w:after="0" w:afterAutospacing="0" w:line="360" w:lineRule="auto"/>
              <w:ind w:left="0" w:leftChars="0" w:right="0" w:rightChars="0" w:firstLine="640" w:firstLineChars="200"/>
              <w:jc w:val="both"/>
              <w:rPr>
                <w:rFonts w:hint="eastAsia" w:ascii="仿宋_GB2312" w:hAnsi="仿宋" w:eastAsia="仿宋_GB2312" w:cs="Times New Roman"/>
                <w:kern w:val="2"/>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906" w:type="dxa"/>
            <w:noWrap w:val="0"/>
            <w:vAlign w:val="top"/>
          </w:tcPr>
          <w:p>
            <w:pPr>
              <w:keepNext w:val="0"/>
              <w:keepLines w:val="0"/>
              <w:widowControl w:val="0"/>
              <w:suppressLineNumbers w:val="0"/>
              <w:snapToGrid w:val="0"/>
              <w:spacing w:before="0" w:beforeAutospacing="0" w:after="0" w:afterAutospacing="0" w:line="360" w:lineRule="auto"/>
              <w:ind w:left="0" w:right="0" w:firstLine="640" w:firstLineChars="200"/>
              <w:jc w:val="both"/>
              <w:rPr>
                <w:rFonts w:hint="eastAsia" w:ascii="仿宋_GB2312" w:hAnsi="仿宋" w:eastAsia="仿宋_GB2312" w:cs="Times New Roman"/>
                <w:kern w:val="2"/>
                <w:sz w:val="32"/>
                <w:szCs w:val="32"/>
                <w:lang w:val="en-US" w:eastAsia="zh-CN" w:bidi="ar-SA"/>
              </w:rPr>
            </w:pPr>
          </w:p>
        </w:tc>
        <w:tc>
          <w:tcPr>
            <w:tcW w:w="4113" w:type="dxa"/>
            <w:noWrap w:val="0"/>
            <w:vAlign w:val="center"/>
          </w:tcPr>
          <w:p>
            <w:pPr>
              <w:keepNext w:val="0"/>
              <w:keepLines w:val="0"/>
              <w:widowControl w:val="0"/>
              <w:suppressLineNumbers w:val="0"/>
              <w:snapToGrid w:val="0"/>
              <w:spacing w:before="0" w:beforeAutospacing="0" w:after="0" w:afterAutospacing="0" w:line="360" w:lineRule="auto"/>
              <w:ind w:left="0" w:right="0" w:firstLine="640" w:firstLineChars="200"/>
              <w:jc w:val="center"/>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合计</w:t>
            </w:r>
          </w:p>
        </w:tc>
        <w:tc>
          <w:tcPr>
            <w:tcW w:w="1605" w:type="dxa"/>
            <w:noWrap w:val="0"/>
            <w:vAlign w:val="center"/>
          </w:tcPr>
          <w:p>
            <w:pPr>
              <w:keepNext w:val="0"/>
              <w:keepLines w:val="0"/>
              <w:widowControl w:val="0"/>
              <w:suppressLineNumbers w:val="0"/>
              <w:snapToGrid w:val="0"/>
              <w:spacing w:before="0" w:beforeAutospacing="0" w:after="0" w:afterAutospacing="0" w:line="360" w:lineRule="auto"/>
              <w:ind w:right="0"/>
              <w:jc w:val="center"/>
              <w:rPr>
                <w:rFonts w:hint="eastAsia" w:ascii="仿宋_GB2312" w:hAnsi="仿宋" w:eastAsia="宋体"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1360.56</w:t>
            </w:r>
          </w:p>
        </w:tc>
        <w:tc>
          <w:tcPr>
            <w:tcW w:w="2250" w:type="dxa"/>
            <w:noWrap w:val="0"/>
            <w:vAlign w:val="center"/>
          </w:tcPr>
          <w:p>
            <w:pPr>
              <w:keepNext w:val="0"/>
              <w:keepLines w:val="0"/>
              <w:widowControl w:val="0"/>
              <w:suppressLineNumbers w:val="0"/>
              <w:snapToGrid w:val="0"/>
              <w:spacing w:before="0" w:beforeAutospacing="0" w:after="0" w:afterAutospacing="0" w:line="360" w:lineRule="auto"/>
              <w:ind w:left="0" w:right="0" w:firstLine="640" w:firstLineChars="200"/>
              <w:jc w:val="both"/>
              <w:rPr>
                <w:rFonts w:hint="eastAsia" w:ascii="仿宋_GB2312" w:hAnsi="仿宋" w:eastAsia="仿宋_GB2312" w:cs="Times New Roman"/>
                <w:kern w:val="2"/>
                <w:sz w:val="32"/>
                <w:szCs w:val="32"/>
                <w:lang w:val="en-US" w:eastAsia="zh-CN" w:bidi="ar-SA"/>
              </w:rPr>
            </w:pPr>
          </w:p>
          <w:p>
            <w:pPr>
              <w:keepNext w:val="0"/>
              <w:keepLines w:val="0"/>
              <w:widowControl w:val="0"/>
              <w:suppressLineNumbers w:val="0"/>
              <w:snapToGrid w:val="0"/>
              <w:spacing w:before="0" w:beforeAutospacing="0" w:after="0" w:afterAutospacing="0" w:line="360" w:lineRule="auto"/>
              <w:ind w:left="0" w:right="0" w:firstLine="640" w:firstLineChars="200"/>
              <w:jc w:val="both"/>
              <w:rPr>
                <w:rFonts w:hint="default"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1570.04</w:t>
            </w:r>
          </w:p>
          <w:p>
            <w:pPr>
              <w:pStyle w:val="2"/>
              <w:ind w:left="0" w:leftChars="0" w:firstLine="0" w:firstLineChars="0"/>
              <w:jc w:val="center"/>
              <w:rPr>
                <w:rFonts w:hint="default"/>
                <w:lang w:val="en-US" w:eastAsia="zh-CN"/>
              </w:rPr>
            </w:pPr>
          </w:p>
        </w:tc>
      </w:tr>
    </w:tbl>
    <w:p>
      <w:pPr>
        <w:pStyle w:val="2"/>
        <w:numPr>
          <w:ilvl w:val="0"/>
          <w:numId w:val="0"/>
        </w:numPr>
      </w:pP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Times New Roman" w:hAnsi="Times New Roman" w:eastAsia="仿宋"/>
          <w:sz w:val="32"/>
          <w:szCs w:val="32"/>
        </w:rPr>
      </w:pPr>
      <w:r>
        <w:rPr>
          <w:rFonts w:hint="eastAsia" w:ascii="Times New Roman" w:hAnsi="Times New Roman" w:eastAsia="仿宋"/>
          <w:sz w:val="32"/>
          <w:szCs w:val="32"/>
          <w:lang w:eastAsia="zh-CN"/>
        </w:rPr>
        <w:t>项目预期绩效总</w:t>
      </w:r>
      <w:r>
        <w:rPr>
          <w:rFonts w:ascii="Times New Roman" w:hAnsi="Times New Roman" w:eastAsia="仿宋"/>
          <w:sz w:val="32"/>
          <w:szCs w:val="32"/>
        </w:rPr>
        <w:t>目标，阶段性（当年）的绩效目标和指标：202</w:t>
      </w:r>
      <w:r>
        <w:rPr>
          <w:rFonts w:hint="eastAsia" w:ascii="Times New Roman" w:hAnsi="Times New Roman" w:eastAsia="仿宋"/>
          <w:sz w:val="32"/>
          <w:szCs w:val="32"/>
          <w:lang w:val="en-US" w:eastAsia="zh-CN"/>
        </w:rPr>
        <w:t>5</w:t>
      </w:r>
      <w:r>
        <w:rPr>
          <w:rFonts w:ascii="Times New Roman" w:hAnsi="Times New Roman" w:eastAsia="仿宋"/>
          <w:sz w:val="32"/>
          <w:szCs w:val="32"/>
        </w:rPr>
        <w:t>年，坚持“安全第一”的发展理念，在市</w:t>
      </w:r>
      <w:r>
        <w:rPr>
          <w:rFonts w:hint="eastAsia" w:ascii="Times New Roman" w:hAnsi="Times New Roman" w:eastAsia="仿宋"/>
          <w:sz w:val="32"/>
          <w:szCs w:val="32"/>
          <w:lang w:eastAsia="zh-CN"/>
        </w:rPr>
        <w:t>应急</w:t>
      </w:r>
      <w:r>
        <w:rPr>
          <w:rFonts w:ascii="Times New Roman" w:hAnsi="Times New Roman" w:eastAsia="仿宋"/>
          <w:sz w:val="32"/>
          <w:szCs w:val="32"/>
        </w:rPr>
        <w:t>局精心指导下，县委、县政府的正确领导下，全面贯彻落实习近平总书记关于安全生产的重要指示批示精神，扎实推进安全生产“打非治违百日行动”，深入开展双重预防机制建设，继续保持了安全生产平稳态势</w:t>
      </w:r>
      <w:r>
        <w:rPr>
          <w:rFonts w:hint="eastAsia" w:ascii="Times New Roman" w:hAnsi="Times New Roman" w:eastAsia="仿宋"/>
          <w:sz w:val="32"/>
          <w:szCs w:val="32"/>
        </w:rPr>
        <w:t>。</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widowControl w:val="0"/>
        <w:wordWrap/>
        <w:spacing w:line="560" w:lineRule="exact"/>
        <w:ind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我局根据县财政局全面开展绩效管理的要求，全面开展了对2025年所有</w:t>
      </w:r>
      <w:r>
        <w:rPr>
          <w:rFonts w:hint="eastAsia" w:ascii="仿宋" w:hAnsi="仿宋" w:eastAsia="仿宋"/>
          <w:sz w:val="32"/>
          <w:szCs w:val="32"/>
          <w:lang w:eastAsia="zh-CN"/>
        </w:rPr>
        <w:t>项目</w:t>
      </w:r>
      <w:r>
        <w:rPr>
          <w:rFonts w:hint="eastAsia" w:ascii="仿宋" w:hAnsi="仿宋" w:eastAsia="仿宋"/>
          <w:sz w:val="32"/>
          <w:szCs w:val="32"/>
          <w:lang w:val="en-US" w:eastAsia="zh-CN"/>
        </w:rPr>
        <w:t>的绩效评价，制定了部门自评工作方案，并按照方案计划，主要做了如下工作：成立应急局绩效评价工作领导小组，由单位负责人为组长，分管领导为副组长，相关股室的负责人为成员，由局办公室牵头负责具体的绩效评价工作。</w:t>
      </w:r>
    </w:p>
    <w:p>
      <w:pPr>
        <w:numPr>
          <w:ilvl w:val="0"/>
          <w:numId w:val="0"/>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自评的方法和过程</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1、向涉及项目资金使用的科室下发分项工作，对资金的使用产生的效果开展绩效自查自评，并按要求提供相关资料；</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2、由办公室提供县政府对我局2025年的考核结果和市局对我县的考核结果；</w:t>
      </w:r>
    </w:p>
    <w:p>
      <w:pPr>
        <w:widowControl w:val="0"/>
        <w:wordWrap/>
        <w:spacing w:line="560" w:lineRule="exact"/>
        <w:ind w:left="0" w:leftChars="0" w:right="0" w:firstLine="640" w:firstLineChars="200"/>
        <w:textAlignment w:val="auto"/>
        <w:outlineLvl w:val="9"/>
      </w:pPr>
      <w:r>
        <w:rPr>
          <w:rFonts w:hint="eastAsia" w:ascii="仿宋" w:hAnsi="仿宋" w:eastAsia="仿宋"/>
          <w:sz w:val="32"/>
          <w:szCs w:val="32"/>
          <w:lang w:val="en-US" w:eastAsia="zh-CN"/>
        </w:rPr>
        <w:t>3、由局办公室主任组织财务及相关业务科室人员开展项目现场评价，并对实施过程中形成的书面材料进行核查，根据可适当自查结果和现场评价的情况，以及科室提供资料，由财务统一编制评价报告。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widowControl w:val="0"/>
        <w:wordWrap/>
        <w:adjustRightInd w:val="0"/>
        <w:snapToGrid w:val="0"/>
        <w:spacing w:line="560" w:lineRule="exact"/>
        <w:ind w:left="0" w:leftChars="0" w:right="0" w:firstLine="640" w:firstLineChars="200"/>
        <w:textAlignment w:val="auto"/>
        <w:outlineLvl w:val="9"/>
      </w:pPr>
      <w:r>
        <w:rPr>
          <w:rFonts w:hint="eastAsia" w:ascii="仿宋" w:hAnsi="仿宋" w:eastAsia="仿宋"/>
          <w:sz w:val="32"/>
          <w:szCs w:val="32"/>
          <w:lang w:val="en-US" w:eastAsia="zh-CN"/>
        </w:rPr>
        <w:t>2025年，我部门坚持“安全第一”的工作理念，维</w:t>
      </w:r>
      <w:r>
        <w:rPr>
          <w:rFonts w:ascii="Times New Roman" w:hAnsi="Times New Roman" w:eastAsia="仿宋"/>
          <w:sz w:val="32"/>
          <w:szCs w:val="32"/>
        </w:rPr>
        <w:t>持了安全生产平稳态势</w:t>
      </w:r>
      <w:r>
        <w:rPr>
          <w:rFonts w:hint="eastAsia" w:ascii="Times New Roman" w:hAnsi="Times New Roman" w:eastAsia="仿宋"/>
          <w:sz w:val="32"/>
          <w:szCs w:val="32"/>
          <w:lang w:eastAsia="zh-CN"/>
        </w:rPr>
        <w:t>，基本实现了年初整体绩效目标。</w:t>
      </w:r>
    </w:p>
    <w:p>
      <w:pPr>
        <w:numPr>
          <w:ilvl w:val="0"/>
          <w:numId w:val="2"/>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color w:val="auto"/>
          <w:sz w:val="32"/>
          <w:szCs w:val="32"/>
          <w:lang w:eastAsia="zh-CN"/>
        </w:rPr>
        <w:t>根据绩效文本中分项绩效目标，我部门</w:t>
      </w:r>
      <w:r>
        <w:rPr>
          <w:rFonts w:hint="eastAsia" w:ascii="仿宋" w:hAnsi="仿宋" w:eastAsia="仿宋"/>
          <w:color w:val="auto"/>
          <w:sz w:val="32"/>
          <w:szCs w:val="32"/>
          <w:lang w:val="en-US" w:eastAsia="zh-CN"/>
        </w:rPr>
        <w:t>2025年项目总体完成情况较好，项目质量较高，资金利用充分，预算执行合理，达到了较好的反馈效果。</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得分</w:t>
      </w:r>
      <w:r>
        <w:rPr>
          <w:rFonts w:hint="eastAsia" w:ascii="仿宋" w:hAnsi="仿宋" w:eastAsia="仿宋"/>
          <w:sz w:val="32"/>
          <w:szCs w:val="32"/>
          <w:lang w:val="en-US" w:eastAsia="zh-CN"/>
        </w:rPr>
        <w:t>90</w:t>
      </w:r>
      <w:r>
        <w:rPr>
          <w:rFonts w:hint="eastAsia" w:ascii="仿宋" w:hAnsi="仿宋" w:eastAsia="仿宋"/>
          <w:sz w:val="32"/>
          <w:szCs w:val="32"/>
        </w:rPr>
        <w:t>分，综合绩效评价等级为优秀</w:t>
      </w:r>
      <w:r>
        <w:rPr>
          <w:rFonts w:hint="eastAsia" w:ascii="仿宋" w:hAnsi="仿宋" w:eastAsia="仿宋"/>
          <w:color w:val="auto"/>
          <w:sz w:val="32"/>
          <w:szCs w:val="32"/>
          <w:lang w:val="en-US" w:eastAsia="zh-CN"/>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1.部分项目开展进度较预算而言，相对迟缓；</w:t>
      </w:r>
    </w:p>
    <w:p>
      <w:pPr>
        <w:keepNext w:val="0"/>
        <w:keepLines w:val="0"/>
        <w:pageBreakBefore w:val="0"/>
        <w:widowControl w:val="0"/>
        <w:kinsoku/>
        <w:wordWrap/>
        <w:overflowPunct/>
        <w:topLinePunct w:val="0"/>
        <w:autoSpaceDE/>
        <w:autoSpaceDN/>
        <w:bidi w:val="0"/>
        <w:adjustRightInd/>
        <w:snapToGrid/>
        <w:spacing w:line="560" w:lineRule="exact"/>
        <w:ind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2.对绩效评价工作“谁使用、谁评价”的原则执行不够到位；</w:t>
      </w:r>
    </w:p>
    <w:p>
      <w:pPr>
        <w:keepNext w:val="0"/>
        <w:keepLines w:val="0"/>
        <w:pageBreakBefore w:val="0"/>
        <w:widowControl w:val="0"/>
        <w:kinsoku/>
        <w:wordWrap/>
        <w:overflowPunct/>
        <w:topLinePunct w:val="0"/>
        <w:autoSpaceDE/>
        <w:autoSpaceDN/>
        <w:bidi w:val="0"/>
        <w:adjustRightInd/>
        <w:snapToGrid/>
        <w:spacing w:line="560" w:lineRule="exact"/>
        <w:ind w:right="0" w:firstLine="640" w:firstLineChars="200"/>
        <w:textAlignment w:val="auto"/>
        <w:outlineLvl w:val="9"/>
      </w:pPr>
      <w:r>
        <w:rPr>
          <w:rFonts w:hint="eastAsia" w:ascii="仿宋" w:hAnsi="仿宋" w:eastAsia="仿宋"/>
          <w:sz w:val="32"/>
          <w:szCs w:val="32"/>
          <w:lang w:val="en-US" w:eastAsia="zh-CN"/>
        </w:rPr>
        <w:t>3.项目成本管理目标设置还不够具体，对项目资金使用成本的控制有待进一步加强。</w:t>
      </w:r>
    </w:p>
    <w:p>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widowControl w:val="0"/>
        <w:wordWrap/>
        <w:spacing w:line="560" w:lineRule="exact"/>
        <w:ind w:left="0" w:leftChars="0" w:right="0" w:firstLine="640" w:firstLineChars="200"/>
        <w:textAlignment w:val="auto"/>
        <w:outlineLvl w:val="9"/>
      </w:pPr>
      <w:r>
        <w:rPr>
          <w:rFonts w:hint="eastAsia" w:ascii="仿宋" w:hAnsi="仿宋" w:eastAsia="仿宋"/>
          <w:sz w:val="32"/>
          <w:szCs w:val="32"/>
          <w:lang w:val="en-US" w:eastAsia="zh-CN"/>
        </w:rPr>
        <w:t>针对我部门发现的问题，在今后的工作开展中采取以下措施：1、进一步增强力量，强化财务人员学习培训；2加强绩效评价管理制度和流程的建设，进一步深化、完善绩效管理体系，建立全过程的预算绩效管理机制；4、是规范绩效评价管理资料的收集整理，确保相关信息完善、可靠，客观公正地反映项目资金实际使用和产生的绩效状况。</w:t>
      </w:r>
    </w:p>
    <w:p>
      <w:pPr>
        <w:spacing w:line="560" w:lineRule="exact"/>
        <w:ind w:firstLine="640" w:firstLineChars="200"/>
        <w:rPr>
          <w:rFonts w:ascii="楷体" w:hAnsi="楷体" w:eastAsia="楷体"/>
          <w:bCs/>
          <w:sz w:val="32"/>
          <w:szCs w:val="32"/>
        </w:rPr>
      </w:pPr>
    </w:p>
    <w:p>
      <w:pPr>
        <w:pStyle w:val="2"/>
        <w:rPr>
          <w:rFonts w:ascii="楷体" w:hAnsi="楷体" w:eastAsia="楷体"/>
          <w:bCs/>
          <w:sz w:val="32"/>
          <w:szCs w:val="32"/>
        </w:rPr>
      </w:pPr>
    </w:p>
    <w:p>
      <w:pPr>
        <w:pStyle w:val="3"/>
        <w:rPr>
          <w:rFonts w:ascii="楷体" w:hAnsi="楷体" w:eastAsia="楷体"/>
          <w:bCs/>
          <w:sz w:val="32"/>
          <w:szCs w:val="32"/>
        </w:rPr>
      </w:pPr>
    </w:p>
    <w:p>
      <w:pPr>
        <w:rPr>
          <w:rFonts w:ascii="楷体" w:hAnsi="楷体" w:eastAsia="楷体"/>
          <w:bCs/>
          <w:sz w:val="32"/>
          <w:szCs w:val="32"/>
        </w:rPr>
      </w:pPr>
    </w:p>
    <w:p>
      <w:pPr>
        <w:pStyle w:val="2"/>
        <w:rPr>
          <w:rFonts w:ascii="楷体" w:hAnsi="楷体" w:eastAsia="楷体"/>
          <w:bCs/>
          <w:sz w:val="32"/>
          <w:szCs w:val="32"/>
        </w:rPr>
      </w:pPr>
    </w:p>
    <w:p>
      <w:pPr>
        <w:pStyle w:val="3"/>
        <w:rPr>
          <w:rFonts w:ascii="楷体" w:hAnsi="楷体" w:eastAsia="楷体"/>
          <w:bCs/>
          <w:sz w:val="32"/>
          <w:szCs w:val="32"/>
        </w:rPr>
      </w:pPr>
    </w:p>
    <w:p/>
    <w:p>
      <w:pPr>
        <w:pStyle w:val="2"/>
        <w:rPr>
          <w:rFonts w:ascii="楷体" w:hAnsi="楷体" w:eastAsia="楷体"/>
          <w:bCs/>
          <w:sz w:val="32"/>
          <w:szCs w:val="32"/>
        </w:rPr>
      </w:pPr>
    </w:p>
    <w:p/>
    <w:p>
      <w:pPr>
        <w:numPr>
          <w:ilvl w:val="0"/>
          <w:numId w:val="3"/>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w:t>
      </w:r>
    </w:p>
    <w:tbl>
      <w:tblPr>
        <w:tblStyle w:val="7"/>
        <w:tblpPr w:leftFromText="180" w:rightFromText="180" w:vertAnchor="text" w:horzAnchor="page" w:tblpX="1090" w:tblpY="607"/>
        <w:tblOverlap w:val="never"/>
        <w:tblW w:w="100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7"/>
        <w:gridCol w:w="2900"/>
        <w:gridCol w:w="3068"/>
        <w:gridCol w:w="2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1697"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姓名</w:t>
            </w:r>
          </w:p>
        </w:tc>
        <w:tc>
          <w:tcPr>
            <w:tcW w:w="2900"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工作单位</w:t>
            </w:r>
          </w:p>
        </w:tc>
        <w:tc>
          <w:tcPr>
            <w:tcW w:w="3068"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职务</w:t>
            </w:r>
          </w:p>
        </w:tc>
        <w:tc>
          <w:tcPr>
            <w:tcW w:w="2342"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1" w:hRule="atLeast"/>
        </w:trPr>
        <w:tc>
          <w:tcPr>
            <w:tcW w:w="1697"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焦雷军</w:t>
            </w:r>
          </w:p>
        </w:tc>
        <w:tc>
          <w:tcPr>
            <w:tcW w:w="2900"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单位负责人</w:t>
            </w:r>
          </w:p>
        </w:tc>
        <w:tc>
          <w:tcPr>
            <w:tcW w:w="2342" w:type="dxa"/>
            <w:vAlign w:val="center"/>
          </w:tcPr>
          <w:p>
            <w:pPr>
              <w:jc w:val="center"/>
              <w:rPr>
                <w:rFonts w:hint="eastAsia" w:ascii="方正仿宋简体" w:hAnsi="方正仿宋简体" w:eastAsia="方正仿宋简体" w:cs="方正仿宋简体"/>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4" w:hRule="atLeast"/>
        </w:trPr>
        <w:tc>
          <w:tcPr>
            <w:tcW w:w="1697"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康建华</w:t>
            </w:r>
          </w:p>
        </w:tc>
        <w:tc>
          <w:tcPr>
            <w:tcW w:w="2900"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副局长</w:t>
            </w:r>
          </w:p>
        </w:tc>
        <w:tc>
          <w:tcPr>
            <w:tcW w:w="2342" w:type="dxa"/>
            <w:vAlign w:val="center"/>
          </w:tcPr>
          <w:p>
            <w:pPr>
              <w:jc w:val="center"/>
              <w:rPr>
                <w:rFonts w:hint="eastAsia" w:ascii="方正仿宋简体" w:hAnsi="方正仿宋简体" w:eastAsia="方正仿宋简体" w:cs="方正仿宋简体"/>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1" w:hRule="atLeast"/>
        </w:trPr>
        <w:tc>
          <w:tcPr>
            <w:tcW w:w="1697"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栾海庭</w:t>
            </w:r>
          </w:p>
        </w:tc>
        <w:tc>
          <w:tcPr>
            <w:tcW w:w="2900"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副局长</w:t>
            </w:r>
          </w:p>
        </w:tc>
        <w:tc>
          <w:tcPr>
            <w:tcW w:w="2342" w:type="dxa"/>
            <w:vAlign w:val="center"/>
          </w:tcPr>
          <w:p>
            <w:pPr>
              <w:jc w:val="center"/>
              <w:rPr>
                <w:rFonts w:hint="eastAsia" w:ascii="方正仿宋简体" w:hAnsi="方正仿宋简体" w:eastAsia="方正仿宋简体" w:cs="方正仿宋简体"/>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trPr>
        <w:tc>
          <w:tcPr>
            <w:tcW w:w="1697"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贾庆玲</w:t>
            </w:r>
          </w:p>
        </w:tc>
        <w:tc>
          <w:tcPr>
            <w:tcW w:w="2900"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副局长</w:t>
            </w:r>
          </w:p>
        </w:tc>
        <w:tc>
          <w:tcPr>
            <w:tcW w:w="2342" w:type="dxa"/>
            <w:vAlign w:val="center"/>
          </w:tcPr>
          <w:p>
            <w:pPr>
              <w:jc w:val="center"/>
              <w:rPr>
                <w:rFonts w:hint="eastAsia" w:ascii="方正仿宋简体" w:hAnsi="方正仿宋简体" w:eastAsia="方正仿宋简体" w:cs="方正仿宋简体"/>
                <w:kern w:val="2"/>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atLeast"/>
        </w:trPr>
        <w:tc>
          <w:tcPr>
            <w:tcW w:w="1697"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仇鑫</w:t>
            </w:r>
          </w:p>
        </w:tc>
        <w:tc>
          <w:tcPr>
            <w:tcW w:w="2900"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lang w:val="en-US" w:eastAsia="zh-CN"/>
              </w:rPr>
            </w:pPr>
            <w:r>
              <w:rPr>
                <w:rFonts w:hint="eastAsia" w:ascii="方正仿宋简体" w:hAnsi="方正仿宋简体" w:eastAsia="方正仿宋简体" w:cs="方正仿宋简体"/>
                <w:kern w:val="2"/>
                <w:sz w:val="32"/>
                <w:szCs w:val="32"/>
                <w:lang w:val="en-US" w:eastAsia="zh-CN" w:bidi="ar-SA"/>
              </w:rPr>
              <w:t>防火救灾股 股长</w:t>
            </w:r>
          </w:p>
        </w:tc>
        <w:tc>
          <w:tcPr>
            <w:tcW w:w="2342" w:type="dxa"/>
            <w:vAlign w:val="center"/>
          </w:tcPr>
          <w:p>
            <w:pPr>
              <w:jc w:val="center"/>
              <w:rPr>
                <w:rFonts w:hint="eastAsia" w:ascii="方正仿宋简体" w:hAnsi="方正仿宋简体" w:eastAsia="方正仿宋简体" w:cs="方正仿宋简体"/>
                <w:kern w:val="2"/>
                <w:sz w:val="32"/>
                <w:szCs w:val="32"/>
                <w:lang w:val="en-US" w:eastAsia="zh-CN" w:bidi="ar-SA"/>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trPr>
        <w:tc>
          <w:tcPr>
            <w:tcW w:w="1697"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梁鹏</w:t>
            </w:r>
          </w:p>
        </w:tc>
        <w:tc>
          <w:tcPr>
            <w:tcW w:w="2900"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lang w:val="en-US" w:eastAsia="zh-CN"/>
              </w:rPr>
            </w:pPr>
            <w:r>
              <w:rPr>
                <w:rFonts w:hint="eastAsia" w:ascii="方正仿宋简体" w:hAnsi="方正仿宋简体" w:eastAsia="方正仿宋简体" w:cs="方正仿宋简体"/>
                <w:kern w:val="2"/>
                <w:sz w:val="32"/>
                <w:szCs w:val="32"/>
                <w:lang w:val="en-US" w:eastAsia="zh-CN" w:bidi="ar-SA"/>
              </w:rPr>
              <w:t>防汛减灾股 股长</w:t>
            </w:r>
          </w:p>
        </w:tc>
        <w:tc>
          <w:tcPr>
            <w:tcW w:w="2342" w:type="dxa"/>
            <w:vAlign w:val="center"/>
          </w:tcPr>
          <w:p>
            <w:pPr>
              <w:jc w:val="center"/>
              <w:rPr>
                <w:rFonts w:hint="eastAsia" w:ascii="方正仿宋简体" w:hAnsi="方正仿宋简体" w:eastAsia="方正仿宋简体" w:cs="方正仿宋简体"/>
                <w:kern w:val="2"/>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trPr>
        <w:tc>
          <w:tcPr>
            <w:tcW w:w="1697"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毕江海</w:t>
            </w:r>
          </w:p>
        </w:tc>
        <w:tc>
          <w:tcPr>
            <w:tcW w:w="2900"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lang w:val="en-US" w:eastAsia="zh-CN"/>
              </w:rPr>
            </w:pPr>
            <w:r>
              <w:rPr>
                <w:rFonts w:hint="eastAsia" w:ascii="方正仿宋简体" w:hAnsi="方正仿宋简体" w:eastAsia="方正仿宋简体" w:cs="方正仿宋简体"/>
                <w:kern w:val="2"/>
                <w:sz w:val="32"/>
                <w:szCs w:val="32"/>
                <w:lang w:val="en-US" w:eastAsia="zh-CN" w:bidi="ar-SA"/>
              </w:rPr>
              <w:t>综合二股 股长</w:t>
            </w:r>
          </w:p>
        </w:tc>
        <w:tc>
          <w:tcPr>
            <w:tcW w:w="2342" w:type="dxa"/>
            <w:vAlign w:val="center"/>
          </w:tcPr>
          <w:p>
            <w:pPr>
              <w:jc w:val="center"/>
              <w:rPr>
                <w:rFonts w:hint="eastAsia" w:ascii="方正仿宋简体" w:hAnsi="方正仿宋简体" w:eastAsia="方正仿宋简体" w:cs="方正仿宋简体"/>
                <w:kern w:val="2"/>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trPr>
        <w:tc>
          <w:tcPr>
            <w:tcW w:w="1697"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王婧</w:t>
            </w:r>
          </w:p>
        </w:tc>
        <w:tc>
          <w:tcPr>
            <w:tcW w:w="2900"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办公室主任</w:t>
            </w:r>
          </w:p>
        </w:tc>
        <w:tc>
          <w:tcPr>
            <w:tcW w:w="2342" w:type="dxa"/>
            <w:vAlign w:val="center"/>
          </w:tcPr>
          <w:p>
            <w:pPr>
              <w:jc w:val="center"/>
              <w:rPr>
                <w:rFonts w:hint="eastAsia" w:ascii="方正仿宋简体" w:hAnsi="方正仿宋简体" w:eastAsia="方正仿宋简体" w:cs="方正仿宋简体"/>
                <w:kern w:val="2"/>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atLeast"/>
        </w:trPr>
        <w:tc>
          <w:tcPr>
            <w:tcW w:w="1697"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许丽娜</w:t>
            </w:r>
          </w:p>
        </w:tc>
        <w:tc>
          <w:tcPr>
            <w:tcW w:w="2900"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工作人员</w:t>
            </w:r>
          </w:p>
        </w:tc>
        <w:tc>
          <w:tcPr>
            <w:tcW w:w="2342" w:type="dxa"/>
            <w:vAlign w:val="center"/>
          </w:tcPr>
          <w:p>
            <w:pPr>
              <w:jc w:val="center"/>
              <w:rPr>
                <w:rFonts w:hint="eastAsia" w:ascii="方正仿宋简体" w:hAnsi="方正仿宋简体" w:eastAsia="方正仿宋简体" w:cs="方正仿宋简体"/>
                <w:kern w:val="2"/>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0" w:hRule="atLeast"/>
        </w:trPr>
        <w:tc>
          <w:tcPr>
            <w:tcW w:w="1697"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孟雪楠</w:t>
            </w:r>
          </w:p>
        </w:tc>
        <w:tc>
          <w:tcPr>
            <w:tcW w:w="2900"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lang w:val="en-US" w:eastAsia="zh-CN"/>
              </w:rPr>
              <w:t>工作人员</w:t>
            </w:r>
          </w:p>
        </w:tc>
        <w:tc>
          <w:tcPr>
            <w:tcW w:w="2342" w:type="dxa"/>
            <w:vAlign w:val="center"/>
          </w:tcPr>
          <w:p>
            <w:pPr>
              <w:jc w:val="center"/>
              <w:rPr>
                <w:rFonts w:hint="eastAsia" w:ascii="方正仿宋简体" w:hAnsi="方正仿宋简体" w:eastAsia="方正仿宋简体" w:cs="方正仿宋简体"/>
                <w:kern w:val="2"/>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trPr>
        <w:tc>
          <w:tcPr>
            <w:tcW w:w="1697" w:type="dxa"/>
            <w:vAlign w:val="center"/>
          </w:tcPr>
          <w:p>
            <w:pPr>
              <w:jc w:val="center"/>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高博彤</w:t>
            </w:r>
          </w:p>
        </w:tc>
        <w:tc>
          <w:tcPr>
            <w:tcW w:w="2900"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井陉县应急管理局</w:t>
            </w:r>
          </w:p>
        </w:tc>
        <w:tc>
          <w:tcPr>
            <w:tcW w:w="3068" w:type="dxa"/>
            <w:vAlign w:val="center"/>
          </w:tcPr>
          <w:p>
            <w:pPr>
              <w:jc w:val="center"/>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财务会计</w:t>
            </w:r>
          </w:p>
        </w:tc>
        <w:tc>
          <w:tcPr>
            <w:tcW w:w="2342" w:type="dxa"/>
            <w:vAlign w:val="center"/>
          </w:tcPr>
          <w:p>
            <w:pPr>
              <w:jc w:val="center"/>
              <w:rPr>
                <w:rFonts w:hint="eastAsia" w:ascii="方正仿宋简体" w:hAnsi="方正仿宋简体" w:eastAsia="方正仿宋简体" w:cs="方正仿宋简体"/>
                <w:kern w:val="2"/>
                <w:sz w:val="32"/>
                <w:szCs w:val="32"/>
                <w:lang w:val="en-US" w:eastAsia="zh-CN" w:bidi="ar-SA"/>
              </w:rPr>
            </w:pPr>
          </w:p>
        </w:tc>
      </w:tr>
    </w:tbl>
    <w:p>
      <w:pPr>
        <w:pStyle w:val="2"/>
        <w:numPr>
          <w:ilvl w:val="0"/>
          <w:numId w:val="0"/>
        </w:num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仿宋简体">
    <w:altName w:val="方正仿宋_GBK"/>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WAAAAZHJzL1BLAQIUABQAAAAIAIdO4kDOqXm5zwAAAAUBAAAPAAAAAAAAAAEAIAAAADgAAABk&#10;cnMvZG93bnJldi54bWxQSwECFAAUAAAACACHTuJAy2adD8ABAACdAwAADgAAAAAAAAABACAAAAA0&#10;AQAAZHJzL2Uyb0RvYy54bWxQSwUGAAAAAAYABgBZAQAAZ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FA1F98"/>
    <w:multiLevelType w:val="singleLevel"/>
    <w:tmpl w:val="D5FA1F98"/>
    <w:lvl w:ilvl="0" w:tentative="0">
      <w:start w:val="2"/>
      <w:numFmt w:val="chineseCounting"/>
      <w:suff w:val="nothing"/>
      <w:lvlText w:val="（%1）"/>
      <w:lvlJc w:val="left"/>
      <w:pPr>
        <w:ind w:left="20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7BDB487B"/>
    <w:multiLevelType w:val="singleLevel"/>
    <w:tmpl w:val="7BDB487B"/>
    <w:lvl w:ilvl="0" w:tentative="0">
      <w:start w:val="6"/>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AAF0063"/>
    <w:rsid w:val="1BE140DE"/>
    <w:rsid w:val="1EED405E"/>
    <w:rsid w:val="248C197D"/>
    <w:rsid w:val="252959AF"/>
    <w:rsid w:val="277A6671"/>
    <w:rsid w:val="292D35B7"/>
    <w:rsid w:val="31151E97"/>
    <w:rsid w:val="33EB6CFF"/>
    <w:rsid w:val="35A12947"/>
    <w:rsid w:val="37387040"/>
    <w:rsid w:val="3B0548E0"/>
    <w:rsid w:val="3B625C0A"/>
    <w:rsid w:val="3CEE1963"/>
    <w:rsid w:val="436B78D3"/>
    <w:rsid w:val="48B60C1B"/>
    <w:rsid w:val="4C9C27FE"/>
    <w:rsid w:val="512260B4"/>
    <w:rsid w:val="52BD6ACB"/>
    <w:rsid w:val="55537534"/>
    <w:rsid w:val="561A74F1"/>
    <w:rsid w:val="597244E8"/>
    <w:rsid w:val="5EB71C30"/>
    <w:rsid w:val="66AF0CE5"/>
    <w:rsid w:val="6AA27932"/>
    <w:rsid w:val="6AC537CF"/>
    <w:rsid w:val="6E5B14A6"/>
    <w:rsid w:val="711B255E"/>
    <w:rsid w:val="77F78FE3"/>
    <w:rsid w:val="7BB51E06"/>
    <w:rsid w:val="7C387F7C"/>
    <w:rsid w:val="7FE83423"/>
    <w:rsid w:val="B7F7FD93"/>
    <w:rsid w:val="DFEFFAC2"/>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4"/>
    <w:basedOn w:val="1"/>
    <w:next w:val="1"/>
    <w:unhideWhenUsed/>
    <w:qFormat/>
    <w:uiPriority w:val="0"/>
    <w:pPr>
      <w:keepNext/>
      <w:keepLines/>
      <w:spacing w:before="280" w:beforeLines="0" w:after="290" w:afterLines="0" w:line="374" w:lineRule="auto"/>
      <w:outlineLvl w:val="3"/>
    </w:pPr>
    <w:rPr>
      <w:rFonts w:ascii="Arial" w:hAnsi="Arial" w:eastAsia="黑体"/>
      <w:b/>
      <w:bCs/>
      <w:sz w:val="28"/>
      <w:szCs w:val="28"/>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widowControl w:val="0"/>
      <w:ind w:firstLine="420" w:firstLineChars="200"/>
      <w:jc w:val="both"/>
    </w:pPr>
    <w:rPr>
      <w:rFonts w:ascii="Times New Roman" w:hAnsi="Times New Roman" w:eastAsia="仿宋_GB2312" w:cs="Times New Roman"/>
      <w:kern w:val="2"/>
      <w:sz w:val="30"/>
      <w:szCs w:val="24"/>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正文-公1"/>
    <w:basedOn w:val="10"/>
    <w:next w:val="1"/>
    <w:qFormat/>
    <w:uiPriority w:val="0"/>
    <w:pPr>
      <w:ind w:firstLine="200" w:firstLineChars="200"/>
    </w:pPr>
  </w:style>
  <w:style w:type="paragraph" w:customStyle="1" w:styleId="10">
    <w:name w:val="正文 New New New New New New New New New New New New New New New New New New New New New New New New New New New New New New New New New New New New New New New New New New New New New New New New New New New New New New New New New New New New New New Ne"/>
    <w:next w:val="9"/>
    <w:qFormat/>
    <w:uiPriority w:val="0"/>
    <w:pPr>
      <w:widowControl w:val="0"/>
      <w:jc w:val="both"/>
    </w:pPr>
    <w:rPr>
      <w:rFonts w:ascii="Times New Roman" w:hAnsi="Times New Roman" w:eastAsia="宋体" w:cs="Times New Roman"/>
      <w:kern w:val="2"/>
      <w:sz w:val="21"/>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3</TotalTime>
  <ScaleCrop>false</ScaleCrop>
  <LinksUpToDate>false</LinksUpToDate>
  <CharactersWithSpaces>669</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uos</cp:lastModifiedBy>
  <cp:lastPrinted>2024-03-06T23:40:00Z</cp:lastPrinted>
  <dcterms:modified xsi:type="dcterms:W3CDTF">2026-04-16T11:15:28Z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807859DDDB204D7484EDDFBB4E9D1D2E</vt:lpwstr>
  </property>
</Properties>
</file>