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井陉县妇女联合会</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井陉县妇女联合会</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1．主要职能</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(1)组织引导妇女学习贯彻习近平新时代中国特色社会主义思想和党的路线方针政策，用中国特色社会主义共同理想凝聚妇女。</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团结动员妇女群众投身改革开放和经济建设、政治建设、文化建设、社会建设、生态文明建设，注重发挥妇女在社会生活和家庭生活中的独特作用，为中国特色社会主义伟大实践作贡献。</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3</w:t>
      </w:r>
      <w:r>
        <w:rPr>
          <w:rFonts w:hint="eastAsia" w:ascii="仿宋" w:hAnsi="仿宋" w:eastAsia="仿宋"/>
          <w:sz w:val="32"/>
          <w:szCs w:val="32"/>
          <w:lang w:eastAsia="zh-CN"/>
        </w:rPr>
        <w:t>)协助有关部门维护妇女儿童合法权益。</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4</w:t>
      </w:r>
      <w:r>
        <w:rPr>
          <w:rFonts w:hint="eastAsia" w:ascii="仿宋" w:hAnsi="仿宋" w:eastAsia="仿宋"/>
          <w:sz w:val="32"/>
          <w:szCs w:val="32"/>
          <w:lang w:eastAsia="zh-CN"/>
        </w:rPr>
        <w:t>)教育引导妇女树立自尊、自信、自立、自强的精神，实现全面发展。</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5</w:t>
      </w:r>
      <w:r>
        <w:rPr>
          <w:rFonts w:hint="eastAsia" w:ascii="仿宋" w:hAnsi="仿宋" w:eastAsia="仿宋"/>
          <w:sz w:val="32"/>
          <w:szCs w:val="32"/>
          <w:lang w:eastAsia="zh-CN"/>
        </w:rPr>
        <w:t>)教育引导妇女践行社会主义核心价值观，弘扬中华优秀文化，支持服务家庭教育，树立良好家风，推动家庭文明新风尚。</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6</w:t>
      </w:r>
      <w:r>
        <w:rPr>
          <w:rFonts w:hint="eastAsia" w:ascii="仿宋" w:hAnsi="仿宋" w:eastAsia="仿宋"/>
          <w:sz w:val="32"/>
          <w:szCs w:val="32"/>
          <w:lang w:eastAsia="zh-CN"/>
        </w:rPr>
        <w:t>)拓宽服务渠道，联系和引导女性社会组织加强与社会各界的协作，推动全社会为妇女儿童和家庭服务。</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7</w:t>
      </w:r>
      <w:r>
        <w:rPr>
          <w:rFonts w:hint="eastAsia" w:ascii="仿宋" w:hAnsi="仿宋" w:eastAsia="仿宋"/>
          <w:sz w:val="32"/>
          <w:szCs w:val="32"/>
          <w:lang w:eastAsia="zh-CN"/>
        </w:rPr>
        <w:t>)指导各基层妇联依据《中华全国妇女联合会章程》开展好妇女儿童工作。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8</w:t>
      </w:r>
      <w:r>
        <w:rPr>
          <w:rFonts w:hint="eastAsia" w:ascii="仿宋" w:hAnsi="仿宋" w:eastAsia="仿宋"/>
          <w:sz w:val="32"/>
          <w:szCs w:val="32"/>
          <w:lang w:eastAsia="zh-CN"/>
        </w:rPr>
        <w:t>)承办县委、县政府和上级妇联交办的其他任务。</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2．机构情况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井陉县妇女联合会是财政拨款的正科级行政单位，编制5人，无下设机构，无变动。</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3．人员情况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202</w:t>
      </w:r>
      <w:r>
        <w:rPr>
          <w:rFonts w:hint="eastAsia" w:ascii="仿宋" w:hAnsi="仿宋" w:eastAsia="仿宋"/>
          <w:sz w:val="32"/>
          <w:szCs w:val="32"/>
          <w:lang w:val="en-US" w:eastAsia="zh-CN"/>
        </w:rPr>
        <w:t>5</w:t>
      </w:r>
      <w:r>
        <w:rPr>
          <w:rFonts w:hint="eastAsia" w:ascii="仿宋" w:hAnsi="仿宋" w:eastAsia="仿宋"/>
          <w:sz w:val="32"/>
          <w:szCs w:val="32"/>
          <w:lang w:eastAsia="zh-CN"/>
        </w:rPr>
        <w:t>年末实有人数</w:t>
      </w:r>
      <w:r>
        <w:rPr>
          <w:rFonts w:hint="eastAsia" w:ascii="仿宋" w:hAnsi="仿宋" w:eastAsia="仿宋"/>
          <w:sz w:val="32"/>
          <w:szCs w:val="32"/>
          <w:lang w:val="en-US" w:eastAsia="zh-CN"/>
        </w:rPr>
        <w:t>5</w:t>
      </w:r>
      <w:r>
        <w:rPr>
          <w:rFonts w:hint="eastAsia" w:ascii="仿宋" w:hAnsi="仿宋" w:eastAsia="仿宋"/>
          <w:sz w:val="32"/>
          <w:szCs w:val="32"/>
          <w:lang w:eastAsia="zh-CN"/>
        </w:rPr>
        <w:t>人，与上年末实有人数相比无变化。</w:t>
      </w: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snapToGrid w:val="0"/>
        <w:spacing w:line="520" w:lineRule="exact"/>
        <w:ind w:firstLine="640" w:firstLineChars="200"/>
        <w:rPr>
          <w:rFonts w:hint="eastAsia" w:ascii="仿宋_GB2312" w:hAnsi="仿宋" w:eastAsia="仿宋_GB2312"/>
          <w:color w:val="FF0000"/>
          <w:sz w:val="32"/>
          <w:szCs w:val="32"/>
        </w:rPr>
      </w:pPr>
      <w:r>
        <w:rPr>
          <w:rFonts w:hint="eastAsia" w:ascii="仿宋_GB2312" w:hAnsi="仿宋" w:eastAsia="仿宋_GB2312"/>
          <w:sz w:val="32"/>
          <w:szCs w:val="32"/>
        </w:rPr>
        <w:t>202</w:t>
      </w:r>
      <w:r>
        <w:rPr>
          <w:rFonts w:hint="eastAsia" w:ascii="仿宋_GB2312" w:hAnsi="仿宋" w:eastAsia="仿宋_GB2312"/>
          <w:sz w:val="32"/>
          <w:szCs w:val="32"/>
          <w:lang w:val="en-US" w:eastAsia="zh-CN"/>
        </w:rPr>
        <w:t>5</w:t>
      </w:r>
      <w:r>
        <w:rPr>
          <w:rFonts w:hint="eastAsia" w:ascii="仿宋_GB2312" w:hAnsi="仿宋" w:eastAsia="仿宋_GB2312"/>
          <w:sz w:val="32"/>
          <w:szCs w:val="32"/>
        </w:rPr>
        <w:t>年度</w:t>
      </w:r>
      <w:r>
        <w:rPr>
          <w:rFonts w:hint="eastAsia" w:ascii="仿宋_GB2312" w:hAnsi="仿宋" w:eastAsia="仿宋_GB2312"/>
          <w:sz w:val="32"/>
          <w:szCs w:val="32"/>
          <w:lang w:val="en-US" w:eastAsia="zh-CN"/>
        </w:rPr>
        <w:t>单位</w:t>
      </w:r>
      <w:r>
        <w:rPr>
          <w:rFonts w:hint="eastAsia" w:ascii="仿宋_GB2312" w:hAnsi="仿宋" w:eastAsia="仿宋_GB2312"/>
          <w:sz w:val="32"/>
          <w:szCs w:val="32"/>
        </w:rPr>
        <w:t>总收入</w:t>
      </w:r>
      <w:r>
        <w:rPr>
          <w:rFonts w:hint="eastAsia" w:ascii="仿宋_GB2312" w:hAnsi="仿宋" w:eastAsia="仿宋_GB2312"/>
          <w:sz w:val="32"/>
          <w:szCs w:val="32"/>
          <w:lang w:val="en-US" w:eastAsia="zh-CN"/>
        </w:rPr>
        <w:t>116.78</w:t>
      </w:r>
      <w:r>
        <w:rPr>
          <w:rFonts w:hint="eastAsia" w:ascii="仿宋_GB2312" w:hAnsi="仿宋" w:eastAsia="仿宋_GB2312"/>
          <w:sz w:val="32"/>
          <w:szCs w:val="32"/>
        </w:rPr>
        <w:t>万元，系一般公共预算财政拨款，比年初预算</w:t>
      </w:r>
      <w:r>
        <w:rPr>
          <w:rFonts w:hint="eastAsia" w:ascii="仿宋_GB2312" w:hAnsi="仿宋" w:eastAsia="仿宋_GB2312"/>
          <w:sz w:val="32"/>
          <w:szCs w:val="32"/>
          <w:lang w:val="en-US" w:eastAsia="zh-CN"/>
        </w:rPr>
        <w:t>92.77</w:t>
      </w:r>
      <w:r>
        <w:rPr>
          <w:rFonts w:hint="eastAsia" w:ascii="仿宋_GB2312" w:hAnsi="仿宋" w:eastAsia="仿宋_GB2312"/>
          <w:sz w:val="32"/>
          <w:szCs w:val="32"/>
        </w:rPr>
        <w:t>万元</w:t>
      </w:r>
      <w:r>
        <w:rPr>
          <w:rFonts w:hint="eastAsia" w:ascii="仿宋_GB2312" w:hAnsi="仿宋" w:eastAsia="仿宋_GB2312"/>
          <w:sz w:val="32"/>
          <w:szCs w:val="32"/>
          <w:lang w:val="en-US" w:eastAsia="zh-CN"/>
        </w:rPr>
        <w:t>增加24.01</w:t>
      </w:r>
      <w:r>
        <w:rPr>
          <w:rFonts w:hint="eastAsia" w:ascii="仿宋_GB2312" w:hAnsi="仿宋" w:eastAsia="仿宋_GB2312"/>
          <w:sz w:val="32"/>
          <w:szCs w:val="32"/>
        </w:rPr>
        <w:t>万元；</w:t>
      </w:r>
      <w:r>
        <w:rPr>
          <w:rFonts w:hint="eastAsia" w:ascii="仿宋_GB2312" w:hAnsi="仿宋" w:eastAsia="仿宋_GB2312"/>
          <w:color w:val="auto"/>
          <w:sz w:val="32"/>
          <w:szCs w:val="32"/>
          <w:shd w:val="clear" w:color="auto" w:fill="auto"/>
        </w:rPr>
        <w:t>202</w:t>
      </w:r>
      <w:r>
        <w:rPr>
          <w:rFonts w:hint="eastAsia" w:ascii="仿宋_GB2312" w:hAnsi="仿宋" w:eastAsia="仿宋_GB2312"/>
          <w:color w:val="auto"/>
          <w:sz w:val="32"/>
          <w:szCs w:val="32"/>
          <w:shd w:val="clear" w:color="auto" w:fill="auto"/>
          <w:lang w:val="en-US" w:eastAsia="zh-CN"/>
        </w:rPr>
        <w:t>4</w:t>
      </w:r>
      <w:r>
        <w:rPr>
          <w:rFonts w:hint="eastAsia" w:ascii="仿宋_GB2312" w:hAnsi="仿宋" w:eastAsia="仿宋_GB2312"/>
          <w:color w:val="auto"/>
          <w:sz w:val="32"/>
          <w:szCs w:val="32"/>
          <w:shd w:val="clear" w:color="auto" w:fill="auto"/>
        </w:rPr>
        <w:t>年度总支出为</w:t>
      </w:r>
      <w:r>
        <w:rPr>
          <w:rFonts w:hint="eastAsia" w:ascii="仿宋_GB2312" w:hAnsi="仿宋" w:eastAsia="仿宋_GB2312"/>
          <w:color w:val="auto"/>
          <w:sz w:val="32"/>
          <w:szCs w:val="32"/>
          <w:shd w:val="clear" w:color="auto" w:fill="auto"/>
          <w:lang w:val="en-US" w:eastAsia="zh-CN"/>
        </w:rPr>
        <w:t>74.41</w:t>
      </w:r>
      <w:r>
        <w:rPr>
          <w:rFonts w:hint="eastAsia" w:ascii="仿宋_GB2312" w:hAnsi="仿宋" w:eastAsia="仿宋_GB2312"/>
          <w:color w:val="auto"/>
          <w:sz w:val="32"/>
          <w:szCs w:val="32"/>
          <w:shd w:val="clear" w:color="auto" w:fill="auto"/>
        </w:rPr>
        <w:t>万元，</w:t>
      </w:r>
      <w:r>
        <w:rPr>
          <w:rFonts w:hint="eastAsia" w:ascii="仿宋_GB2312" w:hAnsi="仿宋" w:eastAsia="仿宋_GB2312"/>
          <w:sz w:val="32"/>
          <w:szCs w:val="32"/>
        </w:rPr>
        <w:t>比去年总支出</w:t>
      </w:r>
      <w:r>
        <w:rPr>
          <w:rFonts w:hint="eastAsia" w:ascii="仿宋_GB2312" w:hAnsi="仿宋" w:eastAsia="仿宋_GB2312"/>
          <w:sz w:val="32"/>
          <w:szCs w:val="32"/>
          <w:lang w:val="en-US" w:eastAsia="zh-CN"/>
        </w:rPr>
        <w:t>74.41</w:t>
      </w:r>
      <w:r>
        <w:rPr>
          <w:rFonts w:hint="eastAsia" w:ascii="仿宋_GB2312" w:hAnsi="仿宋" w:eastAsia="仿宋_GB2312"/>
          <w:sz w:val="32"/>
          <w:szCs w:val="32"/>
        </w:rPr>
        <w:t>万元</w:t>
      </w:r>
      <w:r>
        <w:rPr>
          <w:rFonts w:hint="eastAsia" w:ascii="仿宋_GB2312" w:hAnsi="仿宋" w:eastAsia="仿宋_GB2312"/>
          <w:sz w:val="32"/>
          <w:szCs w:val="32"/>
          <w:lang w:val="en-US" w:eastAsia="zh-CN"/>
        </w:rPr>
        <w:t>增加42.37</w:t>
      </w:r>
      <w:r>
        <w:rPr>
          <w:rFonts w:hint="eastAsia" w:ascii="仿宋_GB2312" w:hAnsi="仿宋" w:eastAsia="仿宋_GB2312"/>
          <w:sz w:val="32"/>
          <w:szCs w:val="32"/>
        </w:rPr>
        <w:t>万元，比年初预算</w:t>
      </w:r>
      <w:r>
        <w:rPr>
          <w:rFonts w:hint="eastAsia" w:ascii="仿宋_GB2312" w:hAnsi="仿宋" w:eastAsia="仿宋_GB2312"/>
          <w:sz w:val="32"/>
          <w:szCs w:val="32"/>
          <w:lang w:val="en-US" w:eastAsia="zh-CN"/>
        </w:rPr>
        <w:t>92.77</w:t>
      </w:r>
      <w:r>
        <w:rPr>
          <w:rFonts w:hint="eastAsia" w:ascii="仿宋_GB2312" w:hAnsi="仿宋" w:eastAsia="仿宋_GB2312"/>
          <w:sz w:val="32"/>
          <w:szCs w:val="32"/>
        </w:rPr>
        <w:t>万元</w:t>
      </w:r>
      <w:r>
        <w:rPr>
          <w:rFonts w:hint="eastAsia" w:ascii="仿宋_GB2312" w:hAnsi="仿宋" w:eastAsia="仿宋_GB2312"/>
          <w:sz w:val="32"/>
          <w:szCs w:val="32"/>
          <w:lang w:val="en-US" w:eastAsia="zh-CN"/>
        </w:rPr>
        <w:t>增加24.01</w:t>
      </w:r>
      <w:r>
        <w:rPr>
          <w:rFonts w:hint="eastAsia" w:ascii="仿宋_GB2312" w:hAnsi="仿宋" w:eastAsia="仿宋_GB2312"/>
          <w:sz w:val="32"/>
          <w:szCs w:val="32"/>
        </w:rPr>
        <w:t>万元，完成年初预算数的</w:t>
      </w:r>
      <w:r>
        <w:rPr>
          <w:rFonts w:hint="eastAsia" w:ascii="仿宋_GB2312" w:hAnsi="仿宋" w:eastAsia="仿宋_GB2312"/>
          <w:sz w:val="32"/>
          <w:szCs w:val="32"/>
          <w:lang w:val="en-US" w:eastAsia="zh-CN"/>
        </w:rPr>
        <w:t>125.88</w:t>
      </w:r>
      <w:r>
        <w:rPr>
          <w:rFonts w:hint="eastAsia" w:ascii="仿宋_GB2312" w:hAnsi="仿宋" w:eastAsia="仿宋_GB2312"/>
          <w:sz w:val="32"/>
          <w:szCs w:val="32"/>
        </w:rPr>
        <w:t>%，其中基本支出</w:t>
      </w:r>
      <w:r>
        <w:rPr>
          <w:rFonts w:hint="eastAsia" w:ascii="仿宋_GB2312" w:hAnsi="仿宋" w:eastAsia="仿宋_GB2312"/>
          <w:sz w:val="32"/>
          <w:szCs w:val="32"/>
          <w:lang w:val="en-US" w:eastAsia="zh-CN"/>
        </w:rPr>
        <w:t>95.88</w:t>
      </w:r>
      <w:r>
        <w:rPr>
          <w:rFonts w:hint="eastAsia" w:ascii="仿宋_GB2312" w:hAnsi="仿宋" w:eastAsia="仿宋_GB2312"/>
          <w:sz w:val="32"/>
          <w:szCs w:val="32"/>
        </w:rPr>
        <w:t>万元，项目支出</w:t>
      </w:r>
      <w:r>
        <w:rPr>
          <w:rFonts w:hint="eastAsia" w:ascii="仿宋_GB2312" w:hAnsi="仿宋" w:eastAsia="仿宋_GB2312"/>
          <w:sz w:val="32"/>
          <w:szCs w:val="32"/>
          <w:lang w:val="en-US" w:eastAsia="zh-CN"/>
        </w:rPr>
        <w:t>20.9</w:t>
      </w:r>
      <w:r>
        <w:rPr>
          <w:rFonts w:hint="eastAsia" w:ascii="仿宋_GB2312" w:hAnsi="仿宋" w:eastAsia="仿宋_GB2312"/>
          <w:sz w:val="32"/>
          <w:szCs w:val="32"/>
        </w:rPr>
        <w:t>万元。</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eastAsia="zh-CN"/>
        </w:rPr>
        <w:t>县妇联202</w:t>
      </w:r>
      <w:r>
        <w:rPr>
          <w:rFonts w:hint="eastAsia" w:ascii="仿宋" w:hAnsi="仿宋" w:eastAsia="仿宋"/>
          <w:sz w:val="32"/>
          <w:szCs w:val="32"/>
          <w:lang w:val="en-US" w:eastAsia="zh-CN"/>
        </w:rPr>
        <w:t>5</w:t>
      </w:r>
      <w:r>
        <w:rPr>
          <w:rFonts w:hint="eastAsia" w:ascii="仿宋" w:hAnsi="仿宋" w:eastAsia="仿宋"/>
          <w:sz w:val="32"/>
          <w:szCs w:val="32"/>
          <w:lang w:eastAsia="zh-CN"/>
        </w:rPr>
        <w:t>年认真学习贯彻党的二十大和</w:t>
      </w:r>
      <w:r>
        <w:rPr>
          <w:rFonts w:hint="eastAsia" w:ascii="仿宋_GB2312" w:hAnsi="仿宋" w:eastAsia="仿宋_GB2312"/>
          <w:sz w:val="32"/>
          <w:szCs w:val="32"/>
          <w:lang w:eastAsia="zh-CN"/>
        </w:rPr>
        <w:t>二十届历次</w:t>
      </w:r>
      <w:r>
        <w:rPr>
          <w:rFonts w:hint="eastAsia" w:ascii="仿宋_GB2312" w:hAnsi="仿宋" w:eastAsia="仿宋_GB2312"/>
          <w:sz w:val="32"/>
          <w:szCs w:val="32"/>
        </w:rPr>
        <w:t>全会</w:t>
      </w:r>
      <w:r>
        <w:rPr>
          <w:rFonts w:hint="eastAsia" w:ascii="仿宋" w:hAnsi="仿宋" w:eastAsia="仿宋"/>
          <w:sz w:val="32"/>
          <w:szCs w:val="32"/>
          <w:lang w:eastAsia="zh-CN"/>
        </w:rPr>
        <w:t>精神，牢牢把握桥梁纽带和得力助手的工作定位，在县委、县政府和市妇联的坚强领导下，以服务妇女群众、助力县域发展为核心目标，聚焦政治引领、服务大局、依法履职、家庭建设等重点任务，全力推动妇联工作提质增效、开创新局。</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cs="仿宋"/>
          <w:kern w:val="2"/>
          <w:sz w:val="32"/>
          <w:szCs w:val="32"/>
          <w:lang w:val="en-US" w:eastAsia="zh-CN" w:bidi="ar"/>
        </w:rPr>
        <w:t>根据相关文件要求，县妇联召开了专题会议，成立项目自评小组，制定了工作计划。</w:t>
      </w:r>
    </w:p>
    <w:p>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widowControl w:val="0"/>
        <w:numPr>
          <w:ilvl w:val="0"/>
          <w:numId w:val="0"/>
        </w:numPr>
        <w:wordWrap/>
        <w:spacing w:line="560" w:lineRule="exact"/>
        <w:ind w:left="0" w:leftChars="0" w:right="0" w:rightChars="0" w:firstLine="640" w:firstLineChars="200"/>
        <w:textAlignment w:val="auto"/>
        <w:outlineLvl w:val="9"/>
        <w:rPr>
          <w:rFonts w:hint="eastAsia" w:ascii="仿宋" w:hAnsi="仿宋" w:eastAsia="仿宋" w:cs="楷体_GB2312"/>
          <w:b w:val="0"/>
          <w:bCs w:val="0"/>
          <w:sz w:val="32"/>
          <w:szCs w:val="32"/>
        </w:rPr>
      </w:pPr>
      <w:r>
        <w:rPr>
          <w:rFonts w:hint="eastAsia" w:ascii="仿宋" w:hAnsi="仿宋" w:eastAsia="仿宋" w:cs="楷体_GB2312"/>
          <w:b w:val="0"/>
          <w:bCs w:val="0"/>
          <w:sz w:val="32"/>
          <w:szCs w:val="32"/>
        </w:rPr>
        <w:t>项目采取自评方式，组织开展202</w:t>
      </w:r>
      <w:r>
        <w:rPr>
          <w:rFonts w:hint="eastAsia" w:ascii="仿宋" w:hAnsi="仿宋" w:eastAsia="仿宋" w:cs="楷体_GB2312"/>
          <w:b w:val="0"/>
          <w:bCs w:val="0"/>
          <w:sz w:val="32"/>
          <w:szCs w:val="32"/>
          <w:lang w:val="en-US" w:eastAsia="zh-CN"/>
        </w:rPr>
        <w:t>5</w:t>
      </w:r>
      <w:r>
        <w:rPr>
          <w:rFonts w:hint="eastAsia" w:ascii="仿宋" w:hAnsi="仿宋" w:eastAsia="仿宋" w:cs="楷体_GB2312"/>
          <w:b w:val="0"/>
          <w:bCs w:val="0"/>
          <w:sz w:val="32"/>
          <w:szCs w:val="32"/>
        </w:rPr>
        <w:t>年度财政项目支出绩效自评工作。评价小组采取座谈等方式听取情况，检查项目支出有关账目，收集整理支出相关资料，结合评价内容，按照上级下达的项目支出绩效评价指标体系，自评小组针对申报内容、实施情况、财务管理、社会效益等做出自我评价，认真听取财政部门建议意见，做到有计划、有安排的开展本次自评工作，形成了评价结论。</w:t>
      </w: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3"/>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eastAsia="zh-CN"/>
        </w:rPr>
        <w:t>县妇联202</w:t>
      </w:r>
      <w:r>
        <w:rPr>
          <w:rFonts w:hint="eastAsia" w:ascii="仿宋" w:hAnsi="仿宋" w:eastAsia="仿宋"/>
          <w:sz w:val="32"/>
          <w:szCs w:val="32"/>
          <w:lang w:val="en-US" w:eastAsia="zh-CN"/>
        </w:rPr>
        <w:t>5</w:t>
      </w:r>
      <w:r>
        <w:rPr>
          <w:rFonts w:hint="eastAsia" w:ascii="仿宋" w:hAnsi="仿宋" w:eastAsia="仿宋"/>
          <w:sz w:val="32"/>
          <w:szCs w:val="32"/>
          <w:lang w:eastAsia="zh-CN"/>
        </w:rPr>
        <w:t>年认真学习贯彻党的二十大和</w:t>
      </w:r>
      <w:r>
        <w:rPr>
          <w:rFonts w:hint="eastAsia" w:ascii="仿宋_GB2312" w:hAnsi="仿宋" w:eastAsia="仿宋_GB2312"/>
          <w:sz w:val="32"/>
          <w:szCs w:val="32"/>
          <w:lang w:eastAsia="zh-CN"/>
        </w:rPr>
        <w:t>二十届历次</w:t>
      </w:r>
      <w:r>
        <w:rPr>
          <w:rFonts w:hint="eastAsia" w:ascii="仿宋_GB2312" w:hAnsi="仿宋" w:eastAsia="仿宋_GB2312"/>
          <w:sz w:val="32"/>
          <w:szCs w:val="32"/>
        </w:rPr>
        <w:t>全会</w:t>
      </w:r>
      <w:r>
        <w:rPr>
          <w:rFonts w:hint="eastAsia" w:ascii="仿宋" w:hAnsi="仿宋" w:eastAsia="仿宋"/>
          <w:sz w:val="32"/>
          <w:szCs w:val="32"/>
          <w:lang w:eastAsia="zh-CN"/>
        </w:rPr>
        <w:t>精神，牢牢把握桥梁纽带和得力助手的工作定位，在县委、县政府和市妇联的坚强领导下，以服务妇女群众、助力县域发展为核心目标，聚焦政治引领、服务大局、依法履职、家庭建设等重点任务，全力推动妇联工作提质增效、开创新局。</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1、开展“巾帼心向党”活动</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绩效目标：组织开展三八、六一等“巾帼大宣讲、大学习”；开展妇联干部素质提升行动。</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绩效指标：宣传工作任务完成率</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2、开展民生工程系列活动。</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绩效目标：“低保、特困”两癌妇女宣传、救助；“河北福嫂燕赵家政”活动推进</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 xml:space="preserve">绩效指标：任务目标完成率 </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3、开展“巾帼暖人心”系列活动</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绩效目标：加大政府购买服务力度，丰富儿童友好家园活动，促进儿童快乐成长；开展“爱心敲门情暖万家”巾帼志愿服务。</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绩效指标：工作完成率、任务实现率</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4、开展“巾帼新风尚”活动。</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绩效目标：开展移风易俗，集中推介各具特色的典型；持续巩固建设美丽庭院、精品庭院</w:t>
      </w:r>
      <w:bookmarkStart w:id="0" w:name="_GoBack"/>
      <w:bookmarkEnd w:id="0"/>
      <w:r>
        <w:rPr>
          <w:rFonts w:hint="eastAsia" w:ascii="仿宋" w:hAnsi="仿宋" w:eastAsia="仿宋"/>
          <w:sz w:val="32"/>
          <w:szCs w:val="32"/>
          <w:lang w:eastAsia="zh-CN"/>
        </w:rPr>
        <w:t>。</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 xml:space="preserve">绩效指标：任务完成率 </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5、开展“巾帼新力量”行动。</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绩效目标：开展省市级妇女之家、妇女微家等阵地建设</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绩效指标：工作任务完成率</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6、机关事务管理</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绩效目标：按照202</w:t>
      </w:r>
      <w:r>
        <w:rPr>
          <w:rFonts w:hint="eastAsia" w:ascii="仿宋" w:hAnsi="仿宋" w:eastAsia="仿宋"/>
          <w:sz w:val="32"/>
          <w:szCs w:val="32"/>
          <w:lang w:val="en-US" w:eastAsia="zh-CN"/>
        </w:rPr>
        <w:t>5</w:t>
      </w:r>
      <w:r>
        <w:rPr>
          <w:rFonts w:hint="eastAsia" w:ascii="仿宋" w:hAnsi="仿宋" w:eastAsia="仿宋"/>
          <w:sz w:val="32"/>
          <w:szCs w:val="32"/>
          <w:lang w:eastAsia="zh-CN"/>
        </w:rPr>
        <w:t>年县妇联工作思路，完成机关人事、财务、会务、接待、公文办理、党建、信访、宣传、纪检监察组及机关纪委、离退休人员服务、信息化建设与维护、基础设施建设与维护、文印、等工作，努力将县妇联机关建设成为作风一流、业务一流、服务一流、纪律一流的优秀工作机关。</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eastAsia="zh-CN"/>
        </w:rPr>
        <w:t>绩效指标：工作任务完成率</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根据项目执行情况和项目绩效情况，</w:t>
      </w:r>
      <w:r>
        <w:rPr>
          <w:rFonts w:hint="eastAsia" w:ascii="仿宋" w:hAnsi="仿宋" w:eastAsia="仿宋"/>
          <w:sz w:val="32"/>
          <w:szCs w:val="32"/>
          <w:lang w:val="en-US" w:eastAsia="zh-CN"/>
        </w:rPr>
        <w:t>部门整体</w:t>
      </w:r>
      <w:r>
        <w:rPr>
          <w:rFonts w:hint="eastAsia" w:ascii="仿宋" w:hAnsi="仿宋" w:eastAsia="仿宋"/>
          <w:sz w:val="32"/>
          <w:szCs w:val="32"/>
        </w:rPr>
        <w:t>得分</w:t>
      </w:r>
      <w:r>
        <w:rPr>
          <w:rFonts w:hint="eastAsia" w:ascii="仿宋" w:hAnsi="仿宋" w:eastAsia="仿宋"/>
          <w:sz w:val="32"/>
          <w:szCs w:val="32"/>
          <w:lang w:val="en-US" w:eastAsia="zh-CN"/>
        </w:rPr>
        <w:t>100</w:t>
      </w:r>
      <w:r>
        <w:rPr>
          <w:rFonts w:hint="eastAsia" w:ascii="仿宋" w:hAnsi="仿宋" w:eastAsia="仿宋"/>
          <w:sz w:val="32"/>
          <w:szCs w:val="32"/>
        </w:rPr>
        <w:t>分，项目综合绩效评价等级为优秀。</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widowControl w:val="0"/>
        <w:wordWrap/>
        <w:spacing w:line="560" w:lineRule="exact"/>
        <w:ind w:left="0" w:leftChars="0" w:right="0" w:firstLine="640" w:firstLineChars="200"/>
        <w:textAlignment w:val="auto"/>
        <w:outlineLvl w:val="9"/>
        <w:rPr>
          <w:rFonts w:ascii="仿宋" w:hAnsi="仿宋" w:eastAsia="仿宋" w:cs="仿宋"/>
          <w:spacing w:val="2"/>
          <w:sz w:val="32"/>
          <w:szCs w:val="32"/>
        </w:rPr>
      </w:pPr>
      <w:r>
        <w:rPr>
          <w:rFonts w:hint="eastAsia" w:ascii="仿宋" w:hAnsi="仿宋" w:eastAsia="仿宋" w:cs="仿宋"/>
          <w:sz w:val="32"/>
          <w:szCs w:val="32"/>
          <w:lang w:eastAsia="zh-CN"/>
        </w:rPr>
        <w:t>绩效设置</w:t>
      </w:r>
      <w:r>
        <w:rPr>
          <w:rFonts w:hint="eastAsia" w:ascii="仿宋" w:hAnsi="仿宋" w:eastAsia="仿宋" w:cs="仿宋"/>
          <w:sz w:val="32"/>
          <w:szCs w:val="32"/>
        </w:rPr>
        <w:t>细节、</w:t>
      </w:r>
      <w:r>
        <w:rPr>
          <w:rFonts w:hint="eastAsia" w:ascii="仿宋" w:hAnsi="仿宋" w:eastAsia="仿宋" w:cs="仿宋"/>
          <w:sz w:val="32"/>
          <w:szCs w:val="32"/>
          <w:lang w:eastAsia="zh-CN"/>
        </w:rPr>
        <w:t>项目</w:t>
      </w:r>
      <w:r>
        <w:rPr>
          <w:rFonts w:hint="eastAsia" w:ascii="仿宋" w:hAnsi="仿宋" w:eastAsia="仿宋" w:cs="仿宋"/>
          <w:sz w:val="32"/>
          <w:szCs w:val="32"/>
        </w:rPr>
        <w:t>拓展和优化管理流程上还需要进一步改进和完善。</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ind w:firstLine="640" w:firstLineChars="200"/>
        <w:rPr>
          <w:rFonts w:hint="eastAsia" w:ascii="仿宋_GB2312" w:eastAsia="仿宋_GB2312"/>
          <w:sz w:val="32"/>
          <w:szCs w:val="32"/>
        </w:rPr>
      </w:pPr>
      <w:r>
        <w:rPr>
          <w:rFonts w:hint="eastAsia" w:ascii="仿宋_GB2312" w:hAnsi="微软雅黑" w:eastAsia="仿宋_GB2312"/>
          <w:color w:val="444444"/>
          <w:sz w:val="32"/>
          <w:szCs w:val="32"/>
          <w:lang w:val="en-US" w:eastAsia="zh-CN"/>
        </w:rPr>
        <w:t>1、</w:t>
      </w:r>
      <w:r>
        <w:rPr>
          <w:rFonts w:hint="eastAsia" w:ascii="仿宋_GB2312" w:hAnsi="微软雅黑" w:eastAsia="仿宋_GB2312"/>
          <w:color w:val="444444"/>
          <w:sz w:val="32"/>
          <w:szCs w:val="32"/>
        </w:rPr>
        <w:t>严格预算执行，提高资金使用效率。在执行预算管理过程中，合理、合规、合法的使用财政资金，进一步加强预算支出的审核、跟踪及预算执行情况分析。</w:t>
      </w:r>
    </w:p>
    <w:p>
      <w:pPr>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2</w:t>
      </w:r>
      <w:r>
        <w:rPr>
          <w:rFonts w:hint="eastAsia" w:ascii="仿宋_GB2312" w:eastAsia="仿宋_GB2312"/>
          <w:sz w:val="32"/>
          <w:szCs w:val="32"/>
        </w:rPr>
        <w:t>、</w:t>
      </w:r>
      <w:r>
        <w:rPr>
          <w:rFonts w:hint="eastAsia" w:ascii="仿宋_GB2312" w:hAnsi="微软雅黑" w:eastAsia="仿宋_GB2312"/>
          <w:color w:val="444444"/>
          <w:sz w:val="32"/>
          <w:szCs w:val="32"/>
        </w:rPr>
        <w:t>提高预算编制的科学性、合理性、严谨性和可控性</w:t>
      </w:r>
      <w:r>
        <w:rPr>
          <w:rFonts w:hint="eastAsia" w:ascii="仿宋_GB2312" w:hAnsi="微软雅黑" w:eastAsia="仿宋_GB2312"/>
          <w:color w:val="444444"/>
          <w:sz w:val="32"/>
          <w:szCs w:val="32"/>
          <w:lang w:eastAsia="zh-CN"/>
        </w:rPr>
        <w:t>。</w:t>
      </w: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tbl>
      <w:tblPr>
        <w:tblStyle w:val="4"/>
        <w:tblW w:w="934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1232"/>
        <w:gridCol w:w="2515"/>
        <w:gridCol w:w="4100"/>
        <w:gridCol w:w="15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Ex>
        <w:trPr>
          <w:jc w:val="center"/>
        </w:trPr>
        <w:tc>
          <w:tcPr>
            <w:tcW w:w="123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line="240" w:lineRule="atLeast"/>
              <w:ind w:left="0" w:right="0"/>
              <w:jc w:val="center"/>
              <w:rPr>
                <w:rFonts w:hint="eastAsia" w:ascii="仿宋" w:hAnsi="仿宋" w:eastAsia="仿宋" w:cs="仿宋"/>
                <w:sz w:val="32"/>
                <w:szCs w:val="32"/>
                <w:lang w:val="en-US"/>
              </w:rPr>
            </w:pPr>
            <w:r>
              <w:rPr>
                <w:rFonts w:hint="eastAsia" w:ascii="仿宋" w:hAnsi="仿宋" w:eastAsia="仿宋" w:cs="仿宋"/>
                <w:kern w:val="2"/>
                <w:sz w:val="32"/>
                <w:szCs w:val="32"/>
                <w:lang w:val="en-US" w:eastAsia="zh-CN" w:bidi="ar"/>
              </w:rPr>
              <w:t>姓名</w:t>
            </w:r>
          </w:p>
        </w:tc>
        <w:tc>
          <w:tcPr>
            <w:tcW w:w="2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line="240" w:lineRule="atLeast"/>
              <w:ind w:left="0" w:right="0"/>
              <w:jc w:val="center"/>
              <w:rPr>
                <w:rFonts w:hint="eastAsia" w:ascii="仿宋" w:hAnsi="仿宋" w:eastAsia="仿宋" w:cs="仿宋"/>
                <w:sz w:val="32"/>
                <w:szCs w:val="32"/>
                <w:lang w:val="en-US"/>
              </w:rPr>
            </w:pPr>
            <w:r>
              <w:rPr>
                <w:rFonts w:hint="eastAsia" w:ascii="仿宋" w:hAnsi="仿宋" w:eastAsia="仿宋" w:cs="仿宋"/>
                <w:kern w:val="2"/>
                <w:sz w:val="32"/>
                <w:szCs w:val="32"/>
                <w:lang w:val="en-US" w:eastAsia="zh-CN" w:bidi="ar"/>
              </w:rPr>
              <w:t>工作单位</w:t>
            </w:r>
          </w:p>
        </w:tc>
        <w:tc>
          <w:tcPr>
            <w:tcW w:w="41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line="240" w:lineRule="atLeast"/>
              <w:ind w:left="0" w:right="0"/>
              <w:jc w:val="center"/>
              <w:rPr>
                <w:rFonts w:hint="eastAsia" w:ascii="仿宋" w:hAnsi="仿宋" w:eastAsia="仿宋" w:cs="仿宋"/>
                <w:sz w:val="32"/>
                <w:szCs w:val="32"/>
                <w:lang w:val="en-US"/>
              </w:rPr>
            </w:pPr>
            <w:r>
              <w:rPr>
                <w:rFonts w:hint="eastAsia" w:ascii="仿宋" w:hAnsi="仿宋" w:eastAsia="仿宋" w:cs="仿宋"/>
                <w:kern w:val="2"/>
                <w:sz w:val="32"/>
                <w:szCs w:val="32"/>
                <w:lang w:val="en-US" w:eastAsia="zh-CN" w:bidi="ar"/>
              </w:rPr>
              <w:t>职务</w:t>
            </w: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line="240" w:lineRule="atLeast"/>
              <w:ind w:left="0" w:right="0"/>
              <w:jc w:val="center"/>
              <w:rPr>
                <w:rFonts w:hint="eastAsia" w:ascii="仿宋" w:hAnsi="仿宋" w:eastAsia="仿宋" w:cs="仿宋"/>
                <w:sz w:val="32"/>
                <w:szCs w:val="32"/>
                <w:lang w:val="en-US"/>
              </w:rPr>
            </w:pPr>
            <w:r>
              <w:rPr>
                <w:rFonts w:hint="eastAsia" w:ascii="仿宋" w:hAnsi="仿宋" w:eastAsia="仿宋" w:cs="仿宋"/>
                <w:kern w:val="2"/>
                <w:sz w:val="32"/>
                <w:szCs w:val="32"/>
                <w:lang w:val="en-US" w:eastAsia="zh-CN" w:bidi="ar"/>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Ex>
        <w:trPr>
          <w:trHeight w:val="889" w:hRule="atLeast"/>
          <w:jc w:val="center"/>
        </w:trPr>
        <w:tc>
          <w:tcPr>
            <w:tcW w:w="123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line="240" w:lineRule="atLeast"/>
              <w:ind w:left="0" w:right="0"/>
              <w:jc w:val="center"/>
              <w:rPr>
                <w:rFonts w:hint="eastAsia" w:ascii="仿宋" w:hAnsi="仿宋" w:eastAsia="仿宋" w:cs="仿宋"/>
                <w:sz w:val="32"/>
                <w:szCs w:val="32"/>
                <w:lang w:val="en-US"/>
              </w:rPr>
            </w:pPr>
            <w:r>
              <w:rPr>
                <w:rFonts w:hint="eastAsia" w:ascii="仿宋" w:hAnsi="仿宋" w:eastAsia="仿宋" w:cs="仿宋"/>
                <w:kern w:val="2"/>
                <w:sz w:val="32"/>
                <w:szCs w:val="32"/>
                <w:lang w:val="en-US" w:eastAsia="zh-CN" w:bidi="ar"/>
              </w:rPr>
              <w:t>郝翠平</w:t>
            </w:r>
          </w:p>
        </w:tc>
        <w:tc>
          <w:tcPr>
            <w:tcW w:w="2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line="240" w:lineRule="atLeast"/>
              <w:ind w:left="0" w:right="0"/>
              <w:jc w:val="center"/>
              <w:rPr>
                <w:rFonts w:hint="eastAsia" w:ascii="仿宋" w:hAnsi="仿宋" w:eastAsia="仿宋" w:cs="仿宋"/>
                <w:sz w:val="32"/>
                <w:szCs w:val="32"/>
                <w:lang w:val="en-US"/>
              </w:rPr>
            </w:pPr>
            <w:r>
              <w:rPr>
                <w:rFonts w:hint="eastAsia" w:ascii="仿宋" w:hAnsi="仿宋" w:eastAsia="仿宋" w:cs="仿宋"/>
                <w:kern w:val="2"/>
                <w:sz w:val="32"/>
                <w:szCs w:val="32"/>
                <w:lang w:val="en-US" w:eastAsia="zh-CN" w:bidi="ar"/>
              </w:rPr>
              <w:t>县妇联</w:t>
            </w:r>
          </w:p>
        </w:tc>
        <w:tc>
          <w:tcPr>
            <w:tcW w:w="41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line="240" w:lineRule="atLeast"/>
              <w:ind w:left="0" w:right="0"/>
              <w:jc w:val="center"/>
              <w:rPr>
                <w:rFonts w:hint="default" w:ascii="仿宋" w:hAnsi="仿宋" w:eastAsia="仿宋" w:cs="仿宋"/>
                <w:sz w:val="32"/>
                <w:szCs w:val="32"/>
                <w:lang w:val="en-US"/>
              </w:rPr>
            </w:pPr>
            <w:r>
              <w:rPr>
                <w:rFonts w:hint="eastAsia" w:ascii="仿宋" w:hAnsi="仿宋" w:eastAsia="仿宋" w:cs="仿宋"/>
                <w:kern w:val="2"/>
                <w:sz w:val="32"/>
                <w:szCs w:val="32"/>
                <w:lang w:val="en-US" w:eastAsia="zh-CN" w:bidi="ar"/>
              </w:rPr>
              <w:t>县妇联副主席</w:t>
            </w: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line="240" w:lineRule="atLeast"/>
              <w:ind w:left="0" w:right="0"/>
              <w:jc w:val="center"/>
              <w:rPr>
                <w:rFonts w:hint="eastAsia" w:ascii="仿宋" w:hAnsi="仿宋" w:eastAsia="仿宋" w:cs="仿宋"/>
                <w:sz w:val="32"/>
                <w:szCs w:val="32"/>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Ex>
        <w:trPr>
          <w:trHeight w:val="899" w:hRule="atLeast"/>
          <w:jc w:val="center"/>
        </w:trPr>
        <w:tc>
          <w:tcPr>
            <w:tcW w:w="123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line="240" w:lineRule="atLeast"/>
              <w:ind w:left="0" w:right="0"/>
              <w:jc w:val="center"/>
              <w:rPr>
                <w:rFonts w:hint="eastAsia" w:ascii="仿宋" w:hAnsi="仿宋" w:eastAsia="仿宋" w:cs="仿宋"/>
                <w:sz w:val="32"/>
                <w:szCs w:val="32"/>
                <w:lang w:val="en-US"/>
              </w:rPr>
            </w:pPr>
            <w:r>
              <w:rPr>
                <w:rFonts w:hint="eastAsia" w:ascii="仿宋" w:hAnsi="仿宋" w:eastAsia="仿宋" w:cs="仿宋"/>
                <w:kern w:val="2"/>
                <w:sz w:val="32"/>
                <w:szCs w:val="32"/>
                <w:lang w:val="en-US" w:eastAsia="zh-CN" w:bidi="ar"/>
              </w:rPr>
              <w:t>李慧芳</w:t>
            </w:r>
          </w:p>
        </w:tc>
        <w:tc>
          <w:tcPr>
            <w:tcW w:w="2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line="240" w:lineRule="atLeast"/>
              <w:ind w:left="0" w:right="0"/>
              <w:jc w:val="center"/>
              <w:rPr>
                <w:rFonts w:hint="eastAsia" w:ascii="仿宋" w:hAnsi="仿宋" w:eastAsia="仿宋" w:cs="仿宋"/>
                <w:sz w:val="32"/>
                <w:szCs w:val="32"/>
                <w:lang w:val="en-US"/>
              </w:rPr>
            </w:pPr>
            <w:r>
              <w:rPr>
                <w:rFonts w:hint="eastAsia" w:ascii="仿宋" w:hAnsi="仿宋" w:eastAsia="仿宋" w:cs="仿宋"/>
                <w:kern w:val="2"/>
                <w:sz w:val="32"/>
                <w:szCs w:val="32"/>
                <w:lang w:val="en-US" w:eastAsia="zh-CN" w:bidi="ar"/>
              </w:rPr>
              <w:t>县妇联</w:t>
            </w:r>
          </w:p>
        </w:tc>
        <w:tc>
          <w:tcPr>
            <w:tcW w:w="41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line="240" w:lineRule="atLeast"/>
              <w:ind w:left="0" w:right="0"/>
              <w:jc w:val="center"/>
              <w:rPr>
                <w:rFonts w:hint="eastAsia" w:ascii="仿宋" w:hAnsi="仿宋" w:eastAsia="仿宋" w:cs="仿宋"/>
                <w:sz w:val="32"/>
                <w:szCs w:val="32"/>
                <w:lang w:val="en-US"/>
              </w:rPr>
            </w:pPr>
            <w:r>
              <w:rPr>
                <w:rFonts w:hint="eastAsia" w:ascii="仿宋" w:hAnsi="仿宋" w:eastAsia="仿宋" w:cs="仿宋"/>
                <w:kern w:val="2"/>
                <w:sz w:val="32"/>
                <w:szCs w:val="32"/>
                <w:lang w:val="en-US" w:eastAsia="zh-CN" w:bidi="ar"/>
              </w:rPr>
              <w:t>三级主任科员</w:t>
            </w: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line="240" w:lineRule="atLeast"/>
              <w:ind w:left="0" w:right="0"/>
              <w:jc w:val="center"/>
              <w:rPr>
                <w:rFonts w:hint="eastAsia" w:ascii="仿宋" w:hAnsi="仿宋" w:eastAsia="仿宋" w:cs="仿宋"/>
                <w:sz w:val="32"/>
                <w:szCs w:val="32"/>
                <w:lang w:val="en-US"/>
              </w:rPr>
            </w:pPr>
          </w:p>
        </w:tc>
      </w:tr>
    </w:tbl>
    <w:p>
      <w:pPr>
        <w:widowControl w:val="0"/>
        <w:wordWrap/>
        <w:spacing w:line="560" w:lineRule="exact"/>
        <w:ind w:left="0" w:leftChars="0" w:right="0"/>
        <w:textAlignment w:val="auto"/>
        <w:outlineLvl w:val="9"/>
        <w:rPr>
          <w:rFonts w:ascii="仿宋" w:hAnsi="仿宋" w:eastAsia="仿宋"/>
        </w:rPr>
      </w:pPr>
    </w:p>
    <w:p>
      <w:pPr>
        <w:spacing w:line="560" w:lineRule="exact"/>
        <w:rPr>
          <w:rFonts w:ascii="仿宋" w:hAnsi="仿宋" w:eastAsia="仿宋"/>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2B88C60E"/>
    <w:multiLevelType w:val="singleLevel"/>
    <w:tmpl w:val="2B88C60E"/>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08592D"/>
    <w:rsid w:val="02106AB0"/>
    <w:rsid w:val="02B43A28"/>
    <w:rsid w:val="038745A0"/>
    <w:rsid w:val="046F331E"/>
    <w:rsid w:val="06EE6332"/>
    <w:rsid w:val="07956271"/>
    <w:rsid w:val="09721397"/>
    <w:rsid w:val="0AF2014C"/>
    <w:rsid w:val="0BB63BED"/>
    <w:rsid w:val="0EB97A43"/>
    <w:rsid w:val="0EBD2122"/>
    <w:rsid w:val="0F214EAE"/>
    <w:rsid w:val="11B71E6A"/>
    <w:rsid w:val="144B521C"/>
    <w:rsid w:val="16A54F8D"/>
    <w:rsid w:val="1A4C0824"/>
    <w:rsid w:val="1AAF0063"/>
    <w:rsid w:val="1BE140DE"/>
    <w:rsid w:val="215D0E53"/>
    <w:rsid w:val="248C197D"/>
    <w:rsid w:val="252959AF"/>
    <w:rsid w:val="277A6671"/>
    <w:rsid w:val="292D35B7"/>
    <w:rsid w:val="2B1962F5"/>
    <w:rsid w:val="2CCF0545"/>
    <w:rsid w:val="31151E97"/>
    <w:rsid w:val="33EB6CFF"/>
    <w:rsid w:val="35A12947"/>
    <w:rsid w:val="37387040"/>
    <w:rsid w:val="3B0548E0"/>
    <w:rsid w:val="3B625C0A"/>
    <w:rsid w:val="3C3516C2"/>
    <w:rsid w:val="3CEE1963"/>
    <w:rsid w:val="3E904B01"/>
    <w:rsid w:val="436B78D3"/>
    <w:rsid w:val="48B60C1B"/>
    <w:rsid w:val="4C9C27FE"/>
    <w:rsid w:val="512260B4"/>
    <w:rsid w:val="52BD6ACB"/>
    <w:rsid w:val="55537534"/>
    <w:rsid w:val="561A74F1"/>
    <w:rsid w:val="575E7C19"/>
    <w:rsid w:val="583B5603"/>
    <w:rsid w:val="597244E8"/>
    <w:rsid w:val="5B333B6E"/>
    <w:rsid w:val="5CA101A5"/>
    <w:rsid w:val="5CB849EE"/>
    <w:rsid w:val="5EB71C30"/>
    <w:rsid w:val="66AF0CE5"/>
    <w:rsid w:val="66BD0DCC"/>
    <w:rsid w:val="699C7413"/>
    <w:rsid w:val="6AA27932"/>
    <w:rsid w:val="6AC537CF"/>
    <w:rsid w:val="6E5B14A6"/>
    <w:rsid w:val="6F782A21"/>
    <w:rsid w:val="711B255E"/>
    <w:rsid w:val="728F51D0"/>
    <w:rsid w:val="794531B5"/>
    <w:rsid w:val="7BB51E06"/>
    <w:rsid w:val="7C387F7C"/>
    <w:rsid w:val="7DA912D7"/>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2</TotalTime>
  <ScaleCrop>false</ScaleCrop>
  <LinksUpToDate>false</LinksUpToDate>
  <CharactersWithSpaces>669</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2026-03-26T08:47:34Z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807859DDDB204D7484EDDFBB4E9D1D2E</vt:lpwstr>
  </property>
</Properties>
</file>