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6D126">
      <w:pPr>
        <w:adjustRightInd w:val="0"/>
        <w:snapToGrid w:val="0"/>
        <w:spacing w:line="560" w:lineRule="exact"/>
        <w:rPr>
          <w:rFonts w:hint="eastAsia" w:ascii="黑体" w:hAnsi="黑体" w:eastAsia="黑体" w:cs="黑体"/>
          <w:sz w:val="32"/>
          <w:szCs w:val="32"/>
          <w:lang w:eastAsia="zh-CN"/>
        </w:rPr>
      </w:pPr>
      <w:bookmarkStart w:id="9" w:name="_GoBack"/>
      <w:bookmarkEnd w:id="9"/>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2587BBBE">
      <w:pPr>
        <w:spacing w:line="560" w:lineRule="exact"/>
        <w:jc w:val="center"/>
        <w:rPr>
          <w:rFonts w:ascii="宋体" w:hAnsi="宋体" w:cs="宋体"/>
          <w:b/>
          <w:bCs/>
          <w:sz w:val="44"/>
          <w:szCs w:val="44"/>
        </w:rPr>
      </w:pPr>
    </w:p>
    <w:p w14:paraId="6BF72ADC">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井陉县残联</w:t>
      </w:r>
      <w:r>
        <w:rPr>
          <w:rFonts w:hint="eastAsia" w:ascii="宋体" w:hAnsi="宋体" w:cs="宋体"/>
          <w:b/>
          <w:bCs/>
          <w:sz w:val="44"/>
          <w:szCs w:val="44"/>
        </w:rPr>
        <w:t>部门</w:t>
      </w:r>
    </w:p>
    <w:p w14:paraId="4EA9010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8909AFB">
      <w:pPr>
        <w:spacing w:line="560" w:lineRule="exact"/>
        <w:jc w:val="both"/>
        <w:rPr>
          <w:rFonts w:ascii="华文楷体" w:eastAsia="华文楷体"/>
          <w:sz w:val="32"/>
          <w:szCs w:val="32"/>
        </w:rPr>
      </w:pPr>
    </w:p>
    <w:p w14:paraId="359904C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井陉县残联</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7E2B93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5D175B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C5FE788">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 w:hAnsi="仿宋" w:eastAsia="仿宋"/>
          <w:sz w:val="32"/>
          <w:szCs w:val="32"/>
        </w:rPr>
      </w:pPr>
      <w:r>
        <w:rPr>
          <w:rFonts w:hint="eastAsia" w:ascii="仿宋" w:hAnsi="仿宋" w:eastAsia="仿宋"/>
          <w:b/>
          <w:bCs/>
          <w:sz w:val="32"/>
          <w:szCs w:val="32"/>
          <w:lang w:val="en-US" w:eastAsia="zh-CN"/>
        </w:rPr>
        <w:t>1.部门职能：</w:t>
      </w:r>
      <w:r>
        <w:rPr>
          <w:rFonts w:hint="eastAsia" w:ascii="仿宋" w:hAnsi="仿宋" w:eastAsia="仿宋"/>
          <w:sz w:val="32"/>
          <w:szCs w:val="32"/>
        </w:rPr>
        <w:t>坚持以习近平新时代中国特色社会主义思想为指导，认真贯彻落实习近平总书记关于残疾人事业的重要论述和党的十九届六中全会、河北省第十次党代会精神，坚持党委领导、政府负责、残联牵头、部门配合、社会参与的工作方式，统筹使用中央、省、市、县财政资金，整合服务资源，优化服务流程，创新方式方法，大力推进残疾人康复、就业培训、托养、家庭无障碍改造等工作，不断提升残疾人服务水平，精准满足残疾人个性化需求。</w:t>
      </w:r>
    </w:p>
    <w:p w14:paraId="37D06B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(一)为残疾人提供康复服务。认真贯彻落实中国残联等6部门《关于印发“十四五”残疾人康复服务实施方案的通知》</w:t>
      </w:r>
      <w:r>
        <w:rPr>
          <w:rFonts w:hint="eastAsia" w:ascii="仿宋" w:hAnsi="仿宋" w:eastAsia="仿宋"/>
          <w:sz w:val="32"/>
          <w:szCs w:val="32"/>
          <w:lang w:eastAsia="zh-CN"/>
        </w:rPr>
        <w:t>、</w:t>
      </w:r>
      <w:r>
        <w:rPr>
          <w:rFonts w:hint="eastAsia" w:ascii="仿宋" w:hAnsi="仿宋" w:eastAsia="仿宋"/>
          <w:sz w:val="32"/>
          <w:szCs w:val="32"/>
        </w:rPr>
        <w:t>《河北省人民政府关于印发河北省残疾儿童康复救助实施方案的通知》</w:t>
      </w:r>
      <w:r>
        <w:rPr>
          <w:rFonts w:hint="eastAsia" w:ascii="仿宋" w:hAnsi="仿宋" w:eastAsia="仿宋"/>
          <w:sz w:val="32"/>
          <w:szCs w:val="32"/>
          <w:lang w:eastAsia="zh-CN"/>
        </w:rPr>
        <w:t>、</w:t>
      </w:r>
      <w:r>
        <w:rPr>
          <w:rFonts w:hint="eastAsia" w:ascii="仿宋" w:hAnsi="仿宋" w:eastAsia="仿宋"/>
          <w:sz w:val="32"/>
          <w:szCs w:val="32"/>
        </w:rPr>
        <w:t>《河北省人民政府关于印发河北省“十四五”残疾人保障和发展规划》</w:t>
      </w:r>
      <w:r>
        <w:rPr>
          <w:rFonts w:hint="eastAsia" w:ascii="仿宋" w:hAnsi="仿宋" w:eastAsia="仿宋"/>
          <w:sz w:val="32"/>
          <w:szCs w:val="32"/>
          <w:lang w:eastAsia="zh-CN"/>
        </w:rPr>
        <w:t>、</w:t>
      </w:r>
      <w:r>
        <w:rPr>
          <w:rFonts w:hint="eastAsia" w:ascii="仿宋" w:hAnsi="仿宋" w:eastAsia="仿宋"/>
          <w:sz w:val="32"/>
          <w:szCs w:val="32"/>
        </w:rPr>
        <w:t>《河北省基本公共服务实施标准(2021年版)》等文件要求，有康复需求的残疾人提供基本康复服务，减轻残疾人功能障碍，促进生活自理和社会参与能力提升，重点保障有康复医疗、康复训练等需求的残疾儿童和成年持证残疾人。</w:t>
      </w:r>
    </w:p>
    <w:p w14:paraId="266460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二）为残疾人适配辅助器具。充分发挥辅助器具适配人员、残疾人家庭签约医生作用，认真细致筛查、评估残疾人辅助器具需求，按照中国残联印发《残疾人基本辅助器具指导目录（2020年版）》和《河北省基本公共服务实施标准（2021年版）》，为</w:t>
      </w:r>
      <w:r>
        <w:rPr>
          <w:rFonts w:hint="eastAsia" w:ascii="仿宋" w:hAnsi="仿宋" w:eastAsia="仿宋"/>
          <w:sz w:val="32"/>
          <w:szCs w:val="32"/>
          <w:lang w:val="en-US" w:eastAsia="zh-CN"/>
        </w:rPr>
        <w:t>有需求的</w:t>
      </w:r>
      <w:r>
        <w:rPr>
          <w:rFonts w:hint="eastAsia" w:ascii="仿宋" w:hAnsi="仿宋" w:eastAsia="仿宋"/>
          <w:sz w:val="32"/>
          <w:szCs w:val="32"/>
        </w:rPr>
        <w:t>残疾</w:t>
      </w:r>
      <w:r>
        <w:rPr>
          <w:rFonts w:hint="eastAsia" w:ascii="仿宋" w:hAnsi="仿宋" w:eastAsia="仿宋"/>
          <w:sz w:val="32"/>
          <w:szCs w:val="32"/>
          <w:lang w:eastAsia="zh-CN"/>
        </w:rPr>
        <w:t>人</w:t>
      </w:r>
      <w:r>
        <w:rPr>
          <w:rFonts w:hint="eastAsia" w:ascii="仿宋" w:hAnsi="仿宋" w:eastAsia="仿宋"/>
          <w:sz w:val="32"/>
          <w:szCs w:val="32"/>
        </w:rPr>
        <w:t>提供辅助器具适配服务，重点保障困难残疾人、就业年龄段残疾人和残疾学生。</w:t>
      </w:r>
    </w:p>
    <w:p w14:paraId="798980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三）为残疾人提供就业培训服务。加强残疾人职业技能和农村实用技术培训，按照《河北省基本公共服务实施标准(2021年版）》和中国残联《“十四五”农村困难残疾人实用技术培训项目实施方案》，根据残疾人自身特点需求和当地优势产业、就业形式等，依托党委、政府和社会各类培训机构、农村专业合作社和扶贫基地，为有需求有劳动意愿和劳动能力的</w:t>
      </w:r>
      <w:r>
        <w:rPr>
          <w:rFonts w:hint="eastAsia" w:ascii="仿宋" w:hAnsi="仿宋" w:eastAsia="仿宋"/>
          <w:sz w:val="32"/>
          <w:szCs w:val="32"/>
          <w:lang w:eastAsia="zh-CN"/>
        </w:rPr>
        <w:t>残疾人</w:t>
      </w:r>
      <w:r>
        <w:rPr>
          <w:rFonts w:hint="eastAsia" w:ascii="仿宋" w:hAnsi="仿宋" w:eastAsia="仿宋"/>
          <w:sz w:val="32"/>
          <w:szCs w:val="32"/>
        </w:rPr>
        <w:t>提供职业技能或农村实用技术培训，确保至少掌握1门技能或技术，促进残疾人实现就业创业增收。</w:t>
      </w:r>
    </w:p>
    <w:p w14:paraId="321E8C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四）为残疾人提供托养服务。落实中国残联、发展改革委等八部门《关于加快发展残疾人托养服务的意见》、《河北省基本公共服务实施标准（2021年版）》和《河北省“十四五”阳光家园计划智力、精神和重度肢体残疾人托养服务项目实施方案》，认真组织实施好“阳光家园计划”，为</w:t>
      </w:r>
      <w:r>
        <w:rPr>
          <w:rFonts w:hint="eastAsia" w:ascii="仿宋" w:hAnsi="仿宋" w:eastAsia="仿宋"/>
          <w:sz w:val="32"/>
          <w:szCs w:val="32"/>
          <w:lang w:val="en-US" w:eastAsia="zh-CN"/>
        </w:rPr>
        <w:t>有需求的</w:t>
      </w:r>
      <w:r>
        <w:rPr>
          <w:rFonts w:hint="eastAsia" w:ascii="仿宋" w:hAnsi="仿宋" w:eastAsia="仿宋"/>
          <w:sz w:val="32"/>
          <w:szCs w:val="32"/>
        </w:rPr>
        <w:t>智力、精神和重度肢体残疾人接受寄宿制托养服务、日间照料服务和居家托养服务提供补贴。</w:t>
      </w:r>
    </w:p>
    <w:p w14:paraId="4562F9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(五)实施残疾人家庭无障碍改造。按照《河北省基本公共服务实施标准(2021年版）》，坚持针对性、实用性、可操作性原则，为</w:t>
      </w:r>
      <w:r>
        <w:rPr>
          <w:rFonts w:hint="eastAsia" w:ascii="仿宋" w:hAnsi="仿宋" w:eastAsia="仿宋"/>
          <w:sz w:val="32"/>
          <w:szCs w:val="32"/>
          <w:lang w:val="en-US" w:eastAsia="zh-CN"/>
        </w:rPr>
        <w:t>改造有需求的</w:t>
      </w:r>
      <w:r>
        <w:rPr>
          <w:rFonts w:hint="eastAsia" w:ascii="仿宋" w:hAnsi="仿宋" w:eastAsia="仿宋"/>
          <w:sz w:val="32"/>
          <w:szCs w:val="32"/>
        </w:rPr>
        <w:t>残疾人家庭进行无障碍改造，改善残疾人生活环境，提高残疾人生活质量。</w:t>
      </w:r>
    </w:p>
    <w:p w14:paraId="056A3E53">
      <w:pPr>
        <w:adjustRightInd w:val="0"/>
        <w:snapToGrid w:val="0"/>
        <w:spacing w:line="560" w:lineRule="exact"/>
        <w:ind w:firstLine="640" w:firstLineChars="200"/>
        <w:rPr>
          <w:rFonts w:hint="eastAsia" w:ascii="仿宋" w:hAnsi="仿宋" w:eastAsia="仿宋"/>
          <w:sz w:val="32"/>
          <w:szCs w:val="32"/>
          <w:lang w:val="en-US" w:eastAsia="zh-CN"/>
        </w:rPr>
      </w:pPr>
    </w:p>
    <w:tbl>
      <w:tblPr>
        <w:tblStyle w:val="8"/>
        <w:tblW w:w="8925" w:type="dxa"/>
        <w:tblInd w:w="135" w:type="dxa"/>
        <w:tblLayout w:type="fixed"/>
        <w:tblCellMar>
          <w:top w:w="0" w:type="dxa"/>
          <w:left w:w="15" w:type="dxa"/>
          <w:bottom w:w="0" w:type="dxa"/>
          <w:right w:w="15" w:type="dxa"/>
        </w:tblCellMar>
      </w:tblPr>
      <w:tblGrid>
        <w:gridCol w:w="3369"/>
        <w:gridCol w:w="1725"/>
        <w:gridCol w:w="1635"/>
        <w:gridCol w:w="2196"/>
      </w:tblGrid>
      <w:tr w14:paraId="12778A3B">
        <w:tblPrEx>
          <w:tblCellMar>
            <w:top w:w="0" w:type="dxa"/>
            <w:left w:w="15" w:type="dxa"/>
            <w:bottom w:w="0" w:type="dxa"/>
            <w:right w:w="15" w:type="dxa"/>
          </w:tblCellMar>
        </w:tblPrEx>
        <w:trPr>
          <w:trHeight w:val="1170" w:hRule="atLeast"/>
        </w:trPr>
        <w:tc>
          <w:tcPr>
            <w:tcW w:w="8925" w:type="dxa"/>
            <w:gridSpan w:val="4"/>
            <w:tcBorders>
              <w:top w:val="nil"/>
              <w:left w:val="nil"/>
              <w:bottom w:val="nil"/>
              <w:right w:val="nil"/>
            </w:tcBorders>
            <w:vAlign w:val="center"/>
          </w:tcPr>
          <w:p w14:paraId="2FFBEDB0">
            <w:pPr>
              <w:adjustRightInd w:val="0"/>
              <w:snapToGrid w:val="0"/>
              <w:spacing w:line="560" w:lineRule="exact"/>
              <w:ind w:firstLine="643" w:firstLineChars="200"/>
              <w:jc w:val="both"/>
              <w:rPr>
                <w:rFonts w:hint="eastAsia" w:ascii="仿宋" w:hAnsi="仿宋" w:eastAsia="仿宋"/>
                <w:sz w:val="32"/>
                <w:szCs w:val="32"/>
                <w:lang w:val="en-US" w:eastAsia="zh-CN"/>
              </w:rPr>
            </w:pPr>
            <w:r>
              <w:rPr>
                <w:rFonts w:hint="eastAsia" w:ascii="仿宋" w:hAnsi="仿宋" w:eastAsia="仿宋"/>
                <w:b/>
                <w:bCs/>
                <w:sz w:val="32"/>
                <w:szCs w:val="32"/>
                <w:lang w:val="en-US" w:eastAsia="zh-CN"/>
              </w:rPr>
              <w:t>2、机构设置</w:t>
            </w:r>
          </w:p>
          <w:p w14:paraId="1333BD78">
            <w:pPr>
              <w:adjustRightInd w:val="0"/>
              <w:snapToGrid w:val="0"/>
              <w:spacing w:line="560" w:lineRule="exact"/>
              <w:ind w:firstLine="640" w:firstLineChars="200"/>
              <w:jc w:val="center"/>
              <w:rPr>
                <w:rFonts w:hint="eastAsia" w:ascii="仿宋" w:hAnsi="仿宋" w:eastAsia="仿宋"/>
                <w:sz w:val="32"/>
                <w:szCs w:val="32"/>
              </w:rPr>
            </w:pPr>
            <w:r>
              <w:rPr>
                <w:rFonts w:hint="eastAsia" w:ascii="仿宋" w:hAnsi="仿宋" w:eastAsia="仿宋"/>
                <w:sz w:val="32"/>
                <w:szCs w:val="32"/>
              </w:rPr>
              <w:t>部门机构设置情况</w:t>
            </w:r>
          </w:p>
        </w:tc>
      </w:tr>
      <w:tr w14:paraId="75FE8C77">
        <w:tblPrEx>
          <w:tblCellMar>
            <w:top w:w="0" w:type="dxa"/>
            <w:left w:w="15" w:type="dxa"/>
            <w:bottom w:w="0" w:type="dxa"/>
            <w:right w:w="15" w:type="dxa"/>
          </w:tblCellMar>
        </w:tblPrEx>
        <w:trPr>
          <w:trHeight w:val="1220" w:hRule="atLeast"/>
        </w:trPr>
        <w:tc>
          <w:tcPr>
            <w:tcW w:w="3369" w:type="dxa"/>
            <w:tcBorders>
              <w:top w:val="single" w:color="000000" w:sz="4" w:space="0"/>
              <w:left w:val="single" w:color="000000" w:sz="4" w:space="0"/>
              <w:bottom w:val="single" w:color="000000" w:sz="4" w:space="0"/>
              <w:right w:val="single" w:color="000000" w:sz="4" w:space="0"/>
            </w:tcBorders>
            <w:vAlign w:val="center"/>
          </w:tcPr>
          <w:p w14:paraId="50B22C48">
            <w:pPr>
              <w:adjustRightInd w:val="0"/>
              <w:snapToGrid w:val="0"/>
              <w:spacing w:line="560" w:lineRule="exact"/>
              <w:ind w:firstLine="640" w:firstLineChars="200"/>
              <w:jc w:val="center"/>
              <w:rPr>
                <w:rFonts w:hint="eastAsia" w:ascii="仿宋" w:hAnsi="仿宋" w:eastAsia="仿宋"/>
                <w:sz w:val="32"/>
                <w:szCs w:val="32"/>
              </w:rPr>
            </w:pPr>
            <w:r>
              <w:rPr>
                <w:rFonts w:hint="eastAsia" w:ascii="仿宋" w:hAnsi="仿宋" w:eastAsia="仿宋"/>
                <w:sz w:val="32"/>
                <w:szCs w:val="32"/>
              </w:rPr>
              <w:t>单位名称</w:t>
            </w:r>
          </w:p>
        </w:tc>
        <w:tc>
          <w:tcPr>
            <w:tcW w:w="1725" w:type="dxa"/>
            <w:tcBorders>
              <w:top w:val="single" w:color="000000" w:sz="4" w:space="0"/>
              <w:left w:val="nil"/>
              <w:bottom w:val="single" w:color="000000" w:sz="4" w:space="0"/>
              <w:right w:val="single" w:color="000000" w:sz="4" w:space="0"/>
            </w:tcBorders>
            <w:vAlign w:val="center"/>
          </w:tcPr>
          <w:p w14:paraId="5B4CAC9F">
            <w:pPr>
              <w:adjustRightInd w:val="0"/>
              <w:snapToGrid w:val="0"/>
              <w:spacing w:line="560" w:lineRule="exact"/>
              <w:jc w:val="center"/>
              <w:rPr>
                <w:rFonts w:hint="eastAsia" w:ascii="仿宋" w:hAnsi="仿宋" w:eastAsia="仿宋"/>
                <w:sz w:val="32"/>
                <w:szCs w:val="32"/>
              </w:rPr>
            </w:pPr>
            <w:r>
              <w:rPr>
                <w:rFonts w:hint="eastAsia" w:ascii="仿宋" w:hAnsi="仿宋" w:eastAsia="仿宋"/>
                <w:sz w:val="32"/>
                <w:szCs w:val="32"/>
              </w:rPr>
              <w:t>单位性质</w:t>
            </w:r>
          </w:p>
        </w:tc>
        <w:tc>
          <w:tcPr>
            <w:tcW w:w="1635" w:type="dxa"/>
            <w:tcBorders>
              <w:top w:val="single" w:color="000000" w:sz="4" w:space="0"/>
              <w:left w:val="nil"/>
              <w:bottom w:val="single" w:color="000000" w:sz="4" w:space="0"/>
              <w:right w:val="single" w:color="000000" w:sz="4" w:space="0"/>
            </w:tcBorders>
            <w:vAlign w:val="center"/>
          </w:tcPr>
          <w:p w14:paraId="7D1EF2B3">
            <w:pPr>
              <w:adjustRightInd w:val="0"/>
              <w:snapToGrid w:val="0"/>
              <w:spacing w:line="560" w:lineRule="exact"/>
              <w:jc w:val="center"/>
              <w:rPr>
                <w:rFonts w:hint="eastAsia" w:ascii="仿宋" w:hAnsi="仿宋" w:eastAsia="仿宋"/>
                <w:sz w:val="32"/>
                <w:szCs w:val="32"/>
              </w:rPr>
            </w:pPr>
            <w:r>
              <w:rPr>
                <w:rFonts w:hint="eastAsia" w:ascii="仿宋" w:hAnsi="仿宋" w:eastAsia="仿宋"/>
                <w:sz w:val="32"/>
                <w:szCs w:val="32"/>
              </w:rPr>
              <w:t>单位规格</w:t>
            </w:r>
          </w:p>
        </w:tc>
        <w:tc>
          <w:tcPr>
            <w:tcW w:w="2196" w:type="dxa"/>
            <w:tcBorders>
              <w:top w:val="single" w:color="000000" w:sz="4" w:space="0"/>
              <w:left w:val="nil"/>
              <w:bottom w:val="single" w:color="000000" w:sz="4" w:space="0"/>
              <w:right w:val="single" w:color="000000" w:sz="4" w:space="0"/>
            </w:tcBorders>
            <w:vAlign w:val="center"/>
          </w:tcPr>
          <w:p w14:paraId="192EDDBA">
            <w:pPr>
              <w:adjustRightInd w:val="0"/>
              <w:snapToGrid w:val="0"/>
              <w:spacing w:line="560" w:lineRule="exact"/>
              <w:jc w:val="both"/>
              <w:rPr>
                <w:rFonts w:hint="eastAsia" w:ascii="仿宋" w:hAnsi="仿宋" w:eastAsia="仿宋"/>
                <w:sz w:val="32"/>
                <w:szCs w:val="32"/>
              </w:rPr>
            </w:pPr>
            <w:r>
              <w:rPr>
                <w:rFonts w:hint="eastAsia" w:ascii="仿宋" w:hAnsi="仿宋" w:eastAsia="仿宋"/>
                <w:sz w:val="32"/>
                <w:szCs w:val="32"/>
              </w:rPr>
              <w:t>经费保障形式</w:t>
            </w:r>
          </w:p>
        </w:tc>
      </w:tr>
      <w:tr w14:paraId="2DDD2B30">
        <w:tblPrEx>
          <w:tblCellMar>
            <w:top w:w="0" w:type="dxa"/>
            <w:left w:w="15" w:type="dxa"/>
            <w:bottom w:w="0" w:type="dxa"/>
            <w:right w:w="15" w:type="dxa"/>
          </w:tblCellMar>
        </w:tblPrEx>
        <w:trPr>
          <w:trHeight w:val="570" w:hRule="atLeast"/>
        </w:trPr>
        <w:tc>
          <w:tcPr>
            <w:tcW w:w="3369" w:type="dxa"/>
            <w:tcBorders>
              <w:top w:val="single" w:color="000000" w:sz="4" w:space="0"/>
              <w:left w:val="single" w:color="000000" w:sz="4" w:space="0"/>
              <w:bottom w:val="single" w:color="000000" w:sz="4" w:space="0"/>
              <w:right w:val="single" w:color="000000" w:sz="4" w:space="0"/>
            </w:tcBorders>
            <w:vAlign w:val="center"/>
          </w:tcPr>
          <w:p w14:paraId="7967C739">
            <w:pPr>
              <w:adjustRightInd w:val="0"/>
              <w:snapToGrid w:val="0"/>
              <w:spacing w:line="560" w:lineRule="exact"/>
              <w:jc w:val="center"/>
              <w:rPr>
                <w:rFonts w:hint="eastAsia" w:ascii="仿宋" w:hAnsi="仿宋" w:eastAsia="仿宋"/>
                <w:sz w:val="32"/>
                <w:szCs w:val="32"/>
                <w:lang w:val="en-US" w:eastAsia="zh-CN"/>
              </w:rPr>
            </w:pPr>
            <w:r>
              <w:rPr>
                <w:rFonts w:hint="eastAsia" w:ascii="仿宋" w:hAnsi="仿宋" w:eastAsia="仿宋"/>
                <w:sz w:val="32"/>
                <w:szCs w:val="32"/>
              </w:rPr>
              <w:t>井陉县</w:t>
            </w:r>
            <w:r>
              <w:rPr>
                <w:rFonts w:hint="eastAsia" w:ascii="仿宋" w:hAnsi="仿宋" w:eastAsia="仿宋"/>
                <w:sz w:val="32"/>
                <w:szCs w:val="32"/>
                <w:lang w:val="en-US" w:eastAsia="zh-CN"/>
              </w:rPr>
              <w:t>残疾人联合会</w:t>
            </w:r>
          </w:p>
        </w:tc>
        <w:tc>
          <w:tcPr>
            <w:tcW w:w="1725" w:type="dxa"/>
            <w:tcBorders>
              <w:top w:val="single" w:color="000000" w:sz="4" w:space="0"/>
              <w:left w:val="nil"/>
              <w:bottom w:val="single" w:color="000000" w:sz="4" w:space="0"/>
              <w:right w:val="single" w:color="000000" w:sz="4" w:space="0"/>
            </w:tcBorders>
            <w:vAlign w:val="center"/>
          </w:tcPr>
          <w:p w14:paraId="455BBDD4">
            <w:pPr>
              <w:adjustRightInd w:val="0"/>
              <w:snapToGrid w:val="0"/>
              <w:spacing w:line="560" w:lineRule="exact"/>
              <w:jc w:val="center"/>
              <w:rPr>
                <w:rFonts w:hint="eastAsia" w:ascii="仿宋" w:hAnsi="仿宋" w:eastAsia="仿宋"/>
                <w:sz w:val="32"/>
                <w:szCs w:val="32"/>
              </w:rPr>
            </w:pPr>
            <w:r>
              <w:rPr>
                <w:rFonts w:hint="eastAsia" w:ascii="仿宋" w:hAnsi="仿宋" w:eastAsia="仿宋"/>
                <w:sz w:val="32"/>
                <w:szCs w:val="32"/>
              </w:rPr>
              <w:t>行 政</w:t>
            </w:r>
          </w:p>
        </w:tc>
        <w:tc>
          <w:tcPr>
            <w:tcW w:w="1635" w:type="dxa"/>
            <w:tcBorders>
              <w:top w:val="single" w:color="000000" w:sz="4" w:space="0"/>
              <w:left w:val="nil"/>
              <w:bottom w:val="single" w:color="000000" w:sz="4" w:space="0"/>
              <w:right w:val="single" w:color="000000" w:sz="4" w:space="0"/>
            </w:tcBorders>
            <w:vAlign w:val="center"/>
          </w:tcPr>
          <w:p w14:paraId="4DD20F9B">
            <w:pPr>
              <w:adjustRightInd w:val="0"/>
              <w:snapToGrid w:val="0"/>
              <w:spacing w:line="560" w:lineRule="exact"/>
              <w:jc w:val="center"/>
              <w:rPr>
                <w:rFonts w:hint="eastAsia" w:ascii="仿宋" w:hAnsi="仿宋" w:eastAsia="仿宋"/>
                <w:sz w:val="32"/>
                <w:szCs w:val="32"/>
              </w:rPr>
            </w:pPr>
            <w:r>
              <w:rPr>
                <w:rFonts w:hint="eastAsia" w:ascii="仿宋" w:hAnsi="仿宋" w:eastAsia="仿宋"/>
                <w:sz w:val="32"/>
                <w:szCs w:val="32"/>
              </w:rPr>
              <w:t>正科</w:t>
            </w:r>
          </w:p>
        </w:tc>
        <w:tc>
          <w:tcPr>
            <w:tcW w:w="2196" w:type="dxa"/>
            <w:tcBorders>
              <w:top w:val="single" w:color="000000" w:sz="4" w:space="0"/>
              <w:left w:val="nil"/>
              <w:bottom w:val="single" w:color="000000" w:sz="4" w:space="0"/>
              <w:right w:val="single" w:color="000000" w:sz="4" w:space="0"/>
            </w:tcBorders>
            <w:vAlign w:val="center"/>
          </w:tcPr>
          <w:p w14:paraId="7913EA70">
            <w:pPr>
              <w:adjustRightInd w:val="0"/>
              <w:snapToGrid w:val="0"/>
              <w:spacing w:line="560" w:lineRule="exact"/>
              <w:jc w:val="center"/>
              <w:rPr>
                <w:rFonts w:hint="eastAsia" w:ascii="仿宋" w:hAnsi="仿宋" w:eastAsia="仿宋"/>
                <w:sz w:val="32"/>
                <w:szCs w:val="32"/>
              </w:rPr>
            </w:pPr>
            <w:r>
              <w:rPr>
                <w:rFonts w:hint="eastAsia" w:ascii="仿宋" w:hAnsi="仿宋" w:eastAsia="仿宋"/>
                <w:sz w:val="32"/>
                <w:szCs w:val="32"/>
                <w:lang w:val="en-US" w:eastAsia="zh-CN"/>
              </w:rPr>
              <w:t>全额</w:t>
            </w:r>
            <w:r>
              <w:rPr>
                <w:rFonts w:hint="eastAsia" w:ascii="仿宋" w:hAnsi="仿宋" w:eastAsia="仿宋"/>
                <w:sz w:val="32"/>
                <w:szCs w:val="32"/>
              </w:rPr>
              <w:t>财政拨款</w:t>
            </w:r>
          </w:p>
        </w:tc>
      </w:tr>
      <w:tr w14:paraId="57047138">
        <w:tblPrEx>
          <w:tblCellMar>
            <w:top w:w="0" w:type="dxa"/>
            <w:left w:w="15" w:type="dxa"/>
            <w:bottom w:w="0" w:type="dxa"/>
            <w:right w:w="15" w:type="dxa"/>
          </w:tblCellMar>
        </w:tblPrEx>
        <w:trPr>
          <w:trHeight w:val="570" w:hRule="atLeast"/>
        </w:trPr>
        <w:tc>
          <w:tcPr>
            <w:tcW w:w="3369" w:type="dxa"/>
            <w:tcBorders>
              <w:top w:val="single" w:color="000000" w:sz="4" w:space="0"/>
              <w:left w:val="single" w:color="000000" w:sz="4" w:space="0"/>
              <w:bottom w:val="single" w:color="000000" w:sz="4" w:space="0"/>
              <w:right w:val="single" w:color="000000" w:sz="4" w:space="0"/>
            </w:tcBorders>
            <w:vAlign w:val="center"/>
          </w:tcPr>
          <w:p w14:paraId="05CF458C">
            <w:pPr>
              <w:adjustRightInd w:val="0"/>
              <w:snapToGrid w:val="0"/>
              <w:spacing w:line="560" w:lineRule="exact"/>
              <w:jc w:val="center"/>
              <w:rPr>
                <w:rFonts w:hint="eastAsia" w:ascii="仿宋" w:hAnsi="仿宋" w:eastAsia="仿宋"/>
                <w:sz w:val="32"/>
                <w:szCs w:val="32"/>
                <w:lang w:val="en-US" w:eastAsia="zh-CN"/>
              </w:rPr>
            </w:pPr>
            <w:r>
              <w:rPr>
                <w:rFonts w:hint="eastAsia" w:ascii="仿宋" w:hAnsi="仿宋" w:eastAsia="仿宋"/>
                <w:sz w:val="32"/>
                <w:szCs w:val="32"/>
              </w:rPr>
              <w:t>井陉县</w:t>
            </w:r>
            <w:r>
              <w:rPr>
                <w:rFonts w:hint="eastAsia" w:ascii="仿宋" w:hAnsi="仿宋" w:eastAsia="仿宋"/>
                <w:sz w:val="32"/>
                <w:szCs w:val="32"/>
                <w:lang w:val="en-US" w:eastAsia="zh-CN"/>
              </w:rPr>
              <w:t>残疾人劳动就业服务所</w:t>
            </w:r>
          </w:p>
        </w:tc>
        <w:tc>
          <w:tcPr>
            <w:tcW w:w="1725" w:type="dxa"/>
            <w:tcBorders>
              <w:top w:val="single" w:color="000000" w:sz="4" w:space="0"/>
              <w:left w:val="nil"/>
              <w:bottom w:val="single" w:color="000000" w:sz="4" w:space="0"/>
              <w:right w:val="single" w:color="000000" w:sz="4" w:space="0"/>
            </w:tcBorders>
            <w:vAlign w:val="center"/>
          </w:tcPr>
          <w:p w14:paraId="1C5CE2E2">
            <w:pPr>
              <w:adjustRightInd w:val="0"/>
              <w:snapToGrid w:val="0"/>
              <w:spacing w:line="560" w:lineRule="exact"/>
              <w:jc w:val="center"/>
              <w:rPr>
                <w:rFonts w:hint="eastAsia" w:ascii="仿宋" w:hAnsi="仿宋" w:eastAsia="仿宋"/>
                <w:sz w:val="32"/>
                <w:szCs w:val="32"/>
              </w:rPr>
            </w:pPr>
            <w:r>
              <w:rPr>
                <w:rFonts w:hint="eastAsia" w:ascii="仿宋" w:hAnsi="仿宋" w:eastAsia="仿宋"/>
                <w:sz w:val="32"/>
                <w:szCs w:val="32"/>
              </w:rPr>
              <w:t>事业</w:t>
            </w:r>
          </w:p>
        </w:tc>
        <w:tc>
          <w:tcPr>
            <w:tcW w:w="1635" w:type="dxa"/>
            <w:tcBorders>
              <w:top w:val="single" w:color="000000" w:sz="4" w:space="0"/>
              <w:left w:val="nil"/>
              <w:bottom w:val="single" w:color="000000" w:sz="4" w:space="0"/>
              <w:right w:val="single" w:color="000000" w:sz="4" w:space="0"/>
            </w:tcBorders>
            <w:vAlign w:val="center"/>
          </w:tcPr>
          <w:p w14:paraId="07807180">
            <w:pPr>
              <w:adjustRightInd w:val="0"/>
              <w:snapToGrid w:val="0"/>
              <w:spacing w:line="560" w:lineRule="exact"/>
              <w:jc w:val="center"/>
              <w:rPr>
                <w:rFonts w:hint="eastAsia" w:ascii="仿宋" w:hAnsi="仿宋" w:eastAsia="仿宋"/>
                <w:sz w:val="32"/>
                <w:szCs w:val="32"/>
                <w:lang w:val="en-US" w:eastAsia="zh-CN"/>
              </w:rPr>
            </w:pPr>
            <w:r>
              <w:rPr>
                <w:rFonts w:hint="eastAsia" w:ascii="仿宋" w:hAnsi="仿宋" w:eastAsia="仿宋"/>
                <w:sz w:val="32"/>
                <w:szCs w:val="32"/>
                <w:lang w:val="en-US" w:eastAsia="zh-CN"/>
              </w:rPr>
              <w:t>股级</w:t>
            </w:r>
          </w:p>
        </w:tc>
        <w:tc>
          <w:tcPr>
            <w:tcW w:w="2196" w:type="dxa"/>
            <w:tcBorders>
              <w:top w:val="single" w:color="000000" w:sz="4" w:space="0"/>
              <w:left w:val="nil"/>
              <w:bottom w:val="single" w:color="000000" w:sz="4" w:space="0"/>
              <w:right w:val="single" w:color="000000" w:sz="4" w:space="0"/>
            </w:tcBorders>
            <w:vAlign w:val="center"/>
          </w:tcPr>
          <w:p w14:paraId="10BBC802">
            <w:pPr>
              <w:adjustRightInd w:val="0"/>
              <w:snapToGrid w:val="0"/>
              <w:spacing w:line="560" w:lineRule="exact"/>
              <w:jc w:val="center"/>
              <w:rPr>
                <w:rFonts w:hint="eastAsia" w:ascii="仿宋" w:hAnsi="仿宋" w:eastAsia="仿宋"/>
                <w:sz w:val="32"/>
                <w:szCs w:val="32"/>
                <w:lang w:val="en-US" w:eastAsia="zh-CN"/>
              </w:rPr>
            </w:pPr>
            <w:r>
              <w:rPr>
                <w:rFonts w:hint="eastAsia" w:ascii="仿宋" w:hAnsi="仿宋" w:eastAsia="仿宋"/>
                <w:sz w:val="32"/>
                <w:szCs w:val="32"/>
                <w:lang w:val="en-US" w:eastAsia="zh-CN"/>
              </w:rPr>
              <w:t>自收自支</w:t>
            </w:r>
          </w:p>
        </w:tc>
      </w:tr>
    </w:tbl>
    <w:p w14:paraId="069F29E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2025年井陉县残疾人联合会公务员编制6人，工勤编1人。井陉县残疾人劳动就业服务所编制10人。</w:t>
      </w:r>
    </w:p>
    <w:p w14:paraId="294E4B8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3、资产情况：</w:t>
      </w:r>
      <w:r>
        <w:rPr>
          <w:rFonts w:hint="eastAsia" w:ascii="仿宋" w:hAnsi="仿宋" w:eastAsia="仿宋"/>
          <w:sz w:val="32"/>
          <w:szCs w:val="32"/>
        </w:rPr>
        <w:t>井陉县</w:t>
      </w:r>
      <w:r>
        <w:rPr>
          <w:rFonts w:hint="eastAsia" w:ascii="仿宋" w:hAnsi="仿宋" w:eastAsia="仿宋"/>
          <w:sz w:val="32"/>
          <w:szCs w:val="32"/>
          <w:lang w:val="en-US" w:eastAsia="zh-CN"/>
        </w:rPr>
        <w:t>残联</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年末固定资产金额为</w:t>
      </w:r>
      <w:r>
        <w:rPr>
          <w:rFonts w:hint="eastAsia" w:ascii="仿宋" w:hAnsi="仿宋" w:eastAsia="仿宋"/>
          <w:sz w:val="32"/>
          <w:szCs w:val="32"/>
          <w:lang w:val="en-US" w:eastAsia="zh-CN"/>
        </w:rPr>
        <w:t>867</w:t>
      </w:r>
      <w:r>
        <w:rPr>
          <w:rFonts w:hint="eastAsia" w:ascii="仿宋" w:hAnsi="仿宋" w:eastAsia="仿宋"/>
          <w:sz w:val="32"/>
          <w:szCs w:val="32"/>
          <w:lang w:eastAsia="zh-CN"/>
        </w:rPr>
        <w:t>万元。</w:t>
      </w:r>
    </w:p>
    <w:p w14:paraId="27BC958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7AE06EDC">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 w:hAnsi="仿宋" w:eastAsia="仿宋" w:cs="仿宋"/>
          <w:sz w:val="32"/>
          <w:szCs w:val="32"/>
        </w:rPr>
      </w:pPr>
      <w:r>
        <w:rPr>
          <w:rFonts w:hint="eastAsia" w:ascii="仿宋" w:hAnsi="仿宋" w:eastAsia="仿宋" w:cs="仿宋"/>
          <w:sz w:val="32"/>
          <w:szCs w:val="32"/>
        </w:rPr>
        <w:t>1、预算情况：按照预算管理有关规定，目前我县部门预算的编制实行综合预算管理，即全部收入和支出都反映在预算中。残联及所属事业单位的收支包含在部门预算中。</w:t>
      </w:r>
    </w:p>
    <w:p w14:paraId="7F0E2194">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 w:hAnsi="仿宋" w:eastAsia="仿宋" w:cs="仿宋"/>
          <w:color w:val="auto"/>
          <w:sz w:val="32"/>
          <w:szCs w:val="32"/>
        </w:rPr>
      </w:pPr>
      <w:r>
        <w:rPr>
          <w:rFonts w:hint="eastAsia" w:ascii="仿宋" w:hAnsi="仿宋" w:eastAsia="仿宋" w:cs="仿宋"/>
          <w:color w:val="auto"/>
          <w:sz w:val="32"/>
          <w:szCs w:val="32"/>
        </w:rPr>
        <w:t>（一）收入说明：202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年预算收入</w:t>
      </w:r>
      <w:r>
        <w:rPr>
          <w:rFonts w:hint="eastAsia" w:ascii="仿宋" w:hAnsi="仿宋" w:eastAsia="仿宋" w:cs="仿宋"/>
          <w:color w:val="auto"/>
          <w:sz w:val="32"/>
          <w:szCs w:val="32"/>
          <w:lang w:val="en-US" w:eastAsia="zh-CN"/>
        </w:rPr>
        <w:t>609.85</w:t>
      </w:r>
      <w:r>
        <w:rPr>
          <w:rFonts w:hint="eastAsia" w:ascii="仿宋" w:hAnsi="仿宋" w:eastAsia="仿宋" w:cs="仿宋"/>
          <w:color w:val="auto"/>
          <w:sz w:val="32"/>
          <w:szCs w:val="32"/>
        </w:rPr>
        <w:t>万元。</w:t>
      </w:r>
    </w:p>
    <w:p w14:paraId="02412A83">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 w:hAnsi="仿宋" w:eastAsia="仿宋" w:cs="仿宋"/>
          <w:color w:val="auto"/>
          <w:sz w:val="32"/>
          <w:szCs w:val="32"/>
        </w:rPr>
      </w:pPr>
      <w:r>
        <w:rPr>
          <w:rFonts w:hint="eastAsia" w:ascii="仿宋" w:hAnsi="仿宋" w:eastAsia="仿宋" w:cs="仿宋"/>
          <w:color w:val="auto"/>
          <w:sz w:val="32"/>
          <w:szCs w:val="32"/>
        </w:rPr>
        <w:t>（二）支出说明：202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年部门支出预算为</w:t>
      </w:r>
      <w:r>
        <w:rPr>
          <w:rFonts w:hint="eastAsia" w:ascii="仿宋" w:hAnsi="仿宋" w:eastAsia="仿宋" w:cs="仿宋"/>
          <w:color w:val="auto"/>
          <w:sz w:val="32"/>
          <w:szCs w:val="32"/>
          <w:lang w:val="en-US" w:eastAsia="zh-CN"/>
        </w:rPr>
        <w:t>609.85</w:t>
      </w:r>
      <w:r>
        <w:rPr>
          <w:rFonts w:hint="eastAsia" w:ascii="仿宋" w:hAnsi="仿宋" w:eastAsia="仿宋" w:cs="仿宋"/>
          <w:color w:val="auto"/>
          <w:sz w:val="32"/>
          <w:szCs w:val="32"/>
        </w:rPr>
        <w:t>万元，包括人员经费</w:t>
      </w:r>
      <w:r>
        <w:rPr>
          <w:rFonts w:hint="eastAsia" w:ascii="仿宋" w:hAnsi="仿宋" w:eastAsia="仿宋" w:cs="仿宋"/>
          <w:color w:val="auto"/>
          <w:sz w:val="32"/>
          <w:szCs w:val="32"/>
          <w:lang w:val="en-US" w:eastAsia="zh-CN"/>
        </w:rPr>
        <w:t>225.19</w:t>
      </w:r>
      <w:r>
        <w:rPr>
          <w:rFonts w:hint="eastAsia" w:ascii="仿宋" w:hAnsi="仿宋" w:eastAsia="仿宋" w:cs="仿宋"/>
          <w:color w:val="auto"/>
          <w:sz w:val="32"/>
          <w:szCs w:val="32"/>
        </w:rPr>
        <w:t>万元和日常公用经费</w:t>
      </w:r>
      <w:r>
        <w:rPr>
          <w:rFonts w:hint="eastAsia" w:ascii="仿宋" w:hAnsi="仿宋" w:eastAsia="仿宋" w:cs="仿宋"/>
          <w:color w:val="auto"/>
          <w:sz w:val="32"/>
          <w:szCs w:val="32"/>
          <w:lang w:val="en-US" w:eastAsia="zh-CN"/>
        </w:rPr>
        <w:t>14.64</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370.02</w:t>
      </w:r>
      <w:r>
        <w:rPr>
          <w:rFonts w:hint="eastAsia" w:ascii="仿宋" w:hAnsi="仿宋" w:eastAsia="仿宋" w:cs="仿宋"/>
          <w:color w:val="auto"/>
          <w:sz w:val="32"/>
          <w:szCs w:val="32"/>
        </w:rPr>
        <w:t>万元。</w:t>
      </w:r>
    </w:p>
    <w:p w14:paraId="6F68DB73">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 w:hAnsi="仿宋" w:eastAsia="仿宋" w:cs="仿宋"/>
          <w:sz w:val="32"/>
          <w:szCs w:val="32"/>
        </w:rPr>
      </w:pPr>
      <w:r>
        <w:rPr>
          <w:rFonts w:hint="eastAsia" w:ascii="仿宋" w:hAnsi="仿宋" w:eastAsia="仿宋" w:cs="仿宋"/>
          <w:sz w:val="32"/>
          <w:szCs w:val="32"/>
        </w:rPr>
        <w:t>2、决算情况：</w:t>
      </w:r>
    </w:p>
    <w:p w14:paraId="12272D87">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 w:hAnsi="仿宋" w:eastAsia="仿宋" w:cs="仿宋"/>
          <w:sz w:val="32"/>
          <w:szCs w:val="32"/>
        </w:rPr>
      </w:pPr>
      <w:r>
        <w:rPr>
          <w:rFonts w:hint="eastAsia" w:ascii="仿宋" w:hAnsi="仿宋" w:eastAsia="仿宋" w:cs="仿宋"/>
          <w:sz w:val="32"/>
          <w:szCs w:val="32"/>
        </w:rPr>
        <w:t>（一）、收入情况：</w:t>
      </w:r>
    </w:p>
    <w:p w14:paraId="6338ACE2">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 w:hAnsi="仿宋" w:eastAsia="仿宋" w:cs="仿宋"/>
          <w:color w:val="auto"/>
          <w:sz w:val="32"/>
          <w:szCs w:val="32"/>
        </w:rPr>
      </w:pP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年部门决算：20</w:t>
      </w:r>
      <w:r>
        <w:rPr>
          <w:rFonts w:hint="eastAsia" w:ascii="仿宋" w:hAnsi="仿宋" w:eastAsia="仿宋" w:cs="仿宋"/>
          <w:color w:val="auto"/>
          <w:sz w:val="32"/>
          <w:szCs w:val="32"/>
          <w:lang w:val="en-US" w:eastAsia="zh-CN"/>
        </w:rPr>
        <w:t>25</w:t>
      </w:r>
      <w:r>
        <w:rPr>
          <w:rFonts w:hint="eastAsia" w:ascii="仿宋" w:hAnsi="仿宋" w:eastAsia="仿宋" w:cs="仿宋"/>
          <w:color w:val="auto"/>
          <w:sz w:val="32"/>
          <w:szCs w:val="32"/>
        </w:rPr>
        <w:t>年部门收入</w:t>
      </w:r>
      <w:r>
        <w:rPr>
          <w:rFonts w:hint="eastAsia" w:ascii="仿宋" w:hAnsi="仿宋" w:eastAsia="仿宋" w:cs="仿宋"/>
          <w:color w:val="auto"/>
          <w:sz w:val="32"/>
          <w:szCs w:val="32"/>
          <w:lang w:val="en-US" w:eastAsia="zh-CN"/>
        </w:rPr>
        <w:t>559.98</w:t>
      </w:r>
      <w:r>
        <w:rPr>
          <w:rFonts w:hint="eastAsia" w:ascii="仿宋" w:hAnsi="仿宋" w:eastAsia="仿宋" w:cs="仿宋"/>
          <w:color w:val="auto"/>
          <w:sz w:val="32"/>
          <w:szCs w:val="32"/>
        </w:rPr>
        <w:t>万元。</w:t>
      </w:r>
    </w:p>
    <w:p w14:paraId="4B578BDC">
      <w:pPr>
        <w:pStyle w:val="10"/>
        <w:keepNext w:val="0"/>
        <w:keepLines w:val="0"/>
        <w:pageBreakBefore w:val="0"/>
        <w:widowControl w:val="0"/>
        <w:kinsoku/>
        <w:wordWrap/>
        <w:overflowPunct/>
        <w:topLinePunct w:val="0"/>
        <w:autoSpaceDE/>
        <w:autoSpaceDN/>
        <w:bidi w:val="0"/>
        <w:adjustRightInd/>
        <w:snapToGrid/>
        <w:spacing w:line="560" w:lineRule="exact"/>
        <w:textAlignment w:val="baseline"/>
        <w:rPr>
          <w:color w:val="auto"/>
        </w:rPr>
      </w:pPr>
      <w:r>
        <w:rPr>
          <w:rFonts w:hint="eastAsia" w:ascii="仿宋" w:hAnsi="仿宋" w:eastAsia="仿宋" w:cs="仿宋"/>
          <w:color w:val="auto"/>
          <w:sz w:val="32"/>
          <w:szCs w:val="32"/>
        </w:rPr>
        <w:t>（二）、支出情况：202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年部门支出</w:t>
      </w:r>
      <w:r>
        <w:rPr>
          <w:rFonts w:hint="eastAsia" w:ascii="仿宋" w:hAnsi="仿宋" w:eastAsia="仿宋" w:cs="仿宋"/>
          <w:color w:val="auto"/>
          <w:sz w:val="32"/>
          <w:szCs w:val="32"/>
          <w:lang w:val="en-US" w:eastAsia="zh-CN"/>
        </w:rPr>
        <w:t>559.98</w:t>
      </w:r>
      <w:r>
        <w:rPr>
          <w:rFonts w:hint="eastAsia" w:ascii="仿宋" w:hAnsi="仿宋" w:eastAsia="仿宋" w:cs="仿宋"/>
          <w:color w:val="auto"/>
          <w:sz w:val="32"/>
          <w:szCs w:val="32"/>
        </w:rPr>
        <w:t>万元。基本支出</w:t>
      </w:r>
      <w:r>
        <w:rPr>
          <w:rFonts w:hint="eastAsia" w:ascii="仿宋" w:hAnsi="仿宋" w:eastAsia="仿宋" w:cs="仿宋"/>
          <w:color w:val="auto"/>
          <w:sz w:val="32"/>
          <w:szCs w:val="32"/>
          <w:lang w:val="en-US" w:eastAsia="zh-CN"/>
        </w:rPr>
        <w:t>242.79</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317.19</w:t>
      </w:r>
      <w:r>
        <w:rPr>
          <w:rFonts w:hint="eastAsia" w:ascii="仿宋" w:hAnsi="仿宋" w:eastAsia="仿宋" w:cs="仿宋"/>
          <w:color w:val="auto"/>
          <w:sz w:val="32"/>
          <w:szCs w:val="32"/>
        </w:rPr>
        <w:t>万元。</w:t>
      </w:r>
    </w:p>
    <w:p w14:paraId="2B2D824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96BBB8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1、“精准助残服务工程”</w:t>
      </w:r>
    </w:p>
    <w:p w14:paraId="3E9F986B">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一是</w:t>
      </w:r>
      <w:r>
        <w:rPr>
          <w:rFonts w:hint="eastAsia" w:ascii="仿宋" w:hAnsi="仿宋" w:eastAsia="仿宋"/>
          <w:sz w:val="32"/>
          <w:szCs w:val="32"/>
        </w:rPr>
        <w:t>为</w:t>
      </w:r>
      <w:r>
        <w:rPr>
          <w:rFonts w:hint="eastAsia" w:ascii="仿宋" w:hAnsi="仿宋" w:eastAsia="仿宋"/>
          <w:sz w:val="32"/>
          <w:szCs w:val="32"/>
          <w:lang w:val="en-US" w:eastAsia="zh-CN"/>
        </w:rPr>
        <w:t>41</w:t>
      </w:r>
      <w:r>
        <w:rPr>
          <w:rFonts w:hint="eastAsia" w:ascii="仿宋" w:hAnsi="仿宋" w:eastAsia="仿宋"/>
          <w:sz w:val="32"/>
          <w:szCs w:val="32"/>
        </w:rPr>
        <w:t>名残疾儿童提供康复救助</w:t>
      </w:r>
      <w:r>
        <w:rPr>
          <w:rFonts w:hint="eastAsia" w:ascii="仿宋" w:hAnsi="仿宋" w:eastAsia="仿宋"/>
          <w:sz w:val="32"/>
          <w:szCs w:val="32"/>
          <w:lang w:eastAsia="zh-CN"/>
        </w:rPr>
        <w:t>。</w:t>
      </w:r>
    </w:p>
    <w:p w14:paraId="7B48893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为</w:t>
      </w:r>
      <w:r>
        <w:rPr>
          <w:rFonts w:hint="eastAsia" w:ascii="仿宋" w:hAnsi="仿宋" w:eastAsia="仿宋"/>
          <w:sz w:val="32"/>
          <w:szCs w:val="32"/>
          <w:lang w:val="en-US" w:eastAsia="zh-CN"/>
        </w:rPr>
        <w:t>51</w:t>
      </w:r>
      <w:r>
        <w:rPr>
          <w:rFonts w:hint="eastAsia" w:ascii="仿宋" w:hAnsi="仿宋" w:eastAsia="仿宋"/>
          <w:sz w:val="32"/>
          <w:szCs w:val="32"/>
        </w:rPr>
        <w:t>名残疾儿童提供康复救助</w:t>
      </w:r>
      <w:r>
        <w:rPr>
          <w:rFonts w:hint="eastAsia" w:ascii="仿宋" w:hAnsi="仿宋" w:eastAsia="仿宋"/>
          <w:sz w:val="32"/>
          <w:szCs w:val="32"/>
          <w:lang w:val="en-US" w:eastAsia="zh-CN"/>
        </w:rPr>
        <w:t>，占总任务数124%。</w:t>
      </w:r>
    </w:p>
    <w:p w14:paraId="051E884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二是为395名残疾人提供康复服务</w:t>
      </w:r>
      <w:bookmarkStart w:id="0" w:name="OLE_LINK6"/>
      <w:r>
        <w:rPr>
          <w:rFonts w:hint="eastAsia" w:ascii="仿宋" w:hAnsi="仿宋" w:eastAsia="仿宋"/>
          <w:sz w:val="32"/>
          <w:szCs w:val="32"/>
          <w:lang w:val="en-US" w:eastAsia="zh-CN"/>
        </w:rPr>
        <w:t>。</w:t>
      </w:r>
      <w:bookmarkEnd w:id="0"/>
    </w:p>
    <w:p w14:paraId="1C0BC0B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为397名残疾人提供康复服务</w:t>
      </w:r>
      <w:bookmarkStart w:id="1" w:name="OLE_LINK7"/>
      <w:r>
        <w:rPr>
          <w:rFonts w:hint="eastAsia" w:ascii="仿宋" w:hAnsi="仿宋" w:eastAsia="仿宋"/>
          <w:sz w:val="32"/>
          <w:szCs w:val="32"/>
          <w:lang w:val="en-US" w:eastAsia="zh-CN"/>
        </w:rPr>
        <w:t>，占总任务数100%。</w:t>
      </w:r>
      <w:bookmarkEnd w:id="1"/>
    </w:p>
    <w:p w14:paraId="25CA28A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三是为465名残疾人适配辅助器具。</w:t>
      </w:r>
    </w:p>
    <w:p w14:paraId="041694B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为547名残疾人适配辅助器具</w:t>
      </w:r>
      <w:bookmarkStart w:id="2" w:name="OLE_LINK8"/>
      <w:r>
        <w:rPr>
          <w:rFonts w:hint="eastAsia" w:ascii="仿宋" w:hAnsi="仿宋" w:eastAsia="仿宋"/>
          <w:sz w:val="32"/>
          <w:szCs w:val="32"/>
          <w:lang w:val="en-US" w:eastAsia="zh-CN"/>
        </w:rPr>
        <w:t>，占总任务数118%。</w:t>
      </w:r>
      <w:bookmarkEnd w:id="2"/>
    </w:p>
    <w:p w14:paraId="633DE3E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四是为30名残疾人提供就业培训服务，新增残疾人就业54人。</w:t>
      </w:r>
    </w:p>
    <w:p w14:paraId="33F75E2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为40名残疾人提供就业培训服务，占总任务数133%。新增残疾人就业54人，</w:t>
      </w:r>
      <w:bookmarkStart w:id="3" w:name="OLE_LINK9"/>
      <w:r>
        <w:rPr>
          <w:rFonts w:hint="eastAsia" w:ascii="仿宋" w:hAnsi="仿宋" w:eastAsia="仿宋"/>
          <w:sz w:val="32"/>
          <w:szCs w:val="32"/>
          <w:lang w:val="en-US" w:eastAsia="zh-CN"/>
        </w:rPr>
        <w:t>占总任务数100%。</w:t>
      </w:r>
      <w:bookmarkEnd w:id="3"/>
    </w:p>
    <w:p w14:paraId="46ABAD9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五是为106名残疾人提供托养服务。</w:t>
      </w:r>
    </w:p>
    <w:p w14:paraId="395CAA9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为146名残疾人提供托养服务，占总任务数138%。。</w:t>
      </w:r>
    </w:p>
    <w:p w14:paraId="137B4B0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六是</w:t>
      </w:r>
      <w:bookmarkStart w:id="4" w:name="OLE_LINK4"/>
      <w:bookmarkStart w:id="5" w:name="OLE_LINK5"/>
      <w:r>
        <w:rPr>
          <w:rFonts w:hint="eastAsia" w:ascii="仿宋" w:hAnsi="仿宋" w:eastAsia="仿宋"/>
          <w:sz w:val="32"/>
          <w:szCs w:val="32"/>
          <w:lang w:val="en-US" w:eastAsia="zh-CN"/>
        </w:rPr>
        <w:t>为100户残疾人实施残疾人家庭无障碍改造</w:t>
      </w:r>
      <w:bookmarkEnd w:id="4"/>
      <w:r>
        <w:rPr>
          <w:rFonts w:hint="eastAsia" w:ascii="仿宋" w:hAnsi="仿宋" w:eastAsia="仿宋"/>
          <w:sz w:val="32"/>
          <w:szCs w:val="32"/>
          <w:lang w:val="en-US" w:eastAsia="zh-CN"/>
        </w:rPr>
        <w:t>。</w:t>
      </w:r>
      <w:bookmarkEnd w:id="5"/>
    </w:p>
    <w:p w14:paraId="17C3E01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为205户残疾人实施残疾人家庭无障碍改造，占总任务数205%。</w:t>
      </w:r>
    </w:p>
    <w:p w14:paraId="23AD3E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七是帮助残疾学生和残疾人家庭子女上大学。</w:t>
      </w:r>
    </w:p>
    <w:p w14:paraId="78999B2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帮助8名残疾人家庭子女上大学。</w:t>
      </w:r>
    </w:p>
    <w:p w14:paraId="260FD33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八是为76名残疾人提供残疾评定补贴。</w:t>
      </w:r>
    </w:p>
    <w:p w14:paraId="449AC0A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为80名残疾人提供残疾评定补贴，占总任务数105%。</w:t>
      </w:r>
    </w:p>
    <w:p w14:paraId="3B5F944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2、业务工作</w:t>
      </w:r>
    </w:p>
    <w:p w14:paraId="5A09B8A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 xml:space="preserve">残疾人组织联络工作  </w:t>
      </w:r>
    </w:p>
    <w:p w14:paraId="3DA48B08">
      <w:pPr>
        <w:adjustRightInd w:val="0"/>
        <w:snapToGrid w:val="0"/>
        <w:spacing w:line="560" w:lineRule="exact"/>
        <w:ind w:firstLine="640" w:firstLineChars="200"/>
        <w:rPr>
          <w:rFonts w:hint="eastAsia" w:ascii="仿宋" w:hAnsi="仿宋" w:eastAsia="仿宋"/>
          <w:sz w:val="32"/>
          <w:szCs w:val="32"/>
        </w:rPr>
      </w:pPr>
      <w:bookmarkStart w:id="6" w:name="OLE_LINK1"/>
      <w:r>
        <w:rPr>
          <w:rFonts w:hint="eastAsia" w:ascii="仿宋" w:hAnsi="仿宋" w:eastAsia="仿宋"/>
          <w:sz w:val="32"/>
          <w:szCs w:val="32"/>
          <w:lang w:eastAsia="zh-CN"/>
        </w:rPr>
        <w:t>一是</w:t>
      </w:r>
      <w:r>
        <w:rPr>
          <w:rFonts w:hint="eastAsia" w:ascii="仿宋" w:hAnsi="仿宋" w:eastAsia="仿宋"/>
          <w:sz w:val="32"/>
          <w:szCs w:val="32"/>
        </w:rPr>
        <w:t>20</w:t>
      </w:r>
      <w:r>
        <w:rPr>
          <w:rFonts w:hint="eastAsia" w:ascii="仿宋" w:hAnsi="仿宋" w:eastAsia="仿宋"/>
          <w:sz w:val="32"/>
          <w:szCs w:val="32"/>
          <w:lang w:val="en-US" w:eastAsia="zh-CN"/>
        </w:rPr>
        <w:t>25</w:t>
      </w:r>
      <w:r>
        <w:rPr>
          <w:rFonts w:hint="eastAsia" w:ascii="仿宋" w:hAnsi="仿宋" w:eastAsia="仿宋"/>
          <w:sz w:val="32"/>
          <w:szCs w:val="32"/>
        </w:rPr>
        <w:t>年办理残疾人证</w:t>
      </w:r>
      <w:r>
        <w:rPr>
          <w:rFonts w:hint="eastAsia" w:ascii="仿宋" w:hAnsi="仿宋" w:eastAsia="仿宋"/>
          <w:sz w:val="32"/>
          <w:szCs w:val="32"/>
          <w:lang w:val="en-US" w:eastAsia="zh-CN"/>
        </w:rPr>
        <w:t>529</w:t>
      </w:r>
      <w:r>
        <w:rPr>
          <w:rFonts w:hint="eastAsia" w:ascii="仿宋" w:hAnsi="仿宋" w:eastAsia="仿宋"/>
          <w:sz w:val="32"/>
          <w:szCs w:val="32"/>
        </w:rPr>
        <w:t>人，其中为</w:t>
      </w:r>
      <w:r>
        <w:rPr>
          <w:rFonts w:hint="eastAsia" w:ascii="仿宋" w:hAnsi="仿宋" w:eastAsia="仿宋"/>
          <w:sz w:val="32"/>
          <w:szCs w:val="32"/>
          <w:lang w:val="en-US" w:eastAsia="zh-CN"/>
        </w:rPr>
        <w:t>52</w:t>
      </w:r>
      <w:r>
        <w:rPr>
          <w:rFonts w:hint="eastAsia" w:ascii="仿宋" w:hAnsi="仿宋" w:eastAsia="仿宋"/>
          <w:sz w:val="32"/>
          <w:szCs w:val="32"/>
        </w:rPr>
        <w:t>名重度残疾人入户办理残疾人证。</w:t>
      </w:r>
      <w:r>
        <w:rPr>
          <w:rFonts w:hint="eastAsia" w:ascii="仿宋" w:hAnsi="仿宋" w:eastAsia="仿宋"/>
          <w:sz w:val="32"/>
          <w:szCs w:val="32"/>
          <w:lang w:eastAsia="zh-CN"/>
        </w:rPr>
        <w:t>二是</w:t>
      </w:r>
      <w:r>
        <w:rPr>
          <w:rFonts w:hint="eastAsia" w:ascii="仿宋" w:hAnsi="仿宋" w:eastAsia="仿宋"/>
          <w:sz w:val="32"/>
          <w:szCs w:val="32"/>
        </w:rPr>
        <w:t>按时完成对17个乡镇理事长和村信息采集员的培训工作。顺利完成全县</w:t>
      </w:r>
      <w:r>
        <w:rPr>
          <w:rFonts w:hint="eastAsia" w:ascii="仿宋" w:hAnsi="仿宋" w:eastAsia="仿宋"/>
          <w:sz w:val="32"/>
          <w:szCs w:val="32"/>
          <w:lang w:val="en-US" w:eastAsia="zh-CN"/>
        </w:rPr>
        <w:t>8513名</w:t>
      </w:r>
      <w:r>
        <w:rPr>
          <w:rFonts w:hint="eastAsia" w:ascii="仿宋" w:hAnsi="仿宋" w:eastAsia="仿宋"/>
          <w:sz w:val="32"/>
          <w:szCs w:val="32"/>
        </w:rPr>
        <w:t>持证残疾人基本服务状况和需求信息数据动态更新入户调查及手机APP录入工作。入户率</w:t>
      </w:r>
      <w:r>
        <w:rPr>
          <w:rFonts w:hint="eastAsia" w:ascii="仿宋" w:hAnsi="仿宋" w:eastAsia="仿宋"/>
          <w:sz w:val="32"/>
          <w:szCs w:val="32"/>
          <w:lang w:val="en-US" w:eastAsia="zh-CN"/>
        </w:rPr>
        <w:t>100</w:t>
      </w:r>
      <w:r>
        <w:rPr>
          <w:rFonts w:hint="eastAsia" w:ascii="仿宋" w:hAnsi="仿宋" w:eastAsia="仿宋"/>
          <w:sz w:val="32"/>
          <w:szCs w:val="32"/>
        </w:rPr>
        <w:t>%，手机APP录入率达到</w:t>
      </w:r>
      <w:r>
        <w:rPr>
          <w:rFonts w:hint="eastAsia" w:ascii="仿宋" w:hAnsi="仿宋" w:eastAsia="仿宋"/>
          <w:sz w:val="32"/>
          <w:szCs w:val="32"/>
          <w:lang w:val="en-US" w:eastAsia="zh-CN"/>
        </w:rPr>
        <w:t>100</w:t>
      </w:r>
      <w:r>
        <w:rPr>
          <w:rFonts w:hint="eastAsia" w:ascii="仿宋" w:hAnsi="仿宋" w:eastAsia="仿宋"/>
          <w:sz w:val="32"/>
          <w:szCs w:val="32"/>
        </w:rPr>
        <w:t>%。</w:t>
      </w:r>
    </w:p>
    <w:bookmarkEnd w:id="6"/>
    <w:p w14:paraId="08AAAF4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残疾人</w:t>
      </w:r>
      <w:r>
        <w:rPr>
          <w:rFonts w:hint="eastAsia" w:ascii="仿宋" w:hAnsi="仿宋" w:eastAsia="仿宋"/>
          <w:sz w:val="32"/>
          <w:szCs w:val="32"/>
          <w:lang w:eastAsia="zh-CN"/>
        </w:rPr>
        <w:t>“</w:t>
      </w:r>
      <w:r>
        <w:rPr>
          <w:rFonts w:hint="eastAsia" w:ascii="仿宋" w:hAnsi="仿宋" w:eastAsia="仿宋"/>
          <w:sz w:val="32"/>
          <w:szCs w:val="32"/>
          <w:lang w:val="en-US" w:eastAsia="zh-CN"/>
        </w:rPr>
        <w:t>两补</w:t>
      </w:r>
      <w:r>
        <w:rPr>
          <w:rFonts w:hint="eastAsia" w:ascii="仿宋" w:hAnsi="仿宋" w:eastAsia="仿宋"/>
          <w:sz w:val="32"/>
          <w:szCs w:val="32"/>
          <w:lang w:eastAsia="zh-CN"/>
        </w:rPr>
        <w:t>”</w:t>
      </w:r>
      <w:r>
        <w:rPr>
          <w:rFonts w:hint="eastAsia" w:ascii="仿宋" w:hAnsi="仿宋" w:eastAsia="仿宋"/>
          <w:sz w:val="32"/>
          <w:szCs w:val="32"/>
          <w:lang w:val="en-US" w:eastAsia="zh-CN"/>
        </w:rPr>
        <w:t>审核</w:t>
      </w:r>
      <w:r>
        <w:rPr>
          <w:rFonts w:hint="eastAsia" w:ascii="仿宋" w:hAnsi="仿宋" w:eastAsia="仿宋"/>
          <w:sz w:val="32"/>
          <w:szCs w:val="32"/>
        </w:rPr>
        <w:t>工作</w:t>
      </w:r>
    </w:p>
    <w:p w14:paraId="4B62866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县残联审核符合重度残疾人护理补贴条件的</w:t>
      </w:r>
      <w:r>
        <w:rPr>
          <w:rFonts w:hint="eastAsia" w:ascii="仿宋" w:hAnsi="仿宋" w:eastAsia="仿宋"/>
          <w:sz w:val="32"/>
          <w:szCs w:val="32"/>
          <w:lang w:val="en-US" w:eastAsia="zh-CN"/>
        </w:rPr>
        <w:t>2992</w:t>
      </w:r>
      <w:r>
        <w:rPr>
          <w:rFonts w:hint="eastAsia" w:ascii="仿宋" w:hAnsi="仿宋" w:eastAsia="仿宋"/>
          <w:sz w:val="32"/>
          <w:szCs w:val="32"/>
        </w:rPr>
        <w:t>人；符合困难残疾人生活补贴条件的</w:t>
      </w:r>
      <w:r>
        <w:rPr>
          <w:rFonts w:hint="eastAsia" w:ascii="仿宋" w:hAnsi="仿宋" w:eastAsia="仿宋"/>
          <w:sz w:val="32"/>
          <w:szCs w:val="32"/>
          <w:lang w:val="en-US" w:eastAsia="zh-CN"/>
        </w:rPr>
        <w:t>1661</w:t>
      </w:r>
      <w:r>
        <w:rPr>
          <w:rFonts w:hint="eastAsia" w:ascii="仿宋" w:hAnsi="仿宋" w:eastAsia="仿宋"/>
          <w:sz w:val="32"/>
          <w:szCs w:val="32"/>
        </w:rPr>
        <w:t xml:space="preserve">人。 </w:t>
      </w:r>
    </w:p>
    <w:p w14:paraId="55F65FD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残疾人信访维权工作</w:t>
      </w:r>
    </w:p>
    <w:p w14:paraId="07F47A6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 xml:space="preserve"> </w:t>
      </w:r>
      <w:bookmarkStart w:id="7" w:name="OLE_LINK3"/>
      <w:r>
        <w:rPr>
          <w:rFonts w:hint="eastAsia" w:ascii="仿宋" w:hAnsi="仿宋" w:eastAsia="仿宋"/>
          <w:sz w:val="32"/>
          <w:szCs w:val="32"/>
        </w:rPr>
        <w:t>一是完成残疾人机动车燃油补贴</w:t>
      </w:r>
      <w:r>
        <w:rPr>
          <w:rFonts w:hint="eastAsia" w:ascii="仿宋" w:hAnsi="仿宋" w:eastAsia="仿宋"/>
          <w:sz w:val="32"/>
          <w:szCs w:val="32"/>
          <w:lang w:val="en-US" w:eastAsia="zh-CN"/>
        </w:rPr>
        <w:t>20</w:t>
      </w:r>
      <w:r>
        <w:rPr>
          <w:rFonts w:hint="eastAsia" w:ascii="仿宋" w:hAnsi="仿宋" w:eastAsia="仿宋"/>
          <w:sz w:val="32"/>
          <w:szCs w:val="32"/>
        </w:rPr>
        <w:t>人</w:t>
      </w:r>
      <w:r>
        <w:rPr>
          <w:rFonts w:hint="eastAsia" w:ascii="仿宋" w:hAnsi="仿宋" w:eastAsia="仿宋"/>
          <w:sz w:val="32"/>
          <w:szCs w:val="32"/>
          <w:lang w:eastAsia="zh-CN"/>
        </w:rPr>
        <w:t>，</w:t>
      </w:r>
      <w:r>
        <w:rPr>
          <w:rFonts w:hint="eastAsia" w:ascii="仿宋" w:hAnsi="仿宋" w:eastAsia="仿宋"/>
          <w:sz w:val="32"/>
          <w:szCs w:val="32"/>
          <w:lang w:val="en-US" w:eastAsia="zh-CN"/>
        </w:rPr>
        <w:t>残疾人驾驶员补贴17人</w:t>
      </w:r>
      <w:r>
        <w:rPr>
          <w:rFonts w:hint="eastAsia" w:ascii="仿宋" w:hAnsi="仿宋" w:eastAsia="仿宋"/>
          <w:sz w:val="32"/>
          <w:szCs w:val="32"/>
        </w:rPr>
        <w:t>。二是完成“爱心卡”新办补检</w:t>
      </w:r>
      <w:r>
        <w:rPr>
          <w:rFonts w:hint="eastAsia" w:ascii="仿宋" w:hAnsi="仿宋" w:eastAsia="仿宋"/>
          <w:sz w:val="32"/>
          <w:szCs w:val="32"/>
          <w:lang w:val="en-US" w:eastAsia="zh-CN"/>
        </w:rPr>
        <w:t>720</w:t>
      </w:r>
      <w:r>
        <w:rPr>
          <w:rFonts w:hint="eastAsia" w:ascii="仿宋" w:hAnsi="仿宋" w:eastAsia="仿宋"/>
          <w:sz w:val="32"/>
          <w:szCs w:val="32"/>
        </w:rPr>
        <w:t>张</w:t>
      </w:r>
      <w:r>
        <w:rPr>
          <w:rFonts w:hint="eastAsia" w:ascii="仿宋" w:hAnsi="仿宋" w:eastAsia="仿宋"/>
          <w:sz w:val="32"/>
          <w:szCs w:val="32"/>
          <w:lang w:eastAsia="zh-CN"/>
        </w:rPr>
        <w:t>。</w:t>
      </w:r>
      <w:r>
        <w:rPr>
          <w:rFonts w:hint="eastAsia" w:ascii="仿宋" w:hAnsi="仿宋" w:eastAsia="仿宋"/>
          <w:sz w:val="32"/>
          <w:szCs w:val="32"/>
        </w:rPr>
        <w:t>三是县残联认真做好残疾人信访工作</w:t>
      </w:r>
      <w:r>
        <w:rPr>
          <w:rFonts w:hint="eastAsia" w:ascii="仿宋" w:hAnsi="仿宋" w:eastAsia="仿宋"/>
          <w:sz w:val="32"/>
          <w:szCs w:val="32"/>
          <w:lang w:eastAsia="zh-CN"/>
        </w:rPr>
        <w:t>。</w:t>
      </w:r>
      <w:r>
        <w:rPr>
          <w:rFonts w:hint="eastAsia" w:ascii="仿宋" w:hAnsi="仿宋" w:eastAsia="仿宋"/>
          <w:sz w:val="32"/>
          <w:szCs w:val="32"/>
        </w:rPr>
        <w:t>开展12385热线、12345热线、市长热线等残疾人来电办理工作，受理残疾人来电</w:t>
      </w:r>
      <w:r>
        <w:rPr>
          <w:rFonts w:hint="eastAsia" w:ascii="仿宋" w:hAnsi="仿宋" w:eastAsia="仿宋"/>
          <w:sz w:val="32"/>
          <w:szCs w:val="32"/>
          <w:lang w:val="en-US" w:eastAsia="zh-CN"/>
        </w:rPr>
        <w:t>15</w:t>
      </w:r>
      <w:r>
        <w:rPr>
          <w:rFonts w:hint="eastAsia" w:ascii="仿宋" w:hAnsi="仿宋" w:eastAsia="仿宋"/>
          <w:sz w:val="32"/>
          <w:szCs w:val="32"/>
        </w:rPr>
        <w:t>件</w:t>
      </w:r>
      <w:r>
        <w:rPr>
          <w:rFonts w:hint="eastAsia" w:ascii="仿宋" w:hAnsi="仿宋" w:eastAsia="仿宋"/>
          <w:sz w:val="32"/>
          <w:szCs w:val="32"/>
          <w:lang w:eastAsia="zh-CN"/>
        </w:rPr>
        <w:t>；</w:t>
      </w:r>
      <w:r>
        <w:rPr>
          <w:rFonts w:hint="eastAsia" w:ascii="仿宋" w:hAnsi="仿宋" w:eastAsia="仿宋"/>
          <w:sz w:val="32"/>
          <w:szCs w:val="32"/>
        </w:rPr>
        <w:t>共接待残疾人来信来访来电</w:t>
      </w:r>
      <w:r>
        <w:rPr>
          <w:rFonts w:hint="eastAsia" w:ascii="仿宋" w:hAnsi="仿宋" w:eastAsia="仿宋"/>
          <w:sz w:val="32"/>
          <w:szCs w:val="32"/>
          <w:lang w:val="en-US" w:eastAsia="zh-CN"/>
        </w:rPr>
        <w:t>30</w:t>
      </w:r>
      <w:r>
        <w:rPr>
          <w:rFonts w:hint="eastAsia" w:ascii="仿宋" w:hAnsi="仿宋" w:eastAsia="仿宋"/>
          <w:sz w:val="32"/>
          <w:szCs w:val="32"/>
        </w:rPr>
        <w:t>余人次。在各类来信来访中做到了处结率100%，回告率100%。</w:t>
      </w:r>
      <w:bookmarkEnd w:id="7"/>
    </w:p>
    <w:p w14:paraId="3AD5674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残疾人宣传</w:t>
      </w:r>
      <w:r>
        <w:rPr>
          <w:rFonts w:hint="eastAsia" w:ascii="仿宋" w:hAnsi="仿宋" w:eastAsia="仿宋"/>
          <w:sz w:val="32"/>
          <w:szCs w:val="32"/>
          <w:lang w:val="en-US" w:eastAsia="zh-CN"/>
        </w:rPr>
        <w:t>文体</w:t>
      </w:r>
      <w:r>
        <w:rPr>
          <w:rFonts w:hint="eastAsia" w:ascii="仿宋" w:hAnsi="仿宋" w:eastAsia="仿宋"/>
          <w:sz w:val="32"/>
          <w:szCs w:val="32"/>
        </w:rPr>
        <w:t>工作</w:t>
      </w:r>
    </w:p>
    <w:p w14:paraId="7ECC9CF9">
      <w:pPr>
        <w:adjustRightInd w:val="0"/>
        <w:snapToGrid w:val="0"/>
        <w:spacing w:line="560" w:lineRule="exact"/>
        <w:ind w:firstLine="640" w:firstLineChars="200"/>
        <w:rPr>
          <w:rFonts w:hint="eastAsia" w:ascii="仿宋" w:hAnsi="仿宋" w:eastAsia="仿宋"/>
          <w:sz w:val="32"/>
          <w:szCs w:val="32"/>
        </w:rPr>
      </w:pPr>
      <w:bookmarkStart w:id="8" w:name="OLE_LINK2"/>
      <w:r>
        <w:rPr>
          <w:rFonts w:hint="eastAsia" w:ascii="仿宋" w:hAnsi="仿宋" w:eastAsia="仿宋"/>
          <w:sz w:val="32"/>
          <w:szCs w:val="32"/>
        </w:rPr>
        <w:t>5月1</w:t>
      </w:r>
      <w:r>
        <w:rPr>
          <w:rFonts w:hint="eastAsia" w:ascii="仿宋" w:hAnsi="仿宋" w:eastAsia="仿宋"/>
          <w:sz w:val="32"/>
          <w:szCs w:val="32"/>
          <w:lang w:val="en-US" w:eastAsia="zh-CN"/>
        </w:rPr>
        <w:t>6</w:t>
      </w:r>
      <w:r>
        <w:rPr>
          <w:rFonts w:hint="eastAsia" w:ascii="仿宋" w:hAnsi="仿宋" w:eastAsia="仿宋"/>
          <w:sz w:val="32"/>
          <w:szCs w:val="32"/>
        </w:rPr>
        <w:t>日，县残联在县特殊教育学校开展了第三十</w:t>
      </w:r>
      <w:r>
        <w:rPr>
          <w:rFonts w:hint="eastAsia" w:ascii="仿宋" w:hAnsi="仿宋" w:eastAsia="仿宋"/>
          <w:sz w:val="32"/>
          <w:szCs w:val="32"/>
          <w:lang w:val="en-US" w:eastAsia="zh-CN"/>
        </w:rPr>
        <w:t>五</w:t>
      </w:r>
      <w:r>
        <w:rPr>
          <w:rFonts w:hint="eastAsia" w:ascii="仿宋" w:hAnsi="仿宋" w:eastAsia="仿宋"/>
          <w:sz w:val="32"/>
          <w:szCs w:val="32"/>
        </w:rPr>
        <w:t>次“全国助残日爱心捐赠”活动。县委领导及爱心企业代表参加了活动</w:t>
      </w:r>
      <w:r>
        <w:rPr>
          <w:rFonts w:hint="eastAsia" w:ascii="仿宋" w:hAnsi="仿宋" w:eastAsia="仿宋"/>
          <w:sz w:val="32"/>
          <w:szCs w:val="32"/>
          <w:lang w:eastAsia="zh-CN"/>
        </w:rPr>
        <w:t>，</w:t>
      </w:r>
      <w:r>
        <w:rPr>
          <w:rFonts w:hint="eastAsia" w:ascii="仿宋" w:hAnsi="仿宋" w:eastAsia="仿宋"/>
          <w:sz w:val="32"/>
          <w:szCs w:val="32"/>
          <w:lang w:val="en-US" w:eastAsia="zh-CN"/>
        </w:rPr>
        <w:t>捐赠善款6万元</w:t>
      </w:r>
      <w:r>
        <w:rPr>
          <w:rFonts w:hint="eastAsia" w:ascii="仿宋" w:hAnsi="仿宋" w:eastAsia="仿宋"/>
          <w:sz w:val="32"/>
          <w:szCs w:val="32"/>
        </w:rPr>
        <w:t>。通过聋人节、盲人节、“全国助残日”等残疾人重大节日，开展形式多样的活动，发放宣传资料</w:t>
      </w:r>
      <w:r>
        <w:rPr>
          <w:rFonts w:hint="eastAsia" w:ascii="仿宋" w:hAnsi="仿宋" w:eastAsia="仿宋"/>
          <w:sz w:val="32"/>
          <w:szCs w:val="32"/>
          <w:lang w:val="en-US" w:eastAsia="zh-CN"/>
        </w:rPr>
        <w:t>5000</w:t>
      </w:r>
      <w:r>
        <w:rPr>
          <w:rFonts w:hint="eastAsia" w:ascii="仿宋" w:hAnsi="仿宋" w:eastAsia="仿宋"/>
          <w:sz w:val="32"/>
          <w:szCs w:val="32"/>
        </w:rPr>
        <w:t>份。</w:t>
      </w:r>
    </w:p>
    <w:bookmarkEnd w:id="8"/>
    <w:p w14:paraId="1BD0EBA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3、亮点工作</w:t>
      </w:r>
    </w:p>
    <w:p w14:paraId="7F8921BC">
      <w:pPr>
        <w:adjustRightInd w:val="0"/>
        <w:snapToGrid w:val="0"/>
        <w:spacing w:line="560" w:lineRule="exact"/>
        <w:ind w:firstLine="640" w:firstLineChars="200"/>
        <w:rPr>
          <w:rFonts w:hint="default" w:ascii="方正仿宋简体" w:hAnsi="方正仿宋简体" w:eastAsia="方正仿宋简体" w:cs="方正仿宋简体"/>
          <w:sz w:val="32"/>
          <w:szCs w:val="32"/>
          <w:lang w:val="en-US" w:eastAsia="zh-CN"/>
        </w:rPr>
      </w:pPr>
      <w:r>
        <w:rPr>
          <w:rFonts w:hint="eastAsia" w:ascii="仿宋" w:hAnsi="仿宋" w:eastAsia="仿宋"/>
          <w:sz w:val="32"/>
          <w:szCs w:val="32"/>
          <w:lang w:val="en-US" w:eastAsia="zh-CN"/>
        </w:rPr>
        <w:t>高质量超额完成“精准助残服务工程”</w:t>
      </w:r>
      <w:r>
        <w:rPr>
          <w:rFonts w:hint="eastAsia" w:ascii="仿宋" w:hAnsi="仿宋" w:eastAsia="仿宋"/>
          <w:sz w:val="32"/>
          <w:szCs w:val="32"/>
        </w:rPr>
        <w:t>。</w:t>
      </w:r>
      <w:r>
        <w:rPr>
          <w:rFonts w:hint="eastAsia" w:ascii="仿宋" w:hAnsi="仿宋" w:eastAsia="仿宋"/>
          <w:sz w:val="32"/>
          <w:szCs w:val="32"/>
          <w:lang w:val="en-US" w:eastAsia="zh-CN"/>
        </w:rPr>
        <w:t>县残联</w:t>
      </w:r>
      <w:r>
        <w:rPr>
          <w:rFonts w:hint="eastAsia" w:ascii="仿宋" w:hAnsi="仿宋" w:eastAsia="仿宋"/>
          <w:sz w:val="32"/>
          <w:szCs w:val="32"/>
        </w:rPr>
        <w:t>主要负责同志亲自抓、负总责，定期听取工作进展情况汇报，及时解决工作推进中遇到的困难和问题</w:t>
      </w:r>
      <w:r>
        <w:rPr>
          <w:rFonts w:hint="eastAsia" w:ascii="仿宋" w:hAnsi="仿宋" w:eastAsia="仿宋"/>
          <w:sz w:val="32"/>
          <w:szCs w:val="32"/>
          <w:lang w:val="en-US" w:eastAsia="zh-CN"/>
        </w:rPr>
        <w:t>，不断提升了残疾人的生活幸福指数。获得2025年“河北省扶残助残先进集体”荣誉称号。</w:t>
      </w:r>
    </w:p>
    <w:p w14:paraId="7992A30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E4447A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8BBA3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sz w:val="32"/>
          <w:szCs w:val="32"/>
          <w:lang w:val="en-US" w:eastAsia="zh-CN"/>
        </w:rPr>
        <w:t>1、</w:t>
      </w:r>
      <w:r>
        <w:rPr>
          <w:rFonts w:hint="eastAsia" w:ascii="仿宋" w:hAnsi="仿宋" w:eastAsia="仿宋" w:cs="仿宋"/>
          <w:sz w:val="32"/>
          <w:szCs w:val="32"/>
        </w:rPr>
        <w:t>评价方法：一是对照“部门整体支出绩效评价指标体系评分表”的主要考评内容及工作完成情况，将可以公开的资料整理成佐证材料。对照当年工作计划和上级交办的各项工作内容，进行自评、复合，形成总体得分。二是组织纳入部门整体支出绩效评价范围的项目，对专项项目实施了绩效自评。</w:t>
      </w:r>
    </w:p>
    <w:p w14:paraId="09A8B4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实施过程</w:t>
      </w:r>
      <w:r>
        <w:rPr>
          <w:rFonts w:hint="eastAsia" w:ascii="仿宋" w:hAnsi="仿宋" w:eastAsia="仿宋" w:cs="仿宋"/>
          <w:sz w:val="32"/>
          <w:szCs w:val="32"/>
          <w:lang w:eastAsia="zh-CN"/>
        </w:rPr>
        <w:t>：</w:t>
      </w:r>
      <w:r>
        <w:rPr>
          <w:rFonts w:hint="eastAsia" w:ascii="仿宋" w:hAnsi="仿宋" w:eastAsia="仿宋" w:cs="仿宋"/>
          <w:sz w:val="32"/>
          <w:szCs w:val="32"/>
        </w:rPr>
        <w:t>成立项目自评小组，项目执行科室为项目自评的组织科室，负责项目工作的组织、实施、自评。通过填写“县级部门预算项目绩效自评表”，进行</w:t>
      </w:r>
      <w:r>
        <w:rPr>
          <w:rFonts w:hint="eastAsia" w:ascii="仿宋" w:hAnsi="仿宋" w:eastAsia="仿宋" w:cs="仿宋"/>
          <w:sz w:val="32"/>
          <w:szCs w:val="32"/>
          <w:lang w:eastAsia="zh-CN"/>
        </w:rPr>
        <w:t>专项</w:t>
      </w:r>
      <w:r>
        <w:rPr>
          <w:rFonts w:hint="eastAsia" w:ascii="仿宋" w:hAnsi="仿宋" w:eastAsia="仿宋" w:cs="仿宋"/>
          <w:sz w:val="32"/>
          <w:szCs w:val="32"/>
        </w:rPr>
        <w:t>项目自评。</w:t>
      </w:r>
    </w:p>
    <w:p w14:paraId="0C2BED46">
      <w:pPr>
        <w:pStyle w:val="10"/>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rPr>
          <w:rFonts w:ascii="仿宋" w:hAnsi="仿宋" w:eastAsia="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部门预算安排及资金分配拨付情况</w:t>
      </w:r>
      <w:r>
        <w:rPr>
          <w:rFonts w:hint="eastAsia" w:ascii="仿宋" w:hAnsi="仿宋" w:eastAsia="仿宋" w:cs="仿宋"/>
          <w:sz w:val="32"/>
          <w:szCs w:val="32"/>
          <w:lang w:eastAsia="zh-CN"/>
        </w:rPr>
        <w:t>：</w:t>
      </w:r>
      <w:r>
        <w:rPr>
          <w:rFonts w:hint="eastAsia" w:ascii="仿宋" w:hAnsi="仿宋" w:eastAsia="仿宋" w:cs="仿宋"/>
          <w:sz w:val="32"/>
          <w:szCs w:val="32"/>
        </w:rPr>
        <w:t>根据《会计法》</w:t>
      </w:r>
      <w:r>
        <w:rPr>
          <w:rFonts w:hint="eastAsia" w:ascii="仿宋" w:hAnsi="仿宋" w:eastAsia="仿宋" w:cs="仿宋"/>
          <w:sz w:val="32"/>
          <w:szCs w:val="32"/>
          <w:lang w:eastAsia="zh-CN"/>
        </w:rPr>
        <w:t>、</w:t>
      </w:r>
      <w:r>
        <w:rPr>
          <w:rFonts w:hint="eastAsia" w:ascii="仿宋" w:hAnsi="仿宋" w:eastAsia="仿宋" w:cs="仿宋"/>
          <w:sz w:val="32"/>
          <w:szCs w:val="32"/>
        </w:rPr>
        <w:t>《预算法》</w:t>
      </w:r>
      <w:r>
        <w:rPr>
          <w:rFonts w:hint="eastAsia" w:ascii="仿宋" w:hAnsi="仿宋" w:eastAsia="仿宋" w:cs="仿宋"/>
          <w:sz w:val="32"/>
          <w:szCs w:val="32"/>
          <w:lang w:eastAsia="zh-CN"/>
        </w:rPr>
        <w:t>、</w:t>
      </w:r>
      <w:r>
        <w:rPr>
          <w:rFonts w:hint="eastAsia" w:ascii="仿宋" w:hAnsi="仿宋" w:eastAsia="仿宋" w:cs="仿宋"/>
          <w:sz w:val="32"/>
          <w:szCs w:val="32"/>
        </w:rPr>
        <w:t>《行政事业单位财务规则》</w:t>
      </w:r>
      <w:r>
        <w:rPr>
          <w:rFonts w:hint="eastAsia" w:ascii="仿宋" w:hAnsi="仿宋" w:eastAsia="仿宋" w:cs="仿宋"/>
          <w:sz w:val="32"/>
          <w:szCs w:val="32"/>
          <w:lang w:val="en-US" w:eastAsia="zh-CN"/>
        </w:rPr>
        <w:t>和</w:t>
      </w:r>
      <w:r>
        <w:rPr>
          <w:rFonts w:hint="eastAsia" w:ascii="仿宋" w:hAnsi="仿宋" w:eastAsia="仿宋" w:cs="仿宋"/>
          <w:sz w:val="32"/>
          <w:szCs w:val="32"/>
        </w:rPr>
        <w:t>专项资金管理制</w:t>
      </w:r>
      <w:r>
        <w:rPr>
          <w:rFonts w:hint="eastAsia" w:ascii="仿宋" w:hAnsi="仿宋" w:eastAsia="仿宋" w:cs="仿宋"/>
          <w:sz w:val="32"/>
          <w:szCs w:val="32"/>
          <w:lang w:val="en-US" w:eastAsia="zh-CN"/>
        </w:rPr>
        <w:t>度的</w:t>
      </w:r>
      <w:r>
        <w:rPr>
          <w:rFonts w:hint="eastAsia" w:ascii="仿宋" w:hAnsi="仿宋" w:eastAsia="仿宋" w:cs="仿宋"/>
          <w:sz w:val="32"/>
          <w:szCs w:val="32"/>
        </w:rPr>
        <w:t>规定，认真落实专项资金专款专用、使用评价、绩效考核，对专项资金项目量化指标和任务</w:t>
      </w:r>
      <w:r>
        <w:rPr>
          <w:rFonts w:hint="eastAsia" w:ascii="仿宋" w:hAnsi="仿宋" w:eastAsia="仿宋" w:cs="仿宋"/>
          <w:sz w:val="32"/>
          <w:szCs w:val="32"/>
          <w:lang w:eastAsia="zh-CN"/>
        </w:rPr>
        <w:t>，</w:t>
      </w:r>
      <w:r>
        <w:rPr>
          <w:rFonts w:hint="eastAsia" w:ascii="仿宋" w:hAnsi="仿宋" w:eastAsia="仿宋" w:cs="仿宋"/>
          <w:sz w:val="32"/>
          <w:szCs w:val="32"/>
        </w:rPr>
        <w:t>确定项目实施目标，确保专项资金使用达到实效。</w:t>
      </w:r>
    </w:p>
    <w:p w14:paraId="38AD0237">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548CB38">
      <w:pPr>
        <w:pStyle w:val="10"/>
        <w:keepNext w:val="0"/>
        <w:keepLines w:val="0"/>
        <w:pageBreakBefore w:val="0"/>
        <w:widowControl w:val="0"/>
        <w:kinsoku/>
        <w:wordWrap/>
        <w:overflowPunct/>
        <w:topLinePunct w:val="0"/>
        <w:autoSpaceDE/>
        <w:autoSpaceDN/>
        <w:bidi w:val="0"/>
        <w:adjustRightInd/>
        <w:snapToGrid/>
        <w:ind w:left="0" w:leftChars="0" w:firstLine="640" w:firstLineChars="200"/>
        <w:textAlignment w:val="baseline"/>
      </w:pPr>
      <w:r>
        <w:rPr>
          <w:rFonts w:hint="eastAsia" w:ascii="仿宋" w:hAnsi="仿宋" w:eastAsia="仿宋"/>
          <w:sz w:val="32"/>
          <w:szCs w:val="32"/>
          <w:lang w:val="en-US" w:eastAsia="zh-CN"/>
        </w:rPr>
        <w:t>采取整合业务科室汇报相关科室进行效果评价的办法。</w:t>
      </w:r>
    </w:p>
    <w:p w14:paraId="03620EEC">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F787D6D">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8EFB5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一是认真做好康复服务工作。严格按照服务标准为有康复需求的残疾人提供康复服务，深入开展残疾人康复体育进家庭调查摸底工作。</w:t>
      </w:r>
    </w:p>
    <w:p w14:paraId="3B2FEC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二是多渠道开展残疾人培训就业工作。县残联依托培训机构开办残疾人农村实用技术培训班为残疾人创业就业提供有力保障。并开展为企业“送政策、送服务”工作，积极与企业进行沟通交流，促进残疾人就业工作开展。</w:t>
      </w:r>
    </w:p>
    <w:p w14:paraId="6EE933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三是精准实施残疾人托养服务。组织相关工作人员摸清托养残疾人员的服务需求，制定针对性的托养服务。协调托养服务承接机构要做好规范化服务，严格按照服务协议开展工作，确保服务达标。</w:t>
      </w:r>
    </w:p>
    <w:p w14:paraId="29EF863F">
      <w:pPr>
        <w:spacing w:line="560" w:lineRule="exact"/>
        <w:rPr>
          <w:rFonts w:hint="eastAsia" w:ascii="仿宋" w:hAnsi="仿宋" w:eastAsia="仿宋"/>
          <w:sz w:val="32"/>
          <w:szCs w:val="32"/>
        </w:rPr>
      </w:pPr>
      <w:r>
        <w:rPr>
          <w:rFonts w:hint="eastAsia" w:ascii="仿宋" w:hAnsi="仿宋" w:eastAsia="仿宋"/>
          <w:sz w:val="32"/>
          <w:szCs w:val="32"/>
        </w:rPr>
        <w:t>四是扎实推进残疾人无障碍改造工作。召开乡镇残联理事长工作会议，对任务目标进行分解任务部署。并要求各乡镇残联以动态更新信息数据为基础，组织工作人员深入各村调查摸底，了解残疾人无障碍改造的实际需求，征求残疾人对实施无障碍改造工程的意见和建议。协调评估及时入户评估、制定改造方案。</w:t>
      </w:r>
    </w:p>
    <w:p w14:paraId="1855E0B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6149D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1、 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年，县残联</w:t>
      </w:r>
      <w:r>
        <w:rPr>
          <w:rFonts w:hint="eastAsia" w:ascii="仿宋" w:hAnsi="仿宋" w:eastAsia="仿宋"/>
          <w:sz w:val="32"/>
          <w:szCs w:val="32"/>
          <w:highlight w:val="none"/>
          <w:lang w:val="en-US" w:eastAsia="zh-CN"/>
        </w:rPr>
        <w:t>继续</w:t>
      </w:r>
      <w:r>
        <w:rPr>
          <w:rFonts w:hint="eastAsia" w:ascii="仿宋" w:hAnsi="仿宋" w:eastAsia="仿宋"/>
          <w:sz w:val="32"/>
          <w:szCs w:val="32"/>
          <w:highlight w:val="none"/>
        </w:rPr>
        <w:t>投入使用残疾人托养中心，招引志梦残疾人托养中心入驻运营，配备服务设备和器材，极大的提高井陉县残疾人康复、教育、就业、培训的发展速度，为井陉县残疾人事业的迅速发展奠定基础。</w:t>
      </w:r>
    </w:p>
    <w:p w14:paraId="72DFE2E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绩效指标：一、数量指标：资助接受托养服务人次</w:t>
      </w:r>
      <w:r>
        <w:rPr>
          <w:rFonts w:hint="eastAsia" w:ascii="仿宋" w:hAnsi="仿宋" w:eastAsia="仿宋"/>
          <w:sz w:val="32"/>
          <w:szCs w:val="32"/>
          <w:highlight w:val="none"/>
          <w:lang w:val="en-US" w:eastAsia="zh-CN"/>
        </w:rPr>
        <w:t>29人次</w:t>
      </w:r>
      <w:r>
        <w:rPr>
          <w:rFonts w:hint="eastAsia" w:ascii="仿宋" w:hAnsi="仿宋" w:eastAsia="仿宋"/>
          <w:sz w:val="32"/>
          <w:szCs w:val="32"/>
          <w:highlight w:val="none"/>
        </w:rPr>
        <w:t>，自评得分10分。二、质量指标：</w:t>
      </w:r>
      <w:r>
        <w:rPr>
          <w:rFonts w:hint="eastAsia" w:ascii="仿宋" w:hAnsi="仿宋" w:eastAsia="仿宋"/>
          <w:sz w:val="32"/>
          <w:szCs w:val="32"/>
          <w:highlight w:val="none"/>
          <w:lang w:val="en-US" w:eastAsia="zh-CN"/>
        </w:rPr>
        <w:t>服务人员出勤率</w:t>
      </w:r>
      <w:r>
        <w:rPr>
          <w:rFonts w:hint="eastAsia" w:ascii="仿宋" w:hAnsi="仿宋" w:eastAsia="仿宋"/>
          <w:sz w:val="32"/>
          <w:szCs w:val="32"/>
          <w:highlight w:val="none"/>
        </w:rPr>
        <w:t>，自评得分10分。三、时效指标</w:t>
      </w:r>
      <w:r>
        <w:rPr>
          <w:rFonts w:hint="eastAsia" w:ascii="仿宋" w:hAnsi="仿宋" w:eastAsia="仿宋"/>
          <w:sz w:val="32"/>
          <w:szCs w:val="32"/>
          <w:highlight w:val="none"/>
          <w:lang w:eastAsia="zh-CN"/>
        </w:rPr>
        <w:t>：</w:t>
      </w:r>
      <w:r>
        <w:rPr>
          <w:rFonts w:hint="eastAsia" w:ascii="仿宋" w:hAnsi="仿宋" w:eastAsia="仿宋"/>
          <w:sz w:val="32"/>
          <w:szCs w:val="32"/>
          <w:highlight w:val="none"/>
        </w:rPr>
        <w:t>保障托养服务完成时限</w:t>
      </w:r>
      <w:r>
        <w:rPr>
          <w:rFonts w:hint="eastAsia" w:ascii="仿宋" w:hAnsi="仿宋" w:eastAsia="仿宋"/>
          <w:sz w:val="32"/>
          <w:szCs w:val="32"/>
          <w:highlight w:val="none"/>
          <w:lang w:val="en-US" w:eastAsia="zh-CN"/>
        </w:rPr>
        <w:t>在2025年12月底前完成</w:t>
      </w:r>
      <w:r>
        <w:rPr>
          <w:rFonts w:hint="eastAsia" w:ascii="仿宋" w:hAnsi="仿宋" w:eastAsia="仿宋"/>
          <w:sz w:val="32"/>
          <w:szCs w:val="32"/>
          <w:highlight w:val="none"/>
        </w:rPr>
        <w:t>，自评得分10分。四、</w:t>
      </w:r>
      <w:r>
        <w:rPr>
          <w:rFonts w:hint="eastAsia" w:ascii="仿宋" w:hAnsi="仿宋" w:eastAsia="仿宋"/>
          <w:sz w:val="32"/>
          <w:szCs w:val="32"/>
          <w:highlight w:val="none"/>
          <w:lang w:val="en-US" w:eastAsia="zh-CN"/>
        </w:rPr>
        <w:t>成本指标</w:t>
      </w:r>
      <w:r>
        <w:rPr>
          <w:rFonts w:hint="eastAsia" w:ascii="仿宋" w:hAnsi="仿宋" w:eastAsia="仿宋"/>
          <w:sz w:val="32"/>
          <w:szCs w:val="32"/>
          <w:highlight w:val="none"/>
        </w:rPr>
        <w:t>：残疾人托养资金年均补助按预算合理安排支出，自评得分10分。</w:t>
      </w:r>
      <w:r>
        <w:rPr>
          <w:rFonts w:hint="eastAsia" w:ascii="仿宋" w:hAnsi="仿宋" w:eastAsia="仿宋"/>
          <w:sz w:val="32"/>
          <w:szCs w:val="32"/>
          <w:highlight w:val="none"/>
          <w:lang w:val="en-US" w:eastAsia="zh-CN"/>
        </w:rPr>
        <w:t>五、</w:t>
      </w:r>
      <w:r>
        <w:rPr>
          <w:rFonts w:hint="eastAsia" w:ascii="仿宋" w:hAnsi="仿宋" w:eastAsia="仿宋"/>
          <w:sz w:val="32"/>
          <w:szCs w:val="32"/>
          <w:highlight w:val="none"/>
        </w:rPr>
        <w:t>预算执行情况100%，自评得分10分。六、社会效益指标：通过残疾人托养服务改善残疾人生活状况</w:t>
      </w:r>
      <w:r>
        <w:rPr>
          <w:rFonts w:hint="eastAsia" w:ascii="仿宋" w:hAnsi="仿宋" w:eastAsia="仿宋"/>
          <w:sz w:val="32"/>
          <w:szCs w:val="32"/>
          <w:highlight w:val="none"/>
          <w:lang w:val="en-US" w:eastAsia="zh-CN"/>
        </w:rPr>
        <w:t>较上年有所提高</w:t>
      </w:r>
      <w:r>
        <w:rPr>
          <w:rFonts w:hint="eastAsia" w:ascii="仿宋" w:hAnsi="仿宋" w:eastAsia="仿宋"/>
          <w:sz w:val="32"/>
          <w:szCs w:val="32"/>
          <w:highlight w:val="none"/>
        </w:rPr>
        <w:t>。自评得分</w:t>
      </w:r>
      <w:r>
        <w:rPr>
          <w:rFonts w:hint="eastAsia" w:ascii="仿宋" w:hAnsi="仿宋" w:eastAsia="仿宋"/>
          <w:sz w:val="32"/>
          <w:szCs w:val="32"/>
          <w:highlight w:val="none"/>
          <w:lang w:val="en-US" w:eastAsia="zh-CN"/>
        </w:rPr>
        <w:t>40</w:t>
      </w:r>
      <w:r>
        <w:rPr>
          <w:rFonts w:hint="eastAsia" w:ascii="仿宋" w:hAnsi="仿宋" w:eastAsia="仿宋"/>
          <w:sz w:val="32"/>
          <w:szCs w:val="32"/>
          <w:highlight w:val="none"/>
        </w:rPr>
        <w:t>分。群众满意指标：群众满意度</w:t>
      </w:r>
      <w:r>
        <w:rPr>
          <w:rFonts w:hint="eastAsia" w:ascii="仿宋" w:hAnsi="仿宋" w:eastAsia="仿宋"/>
          <w:sz w:val="32"/>
          <w:szCs w:val="32"/>
          <w:highlight w:val="none"/>
          <w:lang w:val="en-US" w:eastAsia="zh-CN"/>
        </w:rPr>
        <w:t>98</w:t>
      </w:r>
      <w:r>
        <w:rPr>
          <w:rFonts w:hint="eastAsia" w:ascii="仿宋" w:hAnsi="仿宋" w:eastAsia="仿宋"/>
          <w:sz w:val="32"/>
          <w:szCs w:val="32"/>
          <w:highlight w:val="none"/>
        </w:rPr>
        <w:t>%，自评得分10分。总得分</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rPr>
        <w:t>分。</w:t>
      </w:r>
    </w:p>
    <w:p w14:paraId="6EFD2A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2、按照省市关于下达残疾人教就工作相关文件精神及《石家庄市202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年残疾人教就工作要点》，全部完成残疾人培训、托养、燃油等工作任务。</w:t>
      </w:r>
    </w:p>
    <w:p w14:paraId="3A8317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绩效指标：一、数量指标：残疾人技术培训的人数</w:t>
      </w:r>
      <w:r>
        <w:rPr>
          <w:rFonts w:hint="eastAsia" w:ascii="仿宋" w:hAnsi="仿宋" w:eastAsia="仿宋"/>
          <w:sz w:val="32"/>
          <w:szCs w:val="32"/>
          <w:highlight w:val="none"/>
          <w:lang w:val="en-US" w:eastAsia="zh-CN"/>
        </w:rPr>
        <w:t>40人，残疾人托养服务人次146名</w:t>
      </w:r>
      <w:r>
        <w:rPr>
          <w:rFonts w:hint="eastAsia" w:ascii="仿宋" w:hAnsi="仿宋" w:eastAsia="仿宋"/>
          <w:sz w:val="32"/>
          <w:szCs w:val="32"/>
          <w:highlight w:val="none"/>
        </w:rPr>
        <w:t>，燃油补贴人数</w:t>
      </w:r>
      <w:r>
        <w:rPr>
          <w:rFonts w:hint="eastAsia" w:ascii="仿宋" w:hAnsi="仿宋" w:eastAsia="仿宋"/>
          <w:sz w:val="32"/>
          <w:szCs w:val="32"/>
          <w:highlight w:val="none"/>
          <w:lang w:val="en-US" w:eastAsia="zh-CN"/>
        </w:rPr>
        <w:t>20人</w:t>
      </w:r>
      <w:r>
        <w:rPr>
          <w:rFonts w:hint="eastAsia" w:ascii="仿宋" w:hAnsi="仿宋" w:eastAsia="仿宋"/>
          <w:sz w:val="32"/>
          <w:szCs w:val="32"/>
          <w:highlight w:val="none"/>
        </w:rPr>
        <w:t>，自评得分10分。二、质量指标：托养服务覆盖率</w:t>
      </w:r>
      <w:r>
        <w:rPr>
          <w:rFonts w:hint="eastAsia" w:ascii="仿宋" w:hAnsi="仿宋" w:eastAsia="仿宋"/>
          <w:sz w:val="32"/>
          <w:szCs w:val="32"/>
          <w:highlight w:val="none"/>
          <w:lang w:eastAsia="zh-CN"/>
        </w:rPr>
        <w:t>、接受残疾人技术培训的合格率、机动车燃油补贴资金发放率</w:t>
      </w:r>
      <w:r>
        <w:rPr>
          <w:rFonts w:hint="eastAsia" w:ascii="仿宋" w:hAnsi="仿宋" w:eastAsia="仿宋"/>
          <w:sz w:val="32"/>
          <w:szCs w:val="32"/>
          <w:highlight w:val="none"/>
          <w:lang w:val="en-US" w:eastAsia="zh-CN"/>
        </w:rPr>
        <w:t>均为100%，</w:t>
      </w:r>
      <w:r>
        <w:rPr>
          <w:rFonts w:hint="eastAsia" w:ascii="仿宋" w:hAnsi="仿宋" w:eastAsia="仿宋"/>
          <w:sz w:val="32"/>
          <w:szCs w:val="32"/>
          <w:highlight w:val="none"/>
        </w:rPr>
        <w:t>自评得分10分。三、时效指标</w:t>
      </w:r>
      <w:r>
        <w:rPr>
          <w:rFonts w:hint="eastAsia" w:ascii="仿宋" w:hAnsi="仿宋" w:eastAsia="仿宋"/>
          <w:sz w:val="32"/>
          <w:szCs w:val="32"/>
          <w:highlight w:val="none"/>
          <w:lang w:eastAsia="zh-CN"/>
        </w:rPr>
        <w:t>：</w:t>
      </w:r>
      <w:r>
        <w:rPr>
          <w:rFonts w:hint="eastAsia" w:ascii="仿宋" w:hAnsi="仿宋" w:eastAsia="仿宋"/>
          <w:sz w:val="32"/>
          <w:szCs w:val="32"/>
          <w:highlight w:val="none"/>
        </w:rPr>
        <w:t>工作按时完成率</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rPr>
        <w:t>，自评得分10分。四、</w:t>
      </w:r>
      <w:r>
        <w:rPr>
          <w:rFonts w:hint="eastAsia" w:ascii="仿宋" w:hAnsi="仿宋" w:eastAsia="仿宋"/>
          <w:sz w:val="32"/>
          <w:szCs w:val="32"/>
          <w:highlight w:val="none"/>
          <w:lang w:val="en-US" w:eastAsia="zh-CN"/>
        </w:rPr>
        <w:t>成本指标</w:t>
      </w:r>
      <w:r>
        <w:rPr>
          <w:rFonts w:hint="eastAsia" w:ascii="仿宋" w:hAnsi="仿宋" w:eastAsia="仿宋"/>
          <w:sz w:val="32"/>
          <w:szCs w:val="32"/>
          <w:highlight w:val="none"/>
        </w:rPr>
        <w:t>：按预算合理安排支出，自评得分10分。</w:t>
      </w:r>
      <w:r>
        <w:rPr>
          <w:rFonts w:hint="eastAsia" w:ascii="仿宋" w:hAnsi="仿宋" w:eastAsia="仿宋"/>
          <w:sz w:val="32"/>
          <w:szCs w:val="32"/>
          <w:highlight w:val="none"/>
          <w:lang w:val="en-US" w:eastAsia="zh-CN"/>
        </w:rPr>
        <w:t>五、</w:t>
      </w:r>
      <w:r>
        <w:rPr>
          <w:rFonts w:hint="eastAsia" w:ascii="仿宋" w:hAnsi="仿宋" w:eastAsia="仿宋"/>
          <w:sz w:val="32"/>
          <w:szCs w:val="32"/>
          <w:highlight w:val="none"/>
        </w:rPr>
        <w:t>预算执行情况100%，自评得分10分。</w:t>
      </w:r>
      <w:r>
        <w:rPr>
          <w:rFonts w:hint="eastAsia" w:ascii="仿宋" w:hAnsi="仿宋" w:eastAsia="仿宋"/>
          <w:sz w:val="32"/>
          <w:szCs w:val="32"/>
          <w:highlight w:val="none"/>
          <w:lang w:val="en-US" w:eastAsia="zh-CN"/>
        </w:rPr>
        <w:t>六</w:t>
      </w:r>
      <w:r>
        <w:rPr>
          <w:rFonts w:hint="eastAsia" w:ascii="仿宋" w:hAnsi="仿宋" w:eastAsia="仿宋"/>
          <w:sz w:val="32"/>
          <w:szCs w:val="32"/>
          <w:highlight w:val="none"/>
        </w:rPr>
        <w:t>、</w:t>
      </w:r>
      <w:r>
        <w:rPr>
          <w:rFonts w:hint="eastAsia" w:ascii="仿宋" w:hAnsi="仿宋" w:eastAsia="仿宋"/>
          <w:sz w:val="32"/>
          <w:szCs w:val="32"/>
          <w:highlight w:val="none"/>
          <w:lang w:val="en-US" w:eastAsia="zh-CN"/>
        </w:rPr>
        <w:t>社会</w:t>
      </w:r>
      <w:r>
        <w:rPr>
          <w:rFonts w:hint="eastAsia" w:ascii="仿宋" w:hAnsi="仿宋" w:eastAsia="仿宋"/>
          <w:sz w:val="32"/>
          <w:szCs w:val="32"/>
          <w:highlight w:val="none"/>
        </w:rPr>
        <w:t>效益指标：</w:t>
      </w:r>
      <w:r>
        <w:rPr>
          <w:rFonts w:hint="eastAsia" w:ascii="仿宋" w:hAnsi="仿宋" w:eastAsia="仿宋"/>
          <w:sz w:val="32"/>
          <w:szCs w:val="32"/>
          <w:highlight w:val="none"/>
          <w:lang w:val="en-US" w:eastAsia="zh-CN"/>
        </w:rPr>
        <w:t>通过</w:t>
      </w:r>
      <w:r>
        <w:rPr>
          <w:rFonts w:hint="eastAsia" w:ascii="仿宋" w:hAnsi="仿宋" w:eastAsia="仿宋"/>
          <w:sz w:val="32"/>
          <w:szCs w:val="32"/>
          <w:highlight w:val="none"/>
        </w:rPr>
        <w:t>为农村困难残疾人实用技术培训、燃油补贴及重度肢体残疾人托养服务，改善残疾人健康状况，减轻残疾人负担，提高残疾人生活质量</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较上年有所提高</w:t>
      </w:r>
      <w:r>
        <w:rPr>
          <w:rFonts w:hint="eastAsia" w:ascii="仿宋" w:hAnsi="仿宋" w:eastAsia="仿宋"/>
          <w:sz w:val="32"/>
          <w:szCs w:val="32"/>
          <w:highlight w:val="none"/>
        </w:rPr>
        <w:t>。自评得分</w:t>
      </w:r>
      <w:r>
        <w:rPr>
          <w:rFonts w:hint="eastAsia" w:ascii="仿宋" w:hAnsi="仿宋" w:eastAsia="仿宋"/>
          <w:sz w:val="32"/>
          <w:szCs w:val="32"/>
          <w:highlight w:val="none"/>
          <w:lang w:val="en-US" w:eastAsia="zh-CN"/>
        </w:rPr>
        <w:t>40</w:t>
      </w:r>
      <w:r>
        <w:rPr>
          <w:rFonts w:hint="eastAsia" w:ascii="仿宋" w:hAnsi="仿宋" w:eastAsia="仿宋"/>
          <w:sz w:val="32"/>
          <w:szCs w:val="32"/>
          <w:highlight w:val="none"/>
        </w:rPr>
        <w:t>分。</w:t>
      </w:r>
      <w:r>
        <w:rPr>
          <w:rFonts w:hint="eastAsia" w:ascii="仿宋" w:hAnsi="仿宋" w:eastAsia="仿宋"/>
          <w:sz w:val="32"/>
          <w:szCs w:val="32"/>
          <w:highlight w:val="none"/>
          <w:lang w:val="en-US" w:eastAsia="zh-CN"/>
        </w:rPr>
        <w:t>七、</w:t>
      </w:r>
      <w:r>
        <w:rPr>
          <w:rFonts w:hint="eastAsia" w:ascii="仿宋" w:hAnsi="仿宋" w:eastAsia="仿宋"/>
          <w:sz w:val="32"/>
          <w:szCs w:val="32"/>
          <w:highlight w:val="none"/>
        </w:rPr>
        <w:t>群众满意指标：</w:t>
      </w:r>
      <w:r>
        <w:rPr>
          <w:rFonts w:hint="eastAsia" w:ascii="仿宋" w:hAnsi="仿宋" w:eastAsia="仿宋"/>
          <w:sz w:val="32"/>
          <w:szCs w:val="32"/>
          <w:highlight w:val="none"/>
          <w:lang w:val="en-US" w:eastAsia="zh-CN"/>
        </w:rPr>
        <w:t>残疾人对各项工作的</w:t>
      </w:r>
      <w:r>
        <w:rPr>
          <w:rFonts w:hint="eastAsia" w:ascii="仿宋" w:hAnsi="仿宋" w:eastAsia="仿宋"/>
          <w:sz w:val="32"/>
          <w:szCs w:val="32"/>
          <w:highlight w:val="none"/>
        </w:rPr>
        <w:t>满意度100%，自评得分10分。总得分</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rPr>
        <w:t>分。</w:t>
      </w:r>
    </w:p>
    <w:p w14:paraId="08BF93A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3、按照省市关于下达残疾人康复工作相关文件精神及《石家庄市202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年残疾人康复工作要点》残疾人基本康复服务率及对0-6岁残疾儿童辅助器具、肢体（脑瘫儿）、言语、精神及智力儿童康复训练全部完成。</w:t>
      </w:r>
    </w:p>
    <w:p w14:paraId="1385A2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绩效指标：一、数量指标：接受残疾儿童康复救助的人数</w:t>
      </w:r>
      <w:r>
        <w:rPr>
          <w:rFonts w:hint="eastAsia" w:ascii="仿宋" w:hAnsi="仿宋" w:eastAsia="仿宋"/>
          <w:sz w:val="32"/>
          <w:szCs w:val="32"/>
          <w:highlight w:val="none"/>
          <w:lang w:val="en-US" w:eastAsia="zh-CN"/>
        </w:rPr>
        <w:t>51人</w:t>
      </w:r>
      <w:r>
        <w:rPr>
          <w:rFonts w:hint="eastAsia" w:ascii="仿宋" w:hAnsi="仿宋" w:eastAsia="仿宋"/>
          <w:sz w:val="32"/>
          <w:szCs w:val="32"/>
          <w:highlight w:val="none"/>
        </w:rPr>
        <w:t>，</w:t>
      </w:r>
      <w:r>
        <w:rPr>
          <w:rFonts w:hint="eastAsia" w:ascii="仿宋" w:hAnsi="仿宋" w:eastAsia="仿宋"/>
          <w:sz w:val="32"/>
          <w:szCs w:val="32"/>
          <w:highlight w:val="none"/>
          <w:lang w:val="en-US" w:eastAsia="zh-CN"/>
        </w:rPr>
        <w:t>接受</w:t>
      </w:r>
      <w:r>
        <w:rPr>
          <w:rFonts w:hint="eastAsia" w:ascii="仿宋" w:hAnsi="仿宋" w:eastAsia="仿宋"/>
          <w:sz w:val="32"/>
          <w:szCs w:val="32"/>
          <w:highlight w:val="none"/>
        </w:rPr>
        <w:t>基本康复服务人数</w:t>
      </w:r>
      <w:r>
        <w:rPr>
          <w:rFonts w:hint="eastAsia" w:ascii="仿宋" w:hAnsi="仿宋" w:eastAsia="仿宋"/>
          <w:sz w:val="32"/>
          <w:szCs w:val="32"/>
          <w:highlight w:val="none"/>
          <w:lang w:val="en-US" w:eastAsia="zh-CN"/>
        </w:rPr>
        <w:t>397人</w:t>
      </w:r>
      <w:r>
        <w:rPr>
          <w:rFonts w:hint="eastAsia" w:ascii="仿宋" w:hAnsi="仿宋" w:eastAsia="仿宋"/>
          <w:sz w:val="32"/>
          <w:szCs w:val="32"/>
          <w:highlight w:val="none"/>
        </w:rPr>
        <w:t>，基本辅具适配服务人数</w:t>
      </w:r>
      <w:r>
        <w:rPr>
          <w:rFonts w:hint="eastAsia" w:ascii="仿宋" w:hAnsi="仿宋" w:eastAsia="仿宋"/>
          <w:sz w:val="32"/>
          <w:szCs w:val="32"/>
          <w:highlight w:val="none"/>
          <w:lang w:val="en-US" w:eastAsia="zh-CN"/>
        </w:rPr>
        <w:t>547人，</w:t>
      </w:r>
      <w:r>
        <w:rPr>
          <w:rFonts w:hint="eastAsia" w:ascii="仿宋" w:hAnsi="仿宋" w:eastAsia="仿宋"/>
          <w:sz w:val="32"/>
          <w:szCs w:val="32"/>
          <w:highlight w:val="none"/>
        </w:rPr>
        <w:t>自评得分10分。二、质量指标：辅具合格率</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rPr>
        <w:t>，儿童康复显效率</w:t>
      </w:r>
      <w:r>
        <w:rPr>
          <w:rFonts w:hint="eastAsia" w:ascii="仿宋" w:hAnsi="仿宋" w:eastAsia="仿宋"/>
          <w:sz w:val="32"/>
          <w:szCs w:val="32"/>
          <w:highlight w:val="none"/>
          <w:lang w:val="en-US" w:eastAsia="zh-CN"/>
        </w:rPr>
        <w:t>100%，接受基本康复的残疾人覆盖率100%，</w:t>
      </w:r>
      <w:r>
        <w:rPr>
          <w:rFonts w:hint="eastAsia" w:ascii="仿宋" w:hAnsi="仿宋" w:eastAsia="仿宋"/>
          <w:sz w:val="32"/>
          <w:szCs w:val="32"/>
          <w:highlight w:val="none"/>
        </w:rPr>
        <w:t>自评得分10分。三、时效指标，</w:t>
      </w:r>
      <w:r>
        <w:rPr>
          <w:rFonts w:hint="eastAsia" w:ascii="仿宋" w:hAnsi="仿宋" w:eastAsia="仿宋"/>
          <w:sz w:val="32"/>
          <w:szCs w:val="32"/>
          <w:highlight w:val="none"/>
          <w:lang w:val="en-US" w:eastAsia="zh-CN"/>
        </w:rPr>
        <w:t>各项</w:t>
      </w:r>
      <w:r>
        <w:rPr>
          <w:rFonts w:hint="eastAsia" w:ascii="仿宋" w:hAnsi="仿宋" w:eastAsia="仿宋"/>
          <w:sz w:val="32"/>
          <w:szCs w:val="32"/>
          <w:highlight w:val="none"/>
        </w:rPr>
        <w:t>工作按时完成率</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rPr>
        <w:t>，自评得分10分。四、</w:t>
      </w:r>
      <w:r>
        <w:rPr>
          <w:rFonts w:hint="eastAsia" w:ascii="仿宋" w:hAnsi="仿宋" w:eastAsia="仿宋"/>
          <w:sz w:val="32"/>
          <w:szCs w:val="32"/>
          <w:highlight w:val="none"/>
          <w:lang w:val="en-US" w:eastAsia="zh-CN"/>
        </w:rPr>
        <w:t>成本指标</w:t>
      </w:r>
      <w:r>
        <w:rPr>
          <w:rFonts w:hint="eastAsia" w:ascii="仿宋" w:hAnsi="仿宋" w:eastAsia="仿宋"/>
          <w:sz w:val="32"/>
          <w:szCs w:val="32"/>
          <w:highlight w:val="none"/>
        </w:rPr>
        <w:t>：按预算合理安排支出，自评得分10分。</w:t>
      </w:r>
      <w:r>
        <w:rPr>
          <w:rFonts w:hint="eastAsia" w:ascii="仿宋" w:hAnsi="仿宋" w:eastAsia="仿宋"/>
          <w:sz w:val="32"/>
          <w:szCs w:val="32"/>
          <w:highlight w:val="none"/>
          <w:lang w:val="en-US" w:eastAsia="zh-CN"/>
        </w:rPr>
        <w:t>五、</w:t>
      </w:r>
      <w:r>
        <w:rPr>
          <w:rFonts w:hint="eastAsia" w:ascii="仿宋" w:hAnsi="仿宋" w:eastAsia="仿宋"/>
          <w:sz w:val="32"/>
          <w:szCs w:val="32"/>
          <w:highlight w:val="none"/>
        </w:rPr>
        <w:t>预算执行情况100%，自评得分10分。六、社会效益指标：改善残疾人健康状况，减轻残疾人负担，提高残疾人生活质量</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较上年有所提高</w:t>
      </w:r>
      <w:r>
        <w:rPr>
          <w:rFonts w:hint="eastAsia" w:ascii="仿宋" w:hAnsi="仿宋" w:eastAsia="仿宋"/>
          <w:sz w:val="32"/>
          <w:szCs w:val="32"/>
          <w:highlight w:val="none"/>
        </w:rPr>
        <w:t>。自评得分</w:t>
      </w:r>
      <w:r>
        <w:rPr>
          <w:rFonts w:hint="eastAsia" w:ascii="仿宋" w:hAnsi="仿宋" w:eastAsia="仿宋"/>
          <w:sz w:val="32"/>
          <w:szCs w:val="32"/>
          <w:highlight w:val="none"/>
          <w:lang w:val="en-US" w:eastAsia="zh-CN"/>
        </w:rPr>
        <w:t>39</w:t>
      </w:r>
      <w:r>
        <w:rPr>
          <w:rFonts w:hint="eastAsia" w:ascii="仿宋" w:hAnsi="仿宋" w:eastAsia="仿宋"/>
          <w:sz w:val="32"/>
          <w:szCs w:val="32"/>
          <w:highlight w:val="none"/>
        </w:rPr>
        <w:t>分</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七、</w:t>
      </w:r>
      <w:r>
        <w:rPr>
          <w:rFonts w:hint="eastAsia" w:ascii="仿宋" w:hAnsi="仿宋" w:eastAsia="仿宋"/>
          <w:sz w:val="32"/>
          <w:szCs w:val="32"/>
          <w:highlight w:val="none"/>
        </w:rPr>
        <w:t>群众满意指标：</w:t>
      </w:r>
      <w:r>
        <w:rPr>
          <w:rFonts w:hint="eastAsia" w:ascii="仿宋" w:hAnsi="仿宋" w:eastAsia="仿宋"/>
          <w:sz w:val="32"/>
          <w:szCs w:val="32"/>
          <w:highlight w:val="none"/>
          <w:lang w:val="en-US" w:eastAsia="zh-CN"/>
        </w:rPr>
        <w:t>残疾人对各项工作</w:t>
      </w:r>
      <w:r>
        <w:rPr>
          <w:rFonts w:hint="eastAsia" w:ascii="仿宋" w:hAnsi="仿宋" w:eastAsia="仿宋"/>
          <w:sz w:val="32"/>
          <w:szCs w:val="32"/>
          <w:highlight w:val="none"/>
        </w:rPr>
        <w:t>满意度100%，自评得分10分。总得分</w:t>
      </w:r>
      <w:r>
        <w:rPr>
          <w:rFonts w:hint="eastAsia" w:ascii="仿宋" w:hAnsi="仿宋" w:eastAsia="仿宋"/>
          <w:sz w:val="32"/>
          <w:szCs w:val="32"/>
          <w:highlight w:val="none"/>
          <w:lang w:val="en-US" w:eastAsia="zh-CN"/>
        </w:rPr>
        <w:t>99</w:t>
      </w:r>
      <w:r>
        <w:rPr>
          <w:rFonts w:hint="eastAsia" w:ascii="仿宋" w:hAnsi="仿宋" w:eastAsia="仿宋"/>
          <w:sz w:val="32"/>
          <w:szCs w:val="32"/>
          <w:highlight w:val="none"/>
        </w:rPr>
        <w:t>分。</w:t>
      </w:r>
    </w:p>
    <w:p w14:paraId="2C9F8E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4、按照工作需要，维护残疾人合法权益，实施贫困残疾人无障碍改造，通过项目实施，帮助贫困残疾人家庭进行“人性化和个性化”无障碍改造，消除居家生活障碍，改善居家环境，提高生活质量，为他们实现“同步小康”创造环境基础，已经全部完成。</w:t>
      </w:r>
    </w:p>
    <w:p w14:paraId="27417E87">
      <w:pPr>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eastAsia="zh-CN"/>
        </w:rPr>
        <w:t>绩效指标：一、数量指标：评估户数</w:t>
      </w:r>
      <w:r>
        <w:rPr>
          <w:rFonts w:hint="eastAsia" w:ascii="仿宋" w:hAnsi="仿宋" w:eastAsia="仿宋"/>
          <w:sz w:val="32"/>
          <w:szCs w:val="32"/>
          <w:highlight w:val="none"/>
          <w:lang w:val="en-US" w:eastAsia="zh-CN"/>
        </w:rPr>
        <w:t>为249户</w:t>
      </w:r>
      <w:r>
        <w:rPr>
          <w:rFonts w:hint="eastAsia" w:ascii="仿宋" w:hAnsi="仿宋" w:eastAsia="仿宋"/>
          <w:sz w:val="32"/>
          <w:szCs w:val="32"/>
          <w:highlight w:val="none"/>
          <w:lang w:eastAsia="zh-CN"/>
        </w:rPr>
        <w:t>，接受残疾人家庭无障碍改造的户数</w:t>
      </w:r>
      <w:r>
        <w:rPr>
          <w:rFonts w:hint="eastAsia" w:ascii="仿宋" w:hAnsi="仿宋" w:eastAsia="仿宋"/>
          <w:sz w:val="32"/>
          <w:szCs w:val="32"/>
          <w:highlight w:val="none"/>
          <w:lang w:val="en-US" w:eastAsia="zh-CN"/>
        </w:rPr>
        <w:t>为205户</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因上级下达任务数减少</w:t>
      </w:r>
      <w:r>
        <w:rPr>
          <w:rFonts w:hint="eastAsia" w:ascii="仿宋" w:hAnsi="仿宋" w:eastAsia="仿宋"/>
          <w:sz w:val="32"/>
          <w:szCs w:val="32"/>
          <w:highlight w:val="none"/>
          <w:lang w:eastAsia="zh-CN"/>
        </w:rPr>
        <w:t>，自评得分</w:t>
      </w:r>
      <w:r>
        <w:rPr>
          <w:rFonts w:hint="eastAsia" w:ascii="仿宋" w:hAnsi="仿宋" w:eastAsia="仿宋"/>
          <w:sz w:val="32"/>
          <w:szCs w:val="32"/>
          <w:highlight w:val="none"/>
          <w:lang w:val="en-US" w:eastAsia="zh-CN"/>
        </w:rPr>
        <w:t>10</w:t>
      </w:r>
      <w:r>
        <w:rPr>
          <w:rFonts w:hint="eastAsia" w:ascii="仿宋" w:hAnsi="仿宋" w:eastAsia="仿宋"/>
          <w:sz w:val="32"/>
          <w:szCs w:val="32"/>
          <w:highlight w:val="none"/>
          <w:lang w:eastAsia="zh-CN"/>
        </w:rPr>
        <w:t>分。二、质量指标：评估通过率</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lang w:eastAsia="zh-CN"/>
        </w:rPr>
        <w:t>，提供的家庭无障碍改造服务覆盖率</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lang w:eastAsia="zh-CN"/>
        </w:rPr>
        <w:t>，自评得分10分。三、时效指标：各项任务完成及时率，自评得分10分。四、</w:t>
      </w:r>
      <w:r>
        <w:rPr>
          <w:rFonts w:hint="eastAsia" w:ascii="仿宋" w:hAnsi="仿宋" w:eastAsia="仿宋"/>
          <w:sz w:val="32"/>
          <w:szCs w:val="32"/>
          <w:highlight w:val="none"/>
          <w:lang w:val="en-US" w:eastAsia="zh-CN"/>
        </w:rPr>
        <w:t>成本指标</w:t>
      </w:r>
      <w:r>
        <w:rPr>
          <w:rFonts w:hint="eastAsia" w:ascii="仿宋" w:hAnsi="仿宋" w:eastAsia="仿宋"/>
          <w:sz w:val="32"/>
          <w:szCs w:val="32"/>
          <w:highlight w:val="none"/>
          <w:lang w:eastAsia="zh-CN"/>
        </w:rPr>
        <w:t>：户均补助标准</w:t>
      </w:r>
      <w:r>
        <w:rPr>
          <w:rFonts w:hint="eastAsia" w:ascii="仿宋" w:hAnsi="仿宋" w:eastAsia="仿宋"/>
          <w:sz w:val="32"/>
          <w:szCs w:val="32"/>
          <w:highlight w:val="none"/>
          <w:lang w:val="en-US" w:eastAsia="zh-CN"/>
        </w:rPr>
        <w:t>3700元/户，</w:t>
      </w:r>
      <w:r>
        <w:rPr>
          <w:rFonts w:hint="eastAsia" w:ascii="仿宋" w:hAnsi="仿宋" w:eastAsia="仿宋"/>
          <w:sz w:val="32"/>
          <w:szCs w:val="32"/>
          <w:highlight w:val="none"/>
          <w:lang w:eastAsia="zh-CN"/>
        </w:rPr>
        <w:t>按预算合理安排支出，自评得分10分。</w:t>
      </w:r>
      <w:r>
        <w:rPr>
          <w:rFonts w:hint="eastAsia" w:ascii="仿宋" w:hAnsi="仿宋" w:eastAsia="仿宋"/>
          <w:sz w:val="32"/>
          <w:szCs w:val="32"/>
          <w:highlight w:val="none"/>
          <w:lang w:val="en-US" w:eastAsia="zh-CN"/>
        </w:rPr>
        <w:t>五、</w:t>
      </w:r>
      <w:r>
        <w:rPr>
          <w:rFonts w:hint="eastAsia" w:ascii="仿宋" w:hAnsi="仿宋" w:eastAsia="仿宋"/>
          <w:sz w:val="32"/>
          <w:szCs w:val="32"/>
          <w:highlight w:val="none"/>
        </w:rPr>
        <w:t>预算执行情况100%，自评得分10分。</w:t>
      </w:r>
      <w:r>
        <w:rPr>
          <w:rFonts w:hint="eastAsia" w:ascii="仿宋" w:hAnsi="仿宋" w:eastAsia="仿宋"/>
          <w:sz w:val="32"/>
          <w:szCs w:val="32"/>
          <w:highlight w:val="none"/>
          <w:lang w:val="en-US" w:eastAsia="zh-CN"/>
        </w:rPr>
        <w:t>六、社会效益指标：通过无障碍改造改善残疾人生活状况，较上年提高残疾人生活水平。自评得分40分。七、</w:t>
      </w:r>
      <w:r>
        <w:rPr>
          <w:rFonts w:hint="eastAsia" w:ascii="仿宋" w:hAnsi="仿宋" w:eastAsia="仿宋"/>
          <w:sz w:val="32"/>
          <w:szCs w:val="32"/>
          <w:highlight w:val="none"/>
        </w:rPr>
        <w:t>群众满意指标：残疾人对无障碍评估及改造工作的满意度100%，自评得分10分。</w:t>
      </w:r>
      <w:r>
        <w:rPr>
          <w:rFonts w:hint="eastAsia" w:ascii="仿宋" w:hAnsi="仿宋" w:eastAsia="仿宋"/>
          <w:sz w:val="32"/>
          <w:szCs w:val="32"/>
          <w:highlight w:val="none"/>
          <w:lang w:val="en-US" w:eastAsia="zh-CN"/>
        </w:rPr>
        <w:t>总得分99分。</w:t>
      </w:r>
    </w:p>
    <w:p w14:paraId="44445DD7">
      <w:pPr>
        <w:numPr>
          <w:ilvl w:val="0"/>
          <w:numId w:val="3"/>
        </w:numPr>
        <w:spacing w:line="560" w:lineRule="exact"/>
        <w:ind w:firstLine="640" w:firstLineChars="200"/>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重度残疾人城乡医疗保险补助工作。按照</w:t>
      </w:r>
      <w:r>
        <w:rPr>
          <w:rFonts w:hint="default" w:ascii="仿宋" w:hAnsi="仿宋" w:eastAsia="仿宋" w:cs="黑体"/>
          <w:kern w:val="2"/>
          <w:sz w:val="32"/>
          <w:szCs w:val="32"/>
          <w:highlight w:val="none"/>
          <w:lang w:val="en-US" w:eastAsia="zh-CN" w:bidi="ar-SA"/>
        </w:rPr>
        <w:t>石残联【2023</w:t>
      </w:r>
      <w:r>
        <w:rPr>
          <w:rFonts w:hint="eastAsia" w:ascii="仿宋" w:hAnsi="仿宋" w:eastAsia="仿宋" w:cs="黑体"/>
          <w:kern w:val="2"/>
          <w:sz w:val="32"/>
          <w:szCs w:val="32"/>
          <w:highlight w:val="none"/>
          <w:lang w:val="en-US" w:eastAsia="zh-CN" w:bidi="ar-SA"/>
        </w:rPr>
        <w:t>】</w:t>
      </w:r>
      <w:r>
        <w:rPr>
          <w:rFonts w:hint="default" w:ascii="仿宋" w:hAnsi="仿宋" w:eastAsia="仿宋" w:cs="黑体"/>
          <w:kern w:val="2"/>
          <w:sz w:val="32"/>
          <w:szCs w:val="32"/>
          <w:highlight w:val="none"/>
          <w:lang w:val="en-US" w:eastAsia="zh-CN" w:bidi="ar-SA"/>
        </w:rPr>
        <w:t>46号文件关于落实重度残疾人参加城乡居民基本医疗保险资助政策的通知</w:t>
      </w:r>
      <w:r>
        <w:rPr>
          <w:rFonts w:hint="eastAsia" w:ascii="仿宋" w:hAnsi="仿宋" w:eastAsia="仿宋" w:cs="黑体"/>
          <w:kern w:val="2"/>
          <w:sz w:val="32"/>
          <w:szCs w:val="32"/>
          <w:highlight w:val="none"/>
          <w:lang w:val="en-US" w:eastAsia="zh-CN" w:bidi="ar-SA"/>
        </w:rPr>
        <w:t>，发放补助资金，减轻残疾人家庭经济负担，享受医疗保障。</w:t>
      </w:r>
    </w:p>
    <w:p w14:paraId="33C0D05E">
      <w:pPr>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eastAsia="zh-CN"/>
        </w:rPr>
        <w:t>绩效指标：一、数量指标：重度残疾人城乡居民医疗保险资助人数</w:t>
      </w:r>
      <w:r>
        <w:rPr>
          <w:rFonts w:hint="eastAsia" w:ascii="仿宋" w:hAnsi="仿宋" w:eastAsia="仿宋"/>
          <w:sz w:val="32"/>
          <w:szCs w:val="32"/>
          <w:highlight w:val="none"/>
          <w:lang w:val="en-US" w:eastAsia="zh-CN"/>
        </w:rPr>
        <w:t>118人，</w:t>
      </w:r>
      <w:r>
        <w:rPr>
          <w:rFonts w:hint="eastAsia" w:ascii="仿宋" w:hAnsi="仿宋" w:eastAsia="仿宋"/>
          <w:sz w:val="32"/>
          <w:szCs w:val="32"/>
          <w:highlight w:val="none"/>
          <w:lang w:eastAsia="zh-CN"/>
        </w:rPr>
        <w:t>自评得分</w:t>
      </w:r>
      <w:r>
        <w:rPr>
          <w:rFonts w:hint="eastAsia" w:ascii="仿宋" w:hAnsi="仿宋" w:eastAsia="仿宋"/>
          <w:sz w:val="32"/>
          <w:szCs w:val="32"/>
          <w:highlight w:val="none"/>
          <w:lang w:val="en-US" w:eastAsia="zh-CN"/>
        </w:rPr>
        <w:t>10</w:t>
      </w:r>
      <w:r>
        <w:rPr>
          <w:rFonts w:hint="eastAsia" w:ascii="仿宋" w:hAnsi="仿宋" w:eastAsia="仿宋"/>
          <w:sz w:val="32"/>
          <w:szCs w:val="32"/>
          <w:highlight w:val="none"/>
          <w:lang w:eastAsia="zh-CN"/>
        </w:rPr>
        <w:t>分。二、质量指标：各项补助资金发放率</w:t>
      </w:r>
      <w:r>
        <w:rPr>
          <w:rFonts w:hint="eastAsia" w:ascii="仿宋" w:hAnsi="仿宋" w:eastAsia="仿宋"/>
          <w:sz w:val="32"/>
          <w:szCs w:val="32"/>
          <w:highlight w:val="none"/>
          <w:lang w:val="en-US" w:eastAsia="zh-CN"/>
        </w:rPr>
        <w:t>100%</w:t>
      </w:r>
      <w:r>
        <w:rPr>
          <w:rFonts w:hint="eastAsia" w:ascii="仿宋" w:hAnsi="仿宋" w:eastAsia="仿宋"/>
          <w:sz w:val="32"/>
          <w:szCs w:val="32"/>
          <w:highlight w:val="none"/>
          <w:lang w:eastAsia="zh-CN"/>
        </w:rPr>
        <w:t>，自评得分10分。三、时效指标：完成各项补助资金发放</w:t>
      </w:r>
      <w:r>
        <w:rPr>
          <w:rFonts w:hint="eastAsia" w:ascii="仿宋" w:hAnsi="仿宋" w:eastAsia="仿宋"/>
          <w:sz w:val="32"/>
          <w:szCs w:val="32"/>
          <w:highlight w:val="none"/>
          <w:lang w:val="en-US" w:eastAsia="zh-CN"/>
        </w:rPr>
        <w:t>及时率</w:t>
      </w:r>
      <w:r>
        <w:rPr>
          <w:rFonts w:hint="eastAsia" w:ascii="仿宋" w:hAnsi="仿宋" w:eastAsia="仿宋"/>
          <w:sz w:val="32"/>
          <w:szCs w:val="32"/>
          <w:highlight w:val="none"/>
          <w:lang w:eastAsia="zh-CN"/>
        </w:rPr>
        <w:t>，自评得分10分。四、</w:t>
      </w:r>
      <w:r>
        <w:rPr>
          <w:rFonts w:hint="eastAsia" w:ascii="仿宋" w:hAnsi="仿宋" w:eastAsia="仿宋"/>
          <w:sz w:val="32"/>
          <w:szCs w:val="32"/>
          <w:highlight w:val="none"/>
          <w:lang w:val="en-US" w:eastAsia="zh-CN"/>
        </w:rPr>
        <w:t>成本指标</w:t>
      </w:r>
      <w:r>
        <w:rPr>
          <w:rFonts w:hint="eastAsia" w:ascii="仿宋" w:hAnsi="仿宋" w:eastAsia="仿宋"/>
          <w:sz w:val="32"/>
          <w:szCs w:val="32"/>
          <w:highlight w:val="none"/>
          <w:lang w:eastAsia="zh-CN"/>
        </w:rPr>
        <w:t>：重度残疾人城乡居民医疗保险资助资金标准</w:t>
      </w:r>
      <w:r>
        <w:rPr>
          <w:rFonts w:hint="eastAsia" w:ascii="仿宋" w:hAnsi="仿宋" w:eastAsia="仿宋"/>
          <w:sz w:val="32"/>
          <w:szCs w:val="32"/>
          <w:highlight w:val="none"/>
          <w:lang w:val="en-US" w:eastAsia="zh-CN"/>
        </w:rPr>
        <w:t>360元/人，返贫人口、易返贫致贫人口及其他脱贫人口中的重度残疾人补助资金标准120元/人，因医保局调整缴费标准，成本增加</w:t>
      </w:r>
      <w:r>
        <w:rPr>
          <w:rFonts w:hint="eastAsia" w:ascii="仿宋" w:hAnsi="仿宋" w:eastAsia="仿宋"/>
          <w:sz w:val="32"/>
          <w:szCs w:val="32"/>
          <w:highlight w:val="none"/>
          <w:lang w:eastAsia="zh-CN"/>
        </w:rPr>
        <w:t>，自评得分</w:t>
      </w:r>
      <w:r>
        <w:rPr>
          <w:rFonts w:hint="eastAsia" w:ascii="仿宋" w:hAnsi="仿宋" w:eastAsia="仿宋"/>
          <w:sz w:val="32"/>
          <w:szCs w:val="32"/>
          <w:highlight w:val="none"/>
          <w:lang w:val="en-US" w:eastAsia="zh-CN"/>
        </w:rPr>
        <w:t>10</w:t>
      </w:r>
      <w:r>
        <w:rPr>
          <w:rFonts w:hint="eastAsia" w:ascii="仿宋" w:hAnsi="仿宋" w:eastAsia="仿宋"/>
          <w:sz w:val="32"/>
          <w:szCs w:val="32"/>
          <w:highlight w:val="none"/>
          <w:lang w:eastAsia="zh-CN"/>
        </w:rPr>
        <w:t>分。</w:t>
      </w:r>
      <w:r>
        <w:rPr>
          <w:rFonts w:hint="eastAsia" w:ascii="仿宋" w:hAnsi="仿宋" w:eastAsia="仿宋"/>
          <w:sz w:val="32"/>
          <w:szCs w:val="32"/>
          <w:highlight w:val="none"/>
          <w:lang w:val="en-US" w:eastAsia="zh-CN"/>
        </w:rPr>
        <w:t>五、</w:t>
      </w:r>
      <w:r>
        <w:rPr>
          <w:rFonts w:hint="eastAsia" w:ascii="仿宋" w:hAnsi="仿宋" w:eastAsia="仿宋"/>
          <w:sz w:val="32"/>
          <w:szCs w:val="32"/>
          <w:highlight w:val="none"/>
        </w:rPr>
        <w:t>预算执行情况100%，自评得分10分。</w:t>
      </w:r>
      <w:r>
        <w:rPr>
          <w:rFonts w:hint="eastAsia" w:ascii="仿宋" w:hAnsi="仿宋" w:eastAsia="仿宋"/>
          <w:sz w:val="32"/>
          <w:szCs w:val="32"/>
          <w:highlight w:val="none"/>
          <w:lang w:val="en-US" w:eastAsia="zh-CN"/>
        </w:rPr>
        <w:t>六、社会效益指标：通过发放重度残疾人城乡居民医疗保险资助资金减轻残疾人经济负担，享受医疗保障，较上年提高残疾人生活水平。自评得分40分。七、</w:t>
      </w:r>
      <w:r>
        <w:rPr>
          <w:rFonts w:hint="eastAsia" w:ascii="仿宋" w:hAnsi="仿宋" w:eastAsia="仿宋"/>
          <w:sz w:val="32"/>
          <w:szCs w:val="32"/>
          <w:highlight w:val="none"/>
        </w:rPr>
        <w:t>群众满意指标：残疾人对重度残疾人城乡居民医疗保险资助资金发放工作的满意度100%，自评得分10分。</w:t>
      </w:r>
      <w:r>
        <w:rPr>
          <w:rFonts w:hint="eastAsia" w:ascii="仿宋" w:hAnsi="仿宋" w:eastAsia="仿宋"/>
          <w:sz w:val="32"/>
          <w:szCs w:val="32"/>
          <w:highlight w:val="none"/>
          <w:lang w:val="en-US" w:eastAsia="zh-CN"/>
        </w:rPr>
        <w:t>总得分95分。</w:t>
      </w:r>
    </w:p>
    <w:p w14:paraId="2C07889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6C9353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根据部门职责定位和各项工作履职情况进行综合评价，给出总得分，满分100分，得分9</w:t>
      </w:r>
      <w:r>
        <w:rPr>
          <w:rFonts w:hint="eastAsia" w:ascii="仿宋" w:hAnsi="仿宋" w:eastAsia="仿宋"/>
          <w:sz w:val="32"/>
          <w:szCs w:val="32"/>
          <w:lang w:val="en-US" w:eastAsia="zh-CN"/>
        </w:rPr>
        <w:t>6</w:t>
      </w:r>
      <w:r>
        <w:rPr>
          <w:rFonts w:hint="eastAsia" w:ascii="仿宋" w:hAnsi="仿宋" w:eastAsia="仿宋"/>
          <w:sz w:val="32"/>
          <w:szCs w:val="32"/>
        </w:rPr>
        <w:t>分，得出综合绩效评价等级，得分≥85分为优秀。</w:t>
      </w:r>
    </w:p>
    <w:p w14:paraId="7BECB2A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32BCAC5">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8EB625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（1）财务制度不够完善，资产管理不够严谨，业务素质有待提高。</w:t>
      </w:r>
    </w:p>
    <w:p w14:paraId="78AD56B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（2）部分项目资金支付进度较缓慢，加快支出进度。</w:t>
      </w:r>
    </w:p>
    <w:p w14:paraId="7C74B17A">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3C84EB0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1、加强制度建设。建立健全机关预算绩效管理制度，为全年预算绩效目标的实现奠定制度基础。</w:t>
      </w:r>
    </w:p>
    <w:p w14:paraId="78BEB41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2、规范财务管理。进一步完善财务管理制度，通过科学编制预算、优化支出结构、加快政府采购、加快项目建设、及时拨付资金，确保经费支出进度达到规定标准。</w:t>
      </w:r>
    </w:p>
    <w:p w14:paraId="45FC7E6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14:paraId="1E2E5E3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4、加强绩效监控。积极开展绩效运行监控，发现问题及时采取措施，确保绩效目标如期保质实现。</w:t>
      </w:r>
    </w:p>
    <w:p w14:paraId="0693AE3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5、做好绩效自评。按要求开展部门预算绩效自评和重点项目评价工作，对评价中发现的问题及时整改。</w:t>
      </w:r>
    </w:p>
    <w:p w14:paraId="000EEF06">
      <w:pPr>
        <w:spacing w:line="560" w:lineRule="exact"/>
        <w:ind w:firstLine="640" w:firstLineChars="200"/>
        <w:rPr>
          <w:rFonts w:ascii="楷体" w:hAnsi="楷体" w:eastAsia="楷体"/>
          <w:bCs/>
          <w:sz w:val="32"/>
          <w:szCs w:val="32"/>
        </w:rPr>
      </w:pPr>
      <w:r>
        <w:rPr>
          <w:rFonts w:hint="eastAsia" w:ascii="仿宋" w:hAnsi="仿宋" w:eastAsia="仿宋"/>
          <w:sz w:val="32"/>
          <w:szCs w:val="32"/>
        </w:rPr>
        <w:t>6、加强宣传培训。加强人员培训，加大宣传力度，强化预算绩效管理意识，促进预算绩效管理水平提升。</w:t>
      </w:r>
    </w:p>
    <w:p w14:paraId="75F2AAAE">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6E9E95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焦志勇</w:t>
      </w:r>
      <w:r>
        <w:rPr>
          <w:rFonts w:hint="eastAsia" w:ascii="仿宋" w:hAnsi="仿宋" w:eastAsia="仿宋" w:cs="仿宋"/>
          <w:sz w:val="32"/>
          <w:szCs w:val="32"/>
        </w:rPr>
        <w:t>：残疾人联合会理事长，正科</w:t>
      </w:r>
    </w:p>
    <w:p w14:paraId="088C62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陈  璇</w:t>
      </w:r>
      <w:r>
        <w:rPr>
          <w:rFonts w:hint="eastAsia" w:ascii="仿宋" w:hAnsi="仿宋" w:eastAsia="仿宋" w:cs="仿宋"/>
          <w:sz w:val="32"/>
          <w:szCs w:val="32"/>
        </w:rPr>
        <w:t>：</w:t>
      </w:r>
      <w:r>
        <w:rPr>
          <w:rFonts w:hint="eastAsia" w:ascii="仿宋" w:hAnsi="仿宋" w:eastAsia="仿宋" w:cs="仿宋"/>
          <w:sz w:val="32"/>
          <w:szCs w:val="32"/>
          <w:lang w:val="en-US" w:eastAsia="zh-CN"/>
        </w:rPr>
        <w:t>就业服务所主任</w:t>
      </w:r>
    </w:p>
    <w:p w14:paraId="47C948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杜玉霞：康复主任</w:t>
      </w:r>
    </w:p>
    <w:p w14:paraId="3E60EA5C">
      <w:pPr>
        <w:pStyle w:val="2"/>
        <w:rPr>
          <w:rFonts w:hint="eastAsia"/>
        </w:rPr>
      </w:pPr>
      <w:r>
        <w:rPr>
          <w:rFonts w:hint="eastAsia" w:ascii="仿宋" w:hAnsi="仿宋" w:eastAsia="仿宋" w:cs="仿宋"/>
          <w:sz w:val="32"/>
          <w:szCs w:val="32"/>
          <w:lang w:val="en-US" w:eastAsia="zh-CN"/>
        </w:rPr>
        <w:t xml:space="preserve">    张梦雨：会计</w:t>
      </w:r>
    </w:p>
    <w:p w14:paraId="2B00C944">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井陉县残疾人联合会</w:t>
      </w:r>
    </w:p>
    <w:p w14:paraId="22456485">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ascii="仿宋" w:hAnsi="仿宋" w:eastAsia="仿宋"/>
          <w:sz w:val="32"/>
          <w:szCs w:val="32"/>
        </w:rPr>
      </w:pPr>
      <w:r>
        <w:rPr>
          <w:rFonts w:hint="eastAsia" w:ascii="仿宋" w:hAnsi="仿宋" w:eastAsia="仿宋"/>
          <w:sz w:val="32"/>
          <w:szCs w:val="32"/>
        </w:rPr>
        <w:t xml:space="preserve">                         202</w:t>
      </w:r>
      <w:r>
        <w:rPr>
          <w:rFonts w:hint="eastAsia" w:ascii="仿宋" w:hAnsi="仿宋" w:eastAsia="仿宋"/>
          <w:sz w:val="32"/>
          <w:szCs w:val="32"/>
          <w:lang w:val="en-US" w:eastAsia="zh-CN"/>
        </w:rPr>
        <w:t>6</w:t>
      </w:r>
      <w:r>
        <w:rPr>
          <w:rFonts w:hint="eastAsia" w:ascii="仿宋" w:hAnsi="仿宋" w:eastAsia="仿宋"/>
          <w:sz w:val="32"/>
          <w:szCs w:val="32"/>
        </w:rPr>
        <w:t>年</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10</w:t>
      </w:r>
      <w:r>
        <w:rPr>
          <w:rFonts w:hint="eastAsia" w:ascii="仿宋" w:hAnsi="仿宋" w:eastAsia="仿宋"/>
          <w:sz w:val="32"/>
          <w:szCs w:val="32"/>
        </w:rPr>
        <w:t>日</w:t>
      </w:r>
    </w:p>
    <w:p w14:paraId="794ACB8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6D348">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5EED2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5EED2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B15EF62"/>
    <w:multiLevelType w:val="singleLevel"/>
    <w:tmpl w:val="0B15EF62"/>
    <w:lvl w:ilvl="0" w:tentative="0">
      <w:start w:val="5"/>
      <w:numFmt w:val="decimal"/>
      <w:suff w:val="nothing"/>
      <w:lvlText w:val="%1、"/>
      <w:lvlJc w:val="left"/>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DA2FB2"/>
    <w:rsid w:val="00F441CC"/>
    <w:rsid w:val="01B104CA"/>
    <w:rsid w:val="02106AB0"/>
    <w:rsid w:val="02B43A28"/>
    <w:rsid w:val="046F331E"/>
    <w:rsid w:val="07956271"/>
    <w:rsid w:val="088F7CE0"/>
    <w:rsid w:val="09721397"/>
    <w:rsid w:val="0BAF253D"/>
    <w:rsid w:val="0BB63BED"/>
    <w:rsid w:val="0EB97A43"/>
    <w:rsid w:val="0EBD2122"/>
    <w:rsid w:val="0F214EAE"/>
    <w:rsid w:val="11B71E6A"/>
    <w:rsid w:val="144B521C"/>
    <w:rsid w:val="15D802E3"/>
    <w:rsid w:val="1AAF0063"/>
    <w:rsid w:val="1BE140DE"/>
    <w:rsid w:val="210C096D"/>
    <w:rsid w:val="248C197D"/>
    <w:rsid w:val="252959AF"/>
    <w:rsid w:val="269862DE"/>
    <w:rsid w:val="277A6671"/>
    <w:rsid w:val="292D35B7"/>
    <w:rsid w:val="31151E97"/>
    <w:rsid w:val="33EB6CFF"/>
    <w:rsid w:val="35A12947"/>
    <w:rsid w:val="37387040"/>
    <w:rsid w:val="39FD1E6F"/>
    <w:rsid w:val="3B0548E0"/>
    <w:rsid w:val="3B625C0A"/>
    <w:rsid w:val="3CEE1963"/>
    <w:rsid w:val="436B78D3"/>
    <w:rsid w:val="48B60C1B"/>
    <w:rsid w:val="4C9C27FE"/>
    <w:rsid w:val="512260B4"/>
    <w:rsid w:val="52BD6ACB"/>
    <w:rsid w:val="55537534"/>
    <w:rsid w:val="561A74F1"/>
    <w:rsid w:val="597244E8"/>
    <w:rsid w:val="5EB71C30"/>
    <w:rsid w:val="62680180"/>
    <w:rsid w:val="66AF0CE5"/>
    <w:rsid w:val="6AA27932"/>
    <w:rsid w:val="6AC537CF"/>
    <w:rsid w:val="6E5B14A6"/>
    <w:rsid w:val="711B255E"/>
    <w:rsid w:val="7BB51E06"/>
    <w:rsid w:val="7BD222AF"/>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rPr>
      <w:rFonts w:ascii="Times New Roman" w:hAnsi="Times New Roman" w:cs="Times New Roman"/>
    </w:rPr>
  </w:style>
  <w:style w:type="paragraph" w:customStyle="1" w:styleId="3">
    <w:name w:val="正文部分 Char Char Char"/>
    <w:basedOn w:val="2"/>
    <w:next w:val="4"/>
    <w:qFormat/>
    <w:uiPriority w:val="0"/>
    <w:pPr>
      <w:adjustRightInd w:val="0"/>
      <w:spacing w:line="460" w:lineRule="exact"/>
      <w:textAlignment w:val="baseline"/>
    </w:pPr>
    <w:rPr>
      <w:sz w:val="24"/>
    </w:rPr>
  </w:style>
  <w:style w:type="paragraph" w:customStyle="1" w:styleId="4">
    <w:name w:val="章标题"/>
    <w:basedOn w:val="5"/>
    <w:qFormat/>
    <w:uiPriority w:val="0"/>
    <w:pPr>
      <w:spacing w:line="360" w:lineRule="auto"/>
    </w:pPr>
    <w:rPr>
      <w:rFonts w:ascii="Times New Roman" w:hAnsi="Times New Roman"/>
    </w:rPr>
  </w:style>
  <w:style w:type="paragraph" w:styleId="5">
    <w:name w:val="Title"/>
    <w:basedOn w:val="1"/>
    <w:next w:val="1"/>
    <w:qFormat/>
    <w:uiPriority w:val="0"/>
    <w:pPr>
      <w:spacing w:before="240" w:after="60"/>
      <w:jc w:val="center"/>
      <w:outlineLvl w:val="0"/>
    </w:pPr>
    <w:rPr>
      <w:rFonts w:ascii="Cambria" w:hAnsi="Cambria" w:cs="Times New Roman"/>
      <w:b/>
      <w:bCs/>
      <w:kern w:val="0"/>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BodyText1I2"/>
    <w:basedOn w:val="11"/>
    <w:qFormat/>
    <w:uiPriority w:val="0"/>
    <w:pPr>
      <w:spacing w:after="120"/>
      <w:ind w:left="420" w:leftChars="200" w:firstLine="420" w:firstLineChars="200"/>
      <w:jc w:val="both"/>
      <w:textAlignment w:val="baseline"/>
    </w:pPr>
  </w:style>
  <w:style w:type="paragraph" w:customStyle="1" w:styleId="11">
    <w:name w:val="BodyTextIndent"/>
    <w:basedOn w:val="1"/>
    <w:next w:val="1"/>
    <w:qFormat/>
    <w:uiPriority w:val="0"/>
    <w:pPr>
      <w:spacing w:after="120"/>
      <w:ind w:left="420" w:leftChars="200"/>
      <w:jc w:val="both"/>
      <w:textAlignment w:val="baseline"/>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1232</Words>
  <Characters>1263</Characters>
  <Lines>4</Lines>
  <Paragraphs>1</Paragraphs>
  <TotalTime>4</TotalTime>
  <ScaleCrop>false</ScaleCrop>
  <LinksUpToDate>false</LinksUpToDate>
  <CharactersWithSpaces>1269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2026-04-24T07:11:39Z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