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8C5ACB">
      <w:pPr>
        <w:spacing w:line="560" w:lineRule="exact"/>
        <w:jc w:val="center"/>
        <w:rPr>
          <w:rFonts w:ascii="宋体" w:hAnsi="宋体" w:cs="宋体"/>
          <w:b/>
          <w:bCs/>
          <w:sz w:val="44"/>
          <w:szCs w:val="44"/>
        </w:rPr>
      </w:pPr>
    </w:p>
    <w:p w14:paraId="3026E303">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井陉县苍岩山镇人民政府</w:t>
      </w:r>
    </w:p>
    <w:p w14:paraId="67DE6F2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2B95688">
      <w:pPr>
        <w:spacing w:line="560" w:lineRule="exact"/>
        <w:jc w:val="center"/>
        <w:rPr>
          <w:rFonts w:ascii="华文楷体" w:eastAsia="华文楷体"/>
          <w:sz w:val="32"/>
          <w:szCs w:val="32"/>
        </w:rPr>
      </w:pPr>
    </w:p>
    <w:p w14:paraId="6C130E0D">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eastAsia="zh-CN"/>
        </w:rPr>
        <w:t>为</w:t>
      </w: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井陉县苍岩山镇人民政府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7EC5166">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77CED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551961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eastAsia="zh-CN"/>
        </w:rPr>
      </w:pPr>
      <w:r>
        <w:rPr>
          <w:rFonts w:hint="eastAsia" w:ascii="仿宋_GB2312" w:hAnsi="仿宋" w:eastAsia="仿宋_GB2312"/>
          <w:sz w:val="32"/>
          <w:szCs w:val="32"/>
          <w:lang w:eastAsia="zh-CN"/>
        </w:rPr>
        <w:t>本部门</w:t>
      </w:r>
      <w:r>
        <w:rPr>
          <w:rFonts w:hint="eastAsia" w:ascii="仿宋_GB2312" w:hAnsi="仿宋" w:eastAsia="仿宋_GB2312"/>
          <w:sz w:val="32"/>
          <w:szCs w:val="32"/>
        </w:rPr>
        <w:t>主要围绕加强党的领导、夯实基层政权，促进经济发展、增加农民收入，优化公共服务、着力改善民生，强化社会治理、维护社会稳定，推进基层民主、促进农村和谐，改善生态环境、提升乡风文明等方面履行职能。</w:t>
      </w:r>
    </w:p>
    <w:p w14:paraId="5BE96D4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本部门组织机构设置包括机关本级及所属4个事业单位。一是</w:t>
      </w:r>
      <w:r>
        <w:rPr>
          <w:rFonts w:hint="eastAsia" w:ascii="仿宋" w:hAnsi="仿宋" w:eastAsia="仿宋"/>
          <w:sz w:val="32"/>
          <w:szCs w:val="32"/>
          <w:lang w:eastAsia="zh-CN"/>
        </w:rPr>
        <w:t>井陉县苍岩山镇人民政府本级，经费保障形式为财政拨款，行政编制</w:t>
      </w:r>
      <w:r>
        <w:rPr>
          <w:rFonts w:hint="eastAsia" w:ascii="仿宋" w:hAnsi="仿宋" w:eastAsia="仿宋"/>
          <w:sz w:val="32"/>
          <w:szCs w:val="32"/>
          <w:lang w:val="en-US" w:eastAsia="zh-CN"/>
        </w:rPr>
        <w:t>27人，在职25人；二是</w:t>
      </w:r>
      <w:r>
        <w:rPr>
          <w:rFonts w:hint="eastAsia" w:ascii="仿宋" w:hAnsi="仿宋" w:eastAsia="仿宋"/>
          <w:sz w:val="32"/>
          <w:szCs w:val="32"/>
          <w:lang w:eastAsia="zh-CN"/>
        </w:rPr>
        <w:t>苍岩山镇综合行政执法队，经费保障形式为财政性资金基本保证，事业编制</w:t>
      </w:r>
      <w:r>
        <w:rPr>
          <w:rFonts w:hint="eastAsia" w:ascii="仿宋" w:hAnsi="仿宋" w:eastAsia="仿宋"/>
          <w:sz w:val="32"/>
          <w:szCs w:val="32"/>
          <w:lang w:val="en-US" w:eastAsia="zh-CN"/>
        </w:rPr>
        <w:t>10人，在职10人；三是</w:t>
      </w:r>
      <w:r>
        <w:rPr>
          <w:rFonts w:hint="eastAsia" w:ascii="仿宋" w:hAnsi="仿宋" w:eastAsia="仿宋"/>
          <w:sz w:val="32"/>
          <w:szCs w:val="32"/>
          <w:lang w:eastAsia="zh-CN"/>
        </w:rPr>
        <w:t>苍岩山镇行政综合服务中心，经费保障形式为财政性资金基本保证，事业编制</w:t>
      </w:r>
      <w:r>
        <w:rPr>
          <w:rFonts w:hint="eastAsia" w:ascii="仿宋" w:hAnsi="仿宋" w:eastAsia="仿宋"/>
          <w:sz w:val="32"/>
          <w:szCs w:val="32"/>
          <w:lang w:val="en-US" w:eastAsia="zh-CN"/>
        </w:rPr>
        <w:t>6人，在职6人；四是</w:t>
      </w:r>
      <w:r>
        <w:rPr>
          <w:rFonts w:hint="eastAsia" w:ascii="仿宋" w:hAnsi="仿宋" w:eastAsia="仿宋"/>
          <w:sz w:val="32"/>
          <w:szCs w:val="32"/>
          <w:lang w:eastAsia="zh-CN"/>
        </w:rPr>
        <w:t>苍岩山镇农业综合服务中心，经费保障形式为财政性资金基本保证，事业编制</w:t>
      </w:r>
      <w:r>
        <w:rPr>
          <w:rFonts w:hint="eastAsia" w:ascii="仿宋" w:hAnsi="仿宋" w:eastAsia="仿宋"/>
          <w:sz w:val="32"/>
          <w:szCs w:val="32"/>
          <w:lang w:val="en-US" w:eastAsia="zh-CN"/>
        </w:rPr>
        <w:t>4人，在职1人；五是</w:t>
      </w:r>
      <w:r>
        <w:rPr>
          <w:rFonts w:hint="eastAsia" w:ascii="仿宋" w:hAnsi="仿宋" w:eastAsia="仿宋"/>
          <w:sz w:val="32"/>
          <w:szCs w:val="32"/>
          <w:lang w:eastAsia="zh-CN"/>
        </w:rPr>
        <w:t>苍岩山镇退役军人服务站，经费保障形式为财政性资金基本保证，事业编制</w:t>
      </w:r>
      <w:r>
        <w:rPr>
          <w:rFonts w:hint="eastAsia" w:ascii="仿宋" w:hAnsi="仿宋" w:eastAsia="仿宋"/>
          <w:sz w:val="32"/>
          <w:szCs w:val="32"/>
          <w:lang w:val="en-US" w:eastAsia="zh-CN"/>
        </w:rPr>
        <w:t>2人，在职2人。</w:t>
      </w:r>
    </w:p>
    <w:p w14:paraId="3DB1909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本部门</w:t>
      </w:r>
      <w:r>
        <w:rPr>
          <w:rFonts w:hint="eastAsia" w:ascii="仿宋" w:hAnsi="仿宋" w:eastAsia="仿宋"/>
          <w:sz w:val="32"/>
          <w:szCs w:val="32"/>
          <w:lang w:val="en-US" w:eastAsia="zh-CN"/>
        </w:rPr>
        <w:t>2025年</w:t>
      </w:r>
      <w:r>
        <w:rPr>
          <w:rFonts w:hint="eastAsia" w:ascii="仿宋" w:hAnsi="仿宋" w:eastAsia="仿宋"/>
          <w:sz w:val="32"/>
          <w:szCs w:val="32"/>
          <w:lang w:eastAsia="zh-CN"/>
        </w:rPr>
        <w:t>末固定资产总额为30</w:t>
      </w:r>
      <w:r>
        <w:rPr>
          <w:rFonts w:hint="eastAsia" w:ascii="仿宋" w:hAnsi="仿宋" w:eastAsia="仿宋"/>
          <w:sz w:val="32"/>
          <w:szCs w:val="32"/>
          <w:lang w:val="en-US" w:eastAsia="zh-CN"/>
        </w:rPr>
        <w:t>11351</w:t>
      </w:r>
      <w:r>
        <w:rPr>
          <w:rFonts w:hint="eastAsia" w:ascii="仿宋" w:hAnsi="仿宋" w:eastAsia="仿宋"/>
          <w:sz w:val="32"/>
          <w:szCs w:val="32"/>
          <w:lang w:eastAsia="zh-CN"/>
        </w:rPr>
        <w:t>.</w:t>
      </w:r>
      <w:r>
        <w:rPr>
          <w:rFonts w:hint="eastAsia" w:ascii="仿宋" w:hAnsi="仿宋" w:eastAsia="仿宋"/>
          <w:sz w:val="32"/>
          <w:szCs w:val="32"/>
          <w:lang w:val="en-US" w:eastAsia="zh-CN"/>
        </w:rPr>
        <w:t>95</w:t>
      </w:r>
      <w:r>
        <w:rPr>
          <w:rFonts w:hint="eastAsia" w:ascii="仿宋" w:hAnsi="仿宋" w:eastAsia="仿宋"/>
          <w:sz w:val="32"/>
          <w:szCs w:val="32"/>
          <w:lang w:eastAsia="zh-CN"/>
        </w:rPr>
        <w:t>元，其中房屋总计</w:t>
      </w:r>
      <w:r>
        <w:rPr>
          <w:rFonts w:hint="eastAsia" w:ascii="仿宋" w:hAnsi="仿宋" w:eastAsia="仿宋"/>
          <w:sz w:val="32"/>
          <w:szCs w:val="32"/>
          <w:lang w:val="en-US" w:eastAsia="zh-CN"/>
        </w:rPr>
        <w:t>2250670.00</w:t>
      </w:r>
      <w:r>
        <w:rPr>
          <w:rFonts w:hint="eastAsia" w:ascii="仿宋" w:hAnsi="仿宋" w:eastAsia="仿宋"/>
          <w:sz w:val="32"/>
          <w:szCs w:val="32"/>
          <w:lang w:eastAsia="zh-CN"/>
        </w:rPr>
        <w:t>元；单位共有公务车辆2辆，总计金额2</w:t>
      </w:r>
      <w:r>
        <w:rPr>
          <w:rFonts w:hint="eastAsia" w:ascii="仿宋" w:hAnsi="仿宋" w:eastAsia="仿宋"/>
          <w:sz w:val="32"/>
          <w:szCs w:val="32"/>
          <w:lang w:val="en-US" w:eastAsia="zh-CN"/>
        </w:rPr>
        <w:t>3257</w:t>
      </w:r>
      <w:r>
        <w:rPr>
          <w:rFonts w:hint="eastAsia" w:ascii="仿宋" w:hAnsi="仿宋" w:eastAsia="仿宋"/>
          <w:sz w:val="32"/>
          <w:szCs w:val="32"/>
          <w:lang w:eastAsia="zh-CN"/>
        </w:rPr>
        <w:t>6.10元，图书档案、家具用具、设备总计52</w:t>
      </w:r>
      <w:r>
        <w:rPr>
          <w:rFonts w:hint="eastAsia" w:ascii="仿宋" w:hAnsi="仿宋" w:eastAsia="仿宋"/>
          <w:sz w:val="32"/>
          <w:szCs w:val="32"/>
          <w:lang w:val="en-US" w:eastAsia="zh-CN"/>
        </w:rPr>
        <w:t>8105</w:t>
      </w:r>
      <w:r>
        <w:rPr>
          <w:rFonts w:hint="eastAsia" w:ascii="仿宋" w:hAnsi="仿宋" w:eastAsia="仿宋"/>
          <w:sz w:val="32"/>
          <w:szCs w:val="32"/>
          <w:lang w:eastAsia="zh-CN"/>
        </w:rPr>
        <w:t>.</w:t>
      </w:r>
      <w:r>
        <w:rPr>
          <w:rFonts w:hint="eastAsia" w:ascii="仿宋" w:hAnsi="仿宋" w:eastAsia="仿宋"/>
          <w:sz w:val="32"/>
          <w:szCs w:val="32"/>
          <w:lang w:val="en-US" w:eastAsia="zh-CN"/>
        </w:rPr>
        <w:t>85</w:t>
      </w:r>
      <w:r>
        <w:rPr>
          <w:rFonts w:hint="eastAsia" w:ascii="仿宋" w:hAnsi="仿宋" w:eastAsia="仿宋"/>
          <w:sz w:val="32"/>
          <w:szCs w:val="32"/>
          <w:lang w:eastAsia="zh-CN"/>
        </w:rPr>
        <w:t>元。</w:t>
      </w:r>
    </w:p>
    <w:p w14:paraId="7F33C20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5495AAE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按照预算管理有关规定，目前我县部门预算的编制实行综合预算管理，即全部收入和支出都反映在预算中。井陉县苍岩山镇人民政府机关及所属事业单位的收支包含在部门预算中。</w:t>
      </w:r>
    </w:p>
    <w:p w14:paraId="1F8C5AF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1、收入说明</w:t>
      </w:r>
    </w:p>
    <w:p w14:paraId="2BD447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 w:hAnsi="仿宋" w:eastAsia="仿宋"/>
          <w:sz w:val="32"/>
          <w:szCs w:val="32"/>
          <w:lang w:eastAsia="zh-CN"/>
        </w:rPr>
        <w:t>本部门202</w:t>
      </w:r>
      <w:r>
        <w:rPr>
          <w:rFonts w:hint="eastAsia" w:ascii="仿宋" w:hAnsi="仿宋" w:eastAsia="仿宋"/>
          <w:sz w:val="32"/>
          <w:szCs w:val="32"/>
          <w:lang w:val="en-US" w:eastAsia="zh-CN"/>
        </w:rPr>
        <w:t>5年度</w:t>
      </w:r>
      <w:r>
        <w:rPr>
          <w:rFonts w:hint="eastAsia" w:ascii="仿宋" w:hAnsi="仿宋" w:eastAsia="仿宋"/>
          <w:sz w:val="32"/>
          <w:szCs w:val="32"/>
          <w:lang w:eastAsia="zh-CN"/>
        </w:rPr>
        <w:t>年初安排预算收入</w:t>
      </w:r>
      <w:r>
        <w:rPr>
          <w:rFonts w:hint="eastAsia" w:ascii="仿宋_GB2312" w:hAnsi="仿宋" w:eastAsia="仿宋_GB2312"/>
          <w:sz w:val="32"/>
          <w:szCs w:val="32"/>
        </w:rPr>
        <w:t>5729200.07</w:t>
      </w:r>
      <w:r>
        <w:rPr>
          <w:rFonts w:hint="eastAsia" w:ascii="仿宋" w:hAnsi="仿宋" w:eastAsia="仿宋"/>
          <w:sz w:val="32"/>
          <w:szCs w:val="32"/>
          <w:lang w:val="en-US" w:eastAsia="zh-CN"/>
        </w:rPr>
        <w:t>元，</w:t>
      </w:r>
      <w:r>
        <w:rPr>
          <w:rFonts w:hint="eastAsia" w:ascii="仿宋" w:hAnsi="仿宋" w:eastAsia="仿宋"/>
          <w:sz w:val="32"/>
          <w:szCs w:val="32"/>
          <w:lang w:eastAsia="zh-CN"/>
        </w:rPr>
        <w:t>全部为一般公共预算收入。</w:t>
      </w:r>
      <w:r>
        <w:rPr>
          <w:rFonts w:hint="eastAsia" w:ascii="仿宋" w:hAnsi="仿宋" w:eastAsia="仿宋"/>
          <w:sz w:val="32"/>
          <w:szCs w:val="32"/>
          <w:lang w:val="en-US" w:eastAsia="zh-CN"/>
        </w:rPr>
        <w:t>2025年度</w:t>
      </w:r>
      <w:r>
        <w:rPr>
          <w:rFonts w:hint="eastAsia" w:ascii="仿宋" w:hAnsi="仿宋" w:eastAsia="仿宋"/>
          <w:sz w:val="32"/>
          <w:szCs w:val="32"/>
          <w:lang w:eastAsia="zh-CN"/>
        </w:rPr>
        <w:t>决算收入为</w:t>
      </w:r>
      <w:r>
        <w:rPr>
          <w:rFonts w:hint="eastAsia" w:ascii="仿宋_GB2312" w:hAnsi="仿宋" w:eastAsia="仿宋_GB2312"/>
          <w:sz w:val="32"/>
          <w:szCs w:val="32"/>
        </w:rPr>
        <w:t>7785619.35</w:t>
      </w:r>
      <w:r>
        <w:rPr>
          <w:rFonts w:hint="eastAsia" w:ascii="仿宋" w:hAnsi="仿宋" w:eastAsia="仿宋"/>
          <w:sz w:val="32"/>
          <w:szCs w:val="32"/>
          <w:lang w:eastAsia="zh-CN"/>
        </w:rPr>
        <w:t>元，</w:t>
      </w:r>
      <w:r>
        <w:rPr>
          <w:rFonts w:hint="eastAsia" w:ascii="仿宋_GB2312" w:hAnsi="仿宋" w:eastAsia="仿宋_GB2312"/>
          <w:sz w:val="32"/>
          <w:szCs w:val="32"/>
          <w:lang w:val="en-US" w:eastAsia="zh-CN"/>
        </w:rPr>
        <w:t>其中</w:t>
      </w:r>
      <w:r>
        <w:rPr>
          <w:rFonts w:hint="eastAsia" w:ascii="仿宋_GB2312" w:hAnsi="仿宋" w:eastAsia="仿宋_GB2312"/>
          <w:sz w:val="32"/>
          <w:szCs w:val="32"/>
          <w:lang w:eastAsia="zh-CN"/>
        </w:rPr>
        <w:t>一般公共服务支出</w:t>
      </w:r>
      <w:r>
        <w:rPr>
          <w:rFonts w:hint="eastAsia" w:ascii="仿宋_GB2312" w:hAnsi="仿宋" w:eastAsia="仿宋_GB2312"/>
          <w:sz w:val="32"/>
          <w:szCs w:val="32"/>
        </w:rPr>
        <w:t>4648077.58</w:t>
      </w:r>
      <w:r>
        <w:rPr>
          <w:rFonts w:hint="eastAsia" w:ascii="仿宋_GB2312" w:hAnsi="仿宋" w:eastAsia="仿宋_GB2312"/>
          <w:sz w:val="32"/>
          <w:szCs w:val="32"/>
          <w:lang w:eastAsia="zh-CN"/>
        </w:rPr>
        <w:t>元，文化旅游体育与传媒支出</w:t>
      </w:r>
      <w:r>
        <w:rPr>
          <w:rFonts w:hint="eastAsia" w:ascii="仿宋_GB2312" w:hAnsi="仿宋" w:eastAsia="仿宋_GB2312"/>
          <w:sz w:val="32"/>
          <w:szCs w:val="32"/>
          <w:lang w:val="en-US" w:eastAsia="zh-CN"/>
        </w:rPr>
        <w:t>50</w:t>
      </w:r>
      <w:r>
        <w:rPr>
          <w:rFonts w:hint="eastAsia" w:ascii="仿宋_GB2312" w:hAnsi="仿宋" w:eastAsia="仿宋_GB2312"/>
          <w:sz w:val="32"/>
          <w:szCs w:val="32"/>
          <w:lang w:eastAsia="zh-CN"/>
        </w:rPr>
        <w:t>000.00元，社会保障和就业支出</w:t>
      </w:r>
      <w:r>
        <w:rPr>
          <w:rFonts w:hint="eastAsia" w:ascii="仿宋_GB2312" w:hAnsi="仿宋" w:eastAsia="仿宋_GB2312"/>
          <w:sz w:val="32"/>
          <w:szCs w:val="32"/>
        </w:rPr>
        <w:t>963478.69</w:t>
      </w:r>
      <w:r>
        <w:rPr>
          <w:rFonts w:hint="eastAsia" w:ascii="仿宋_GB2312" w:hAnsi="仿宋" w:eastAsia="仿宋_GB2312"/>
          <w:sz w:val="32"/>
          <w:szCs w:val="32"/>
          <w:lang w:eastAsia="zh-CN"/>
        </w:rPr>
        <w:t>元，卫生健康支出</w:t>
      </w:r>
      <w:r>
        <w:rPr>
          <w:rFonts w:hint="eastAsia" w:ascii="仿宋_GB2312" w:hAnsi="仿宋" w:eastAsia="仿宋_GB2312"/>
          <w:sz w:val="32"/>
          <w:szCs w:val="32"/>
        </w:rPr>
        <w:t>211026.03</w:t>
      </w:r>
      <w:r>
        <w:rPr>
          <w:rFonts w:hint="eastAsia" w:ascii="仿宋_GB2312" w:hAnsi="仿宋" w:eastAsia="仿宋_GB2312"/>
          <w:sz w:val="32"/>
          <w:szCs w:val="32"/>
          <w:lang w:eastAsia="zh-CN"/>
        </w:rPr>
        <w:t>元，节能环保支出</w:t>
      </w:r>
      <w:r>
        <w:rPr>
          <w:rFonts w:hint="eastAsia" w:ascii="仿宋_GB2312" w:hAnsi="仿宋" w:eastAsia="仿宋_GB2312"/>
          <w:sz w:val="32"/>
          <w:szCs w:val="32"/>
        </w:rPr>
        <w:t>60000.00</w:t>
      </w:r>
      <w:r>
        <w:rPr>
          <w:rFonts w:hint="eastAsia" w:ascii="仿宋_GB2312" w:hAnsi="仿宋" w:eastAsia="仿宋_GB2312"/>
          <w:sz w:val="32"/>
          <w:szCs w:val="32"/>
          <w:lang w:eastAsia="zh-CN"/>
        </w:rPr>
        <w:t>元，农林水支出</w:t>
      </w:r>
      <w:r>
        <w:rPr>
          <w:rFonts w:hint="eastAsia" w:ascii="仿宋_GB2312" w:hAnsi="仿宋" w:eastAsia="仿宋_GB2312"/>
          <w:sz w:val="32"/>
          <w:szCs w:val="32"/>
        </w:rPr>
        <w:t>1178969.75</w:t>
      </w:r>
      <w:r>
        <w:rPr>
          <w:rFonts w:hint="eastAsia" w:ascii="仿宋_GB2312" w:hAnsi="仿宋" w:eastAsia="仿宋_GB2312"/>
          <w:sz w:val="32"/>
          <w:szCs w:val="32"/>
          <w:lang w:eastAsia="zh-CN"/>
        </w:rPr>
        <w:t>元，住房保障支出</w:t>
      </w:r>
      <w:r>
        <w:rPr>
          <w:rFonts w:hint="eastAsia" w:ascii="仿宋_GB2312" w:hAnsi="仿宋" w:eastAsia="仿宋_GB2312"/>
          <w:sz w:val="32"/>
          <w:szCs w:val="32"/>
        </w:rPr>
        <w:t>373043.3</w:t>
      </w:r>
      <w:r>
        <w:rPr>
          <w:rFonts w:hint="eastAsia" w:ascii="仿宋_GB2312" w:hAnsi="仿宋" w:eastAsia="仿宋_GB2312"/>
          <w:sz w:val="32"/>
          <w:szCs w:val="32"/>
          <w:lang w:val="en-US" w:eastAsia="zh-CN"/>
        </w:rPr>
        <w:t>0</w:t>
      </w:r>
      <w:r>
        <w:rPr>
          <w:rFonts w:hint="eastAsia" w:ascii="仿宋_GB2312" w:hAnsi="仿宋" w:eastAsia="仿宋_GB2312"/>
          <w:sz w:val="32"/>
          <w:szCs w:val="32"/>
          <w:lang w:eastAsia="zh-CN"/>
        </w:rPr>
        <w:t>元，其他支出</w:t>
      </w:r>
      <w:r>
        <w:rPr>
          <w:rFonts w:hint="eastAsia" w:ascii="仿宋_GB2312" w:hAnsi="仿宋" w:eastAsia="仿宋_GB2312"/>
          <w:sz w:val="32"/>
          <w:szCs w:val="32"/>
        </w:rPr>
        <w:t>30102</w:t>
      </w:r>
      <w:r>
        <w:rPr>
          <w:rFonts w:hint="eastAsia" w:ascii="仿宋_GB2312" w:hAnsi="仿宋" w:eastAsia="仿宋_GB2312"/>
          <w:sz w:val="32"/>
          <w:szCs w:val="32"/>
          <w:lang w:val="en-US" w:eastAsia="zh-CN"/>
        </w:rPr>
        <w:t>4.00元</w:t>
      </w:r>
      <w:r>
        <w:rPr>
          <w:rFonts w:hint="eastAsia" w:ascii="仿宋_GB2312" w:hAnsi="仿宋" w:eastAsia="仿宋_GB2312"/>
          <w:sz w:val="32"/>
          <w:szCs w:val="32"/>
          <w:lang w:eastAsia="zh-CN"/>
        </w:rPr>
        <w:t>。</w:t>
      </w:r>
    </w:p>
    <w:p w14:paraId="70B99560">
      <w:pPr>
        <w:keepNext w:val="0"/>
        <w:keepLines w:val="0"/>
        <w:pageBreakBefore w:val="0"/>
        <w:kinsoku/>
        <w:wordWrap/>
        <w:overflowPunct/>
        <w:topLinePunct w:val="0"/>
        <w:bidi w:val="0"/>
        <w:snapToGrid w:val="0"/>
        <w:spacing w:line="560" w:lineRule="exact"/>
        <w:ind w:firstLine="640" w:firstLineChars="200"/>
        <w:textAlignment w:val="auto"/>
        <w:rPr>
          <w:rFonts w:hint="eastAsia" w:eastAsia="仿宋"/>
          <w:sz w:val="32"/>
          <w:szCs w:val="32"/>
        </w:rPr>
      </w:pPr>
      <w:r>
        <w:rPr>
          <w:rFonts w:hint="eastAsia" w:ascii="仿宋_GB2312" w:hAnsi="仿宋" w:eastAsia="仿宋_GB2312"/>
          <w:sz w:val="32"/>
          <w:szCs w:val="32"/>
        </w:rPr>
        <w:t>较年初预算增加2056419.28元，差异率为35.9%。</w:t>
      </w:r>
      <w:r>
        <w:rPr>
          <w:rFonts w:hint="eastAsia" w:ascii="仿宋_GB2312" w:hAnsi="仿宋" w:eastAsia="仿宋_GB2312"/>
          <w:sz w:val="32"/>
          <w:szCs w:val="32"/>
          <w:lang w:eastAsia="zh-CN"/>
        </w:rPr>
        <w:t>主要原因一是</w:t>
      </w:r>
      <w:r>
        <w:rPr>
          <w:rFonts w:hint="eastAsia" w:ascii="仿宋_GB2312" w:hAnsi="仿宋" w:eastAsia="仿宋_GB2312"/>
          <w:sz w:val="32"/>
          <w:szCs w:val="32"/>
        </w:rPr>
        <w:t>本年度年初预算在职人员37人，本年末在职人数较年初预算人数共计增加7人，</w:t>
      </w:r>
      <w:r>
        <w:rPr>
          <w:rFonts w:hint="eastAsia" w:eastAsia="仿宋"/>
          <w:sz w:val="32"/>
          <w:szCs w:val="32"/>
        </w:rPr>
        <w:t>相应增加了人员经费及公用经费，人员经费</w:t>
      </w:r>
      <w:r>
        <w:rPr>
          <w:rFonts w:hint="eastAsia" w:ascii="仿宋_GB2312" w:hAnsi="仿宋" w:eastAsia="仿宋_GB2312"/>
          <w:sz w:val="32"/>
          <w:szCs w:val="32"/>
        </w:rPr>
        <w:t>5510969.84元较年初预算4889587.07元增加了621382.77元，公用经费441878.36元较年初预算388400.00元增加了53478.36元</w:t>
      </w:r>
      <w:r>
        <w:rPr>
          <w:rFonts w:hint="eastAsia" w:eastAsia="仿宋"/>
          <w:sz w:val="32"/>
          <w:szCs w:val="32"/>
        </w:rPr>
        <w:t>。</w:t>
      </w:r>
    </w:p>
    <w:p w14:paraId="1A52E654">
      <w:pPr>
        <w:keepNext w:val="0"/>
        <w:keepLines w:val="0"/>
        <w:pageBreakBefore w:val="0"/>
        <w:kinsoku/>
        <w:wordWrap/>
        <w:overflowPunct/>
        <w:topLinePunct w:val="0"/>
        <w:bidi w:val="0"/>
        <w:snapToGrid w:val="0"/>
        <w:spacing w:line="560" w:lineRule="exact"/>
        <w:ind w:firstLine="640" w:firstLineChars="200"/>
        <w:textAlignment w:val="auto"/>
        <w:rPr>
          <w:rFonts w:hint="eastAsia" w:ascii="仿宋" w:hAnsi="仿宋" w:eastAsia="仿宋" w:cs="仿宋"/>
          <w:sz w:val="30"/>
          <w:szCs w:val="30"/>
        </w:rPr>
      </w:pPr>
      <w:r>
        <w:rPr>
          <w:rFonts w:hint="eastAsia" w:ascii="仿宋_GB2312" w:hAnsi="仿宋" w:eastAsia="仿宋_GB2312"/>
          <w:sz w:val="32"/>
          <w:szCs w:val="32"/>
        </w:rPr>
        <w:t>二是本年度追加2025年中央支持地方公共文化服务体系建设补助资金30000.00元，追加</w:t>
      </w:r>
      <w:r>
        <w:rPr>
          <w:rFonts w:hint="eastAsia" w:ascii="仿宋" w:hAnsi="仿宋" w:eastAsia="仿宋" w:cs="仿宋"/>
          <w:sz w:val="30"/>
          <w:szCs w:val="30"/>
        </w:rPr>
        <w:t>农村公益事业财政奖补项目经费1101825.75元，追加偿还政府拖欠企业账款项目（第三批）301024.00元，项目经费年初预算未支出51291.60元，导致项目经费1832771.15元较年初预算451213.00元增加1381558.15元。</w:t>
      </w:r>
    </w:p>
    <w:p w14:paraId="2DD0345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2、支出说明</w:t>
      </w:r>
    </w:p>
    <w:p w14:paraId="21B5F14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2025年度部门支出预算为</w:t>
      </w:r>
      <w:r>
        <w:rPr>
          <w:rFonts w:hint="eastAsia" w:ascii="仿宋_GB2312" w:hAnsi="仿宋" w:eastAsia="仿宋_GB2312"/>
          <w:sz w:val="32"/>
          <w:szCs w:val="32"/>
        </w:rPr>
        <w:t>5729200.07</w:t>
      </w:r>
      <w:r>
        <w:rPr>
          <w:rFonts w:hint="eastAsia" w:ascii="仿宋" w:hAnsi="仿宋" w:eastAsia="仿宋"/>
          <w:sz w:val="32"/>
          <w:szCs w:val="32"/>
          <w:highlight w:val="none"/>
          <w:lang w:val="en-US" w:eastAsia="zh-CN"/>
        </w:rPr>
        <w:t>元，包括人员经费4889587.07元、日常公用经费388400.00元和项目支出451213.00元，全部为本级支出。2025年度我部门支出总计为</w:t>
      </w:r>
      <w:r>
        <w:rPr>
          <w:rFonts w:hint="eastAsia" w:ascii="仿宋_GB2312" w:hAnsi="仿宋" w:eastAsia="仿宋_GB2312"/>
          <w:sz w:val="32"/>
          <w:szCs w:val="32"/>
        </w:rPr>
        <w:t>7785619.35</w:t>
      </w:r>
      <w:r>
        <w:rPr>
          <w:rFonts w:hint="eastAsia" w:ascii="仿宋" w:hAnsi="仿宋" w:eastAsia="仿宋"/>
          <w:sz w:val="32"/>
          <w:szCs w:val="32"/>
          <w:highlight w:val="none"/>
          <w:lang w:val="en-US" w:eastAsia="zh-CN"/>
        </w:rPr>
        <w:t>元，决算支出包括人员经费支出5510969.84元、日常办公经费支出</w:t>
      </w:r>
      <w:r>
        <w:rPr>
          <w:rFonts w:hint="eastAsia" w:ascii="仿宋_GB2312" w:hAnsi="仿宋" w:eastAsia="仿宋_GB2312"/>
          <w:sz w:val="32"/>
          <w:szCs w:val="32"/>
        </w:rPr>
        <w:t>441878.36</w:t>
      </w:r>
      <w:r>
        <w:rPr>
          <w:rFonts w:hint="eastAsia" w:ascii="仿宋" w:hAnsi="仿宋" w:eastAsia="仿宋"/>
          <w:sz w:val="32"/>
          <w:szCs w:val="32"/>
          <w:highlight w:val="none"/>
          <w:lang w:val="en-US" w:eastAsia="zh-CN"/>
        </w:rPr>
        <w:t>元和项目支出</w:t>
      </w:r>
      <w:r>
        <w:rPr>
          <w:rFonts w:hint="eastAsia" w:ascii="仿宋" w:hAnsi="仿宋" w:eastAsia="仿宋" w:cs="仿宋"/>
          <w:sz w:val="30"/>
          <w:szCs w:val="30"/>
        </w:rPr>
        <w:t>1832771.15</w:t>
      </w:r>
      <w:r>
        <w:rPr>
          <w:rFonts w:hint="eastAsia" w:ascii="仿宋" w:hAnsi="仿宋" w:eastAsia="仿宋"/>
          <w:sz w:val="32"/>
          <w:szCs w:val="32"/>
          <w:highlight w:val="none"/>
          <w:lang w:val="en-US" w:eastAsia="zh-CN"/>
        </w:rPr>
        <w:t>元。</w:t>
      </w:r>
    </w:p>
    <w:p w14:paraId="0EE091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E1F7093">
      <w:pPr>
        <w:pStyle w:val="7"/>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yellow"/>
          <w:lang w:val="en-US" w:eastAsia="zh-CN"/>
        </w:rPr>
      </w:pPr>
      <w:r>
        <w:rPr>
          <w:rFonts w:hint="eastAsia" w:ascii="仿宋" w:hAnsi="仿宋" w:eastAsia="仿宋" w:cs="黑体"/>
          <w:kern w:val="2"/>
          <w:sz w:val="32"/>
          <w:szCs w:val="32"/>
          <w:highlight w:val="none"/>
          <w:lang w:val="en-US" w:eastAsia="zh-CN" w:bidi="ar-SA"/>
        </w:rPr>
        <w:t>本部门2025年度总体绩效目标是坚持以习近平新时代中国特色社会主义思想为指导，坚决贯彻落实县委、县政府的各项决策部署，围绕县委苍岩山片区发展思路，全力配合好苍岩山提档升级各项工作，积极推进项目建设，立足广阔山场资源、旅游资源，加大招商引资步伐；持续推进多中心项目建设，多措并举壮大村集体经济，厚植发展优势，建立稳定脱贫长效机制，持续提升农村人居环境面貌，常态化推进宜居乡村建设；持续深化改革，拓展服务领域，落实好城乡低保、农村特困供养、医疗救助、临时救助、城乡居民基本养老、基本医疗等政策，扎实开展双拥、优抚安置、残疾人保障工作，全力推进民生实事工程建设；严格落实安全生产责任制，不断提升重点领域的风险管控和隐患治理能力。团结带领全镇广大党员干部群众，高举改革旗帜，全力推进乡村振兴战略，全力配合苍岩山创5A工作，努力实现经济发展高质量、人民生活高品质的奋斗目标。</w:t>
      </w:r>
    </w:p>
    <w:p w14:paraId="3A82DA8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绩效指标一是产出指标，其中数量指标指上级各部门安排部署的各项工作的完成数量及群众反馈问题解决数量；质量指标指上级各部门安排部署的各项工作的完成效果；时效指标指上级各部门安排部署的各项工作能在规定时限内完成。二是效益指标，其中社会效益指标指确保国家各项惠民政策的落实，促进辖区和谐稳定发展；可持续影响指标指提高镇政府服务群众水平，改善镇政府形象及影响力。三是满意度指标，其中主管部门满意度指上级各部门对我镇各项工作完成情况的考核评价；干部满意度指我镇工作人员对各项工作完成情况的自我评价；群众满意度指群众对我镇本年各项工作完成效果的评价。四是预算执行率指标，指年初预算的决算支出情况。</w:t>
      </w:r>
    </w:p>
    <w:p w14:paraId="4E8270C4">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二、自评工作开展情况</w:t>
      </w:r>
    </w:p>
    <w:p w14:paraId="2BB273C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（一）自评的组织工作</w:t>
      </w:r>
    </w:p>
    <w:p w14:paraId="40555E7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自评工作由办公室牵头，与负责项目实施的业务科室组成项目自评小组，业务科室配合办公室完成资金申请、领导批示、会议记录、拨款凭证等资料的收集，统计项目支出明细，发放满意度调查问卷等工作。自评小组从总体绩效目标、绩效指标等方面对202</w:t>
      </w:r>
      <w:r>
        <w:rPr>
          <w:rFonts w:hint="eastAsia" w:ascii="仿宋" w:hAnsi="仿宋" w:eastAsia="仿宋"/>
          <w:sz w:val="32"/>
          <w:szCs w:val="32"/>
          <w:lang w:val="en-US" w:eastAsia="zh-CN"/>
        </w:rPr>
        <w:t>5</w:t>
      </w:r>
      <w:r>
        <w:rPr>
          <w:rFonts w:hint="eastAsia" w:ascii="仿宋" w:hAnsi="仿宋" w:eastAsia="仿宋"/>
          <w:sz w:val="32"/>
          <w:szCs w:val="32"/>
          <w:lang w:eastAsia="zh-CN"/>
        </w:rPr>
        <w:t>年度财政预算项目绩效目标实现程度和预算执行情况开展了评价。</w:t>
      </w:r>
    </w:p>
    <w:p w14:paraId="5B23E19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w:t>
      </w: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）自评的方法和过程</w:t>
      </w:r>
    </w:p>
    <w:p w14:paraId="3016637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自评小组运用比较法、因素分析法、项目效益分析法等评价方法</w:t>
      </w:r>
      <w:r>
        <w:rPr>
          <w:rFonts w:hint="eastAsia" w:ascii="仿宋" w:hAnsi="仿宋" w:eastAsia="仿宋"/>
          <w:sz w:val="32"/>
          <w:szCs w:val="32"/>
          <w:lang w:eastAsia="zh-CN"/>
        </w:rPr>
        <w:t>从产出指标、</w:t>
      </w:r>
      <w:r>
        <w:rPr>
          <w:rFonts w:hint="eastAsia" w:ascii="仿宋" w:hAnsi="仿宋" w:eastAsia="仿宋"/>
          <w:sz w:val="32"/>
          <w:szCs w:val="32"/>
          <w:lang w:val="en-US" w:eastAsia="zh-CN"/>
        </w:rPr>
        <w:t>预算执行率指标、</w:t>
      </w:r>
      <w:r>
        <w:rPr>
          <w:rFonts w:hint="eastAsia" w:ascii="仿宋" w:hAnsi="仿宋" w:eastAsia="仿宋"/>
          <w:sz w:val="32"/>
          <w:szCs w:val="32"/>
          <w:lang w:eastAsia="zh-CN"/>
        </w:rPr>
        <w:t>效益指标、满意度指标等方面对项目展开评价。绩效指标权重由各业务科室根据评价对象实际情况确定，总分设定为</w:t>
      </w:r>
      <w:r>
        <w:rPr>
          <w:rFonts w:hint="eastAsia" w:ascii="仿宋" w:hAnsi="仿宋" w:eastAsia="仿宋"/>
          <w:sz w:val="32"/>
          <w:szCs w:val="32"/>
          <w:lang w:val="en-US" w:eastAsia="zh-CN"/>
        </w:rPr>
        <w:t>100分。通过资料收集、实地考察、调查统计等方式，获取到绩效评价需要的基础资料。通过比较绩效目标值和实际完成值、对比以前年度和本年度相近项目实施情况、综合分析影响绩效目标实施效果的内外因素等方式，评价各项目绩效目标的实现程度，给出项目总得分。</w:t>
      </w:r>
    </w:p>
    <w:p w14:paraId="39972B2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三、部门整体支出绩效目标实现情况及指标分析</w:t>
      </w:r>
    </w:p>
    <w:p w14:paraId="4852D2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（一）总体绩效目标实现情况</w:t>
      </w:r>
    </w:p>
    <w:p w14:paraId="2C476DD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2025年，苍岩山镇坚决贯彻县委、县政府决策部署，牢固树立“大家都来抓发展”的工作理念，紧扣全县“2+4”产业新布局，以“党建、文旅、产业、民生、生态、安全”六大维度协同发力，推动全镇各项事业迈上新台阶。</w:t>
      </w:r>
    </w:p>
    <w:p w14:paraId="4A6DC4A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党建引领强根基，深化党的二十届四中全会精神学习，常态化开展警示教育与主题党日活动，完善村级阵地建设，扎实推进村“两委”换届工作，做优“一元食堂”养老品牌，优化基层治理清单，筑牢坚不可摧的基层堡垒。</w:t>
      </w:r>
    </w:p>
    <w:p w14:paraId="730DB41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文旅融合聚动能，推进苍岩山亮化、登山步道、窑洞民宿、璧山景区提质四大文旅项目建设，打造夜游新业态，实现晋冀跨区域联动，同步推进风电、充电桩等新能源项目落地。</w:t>
      </w:r>
    </w:p>
    <w:p w14:paraId="758EC4A1">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产业振兴激活力，清理规范320份集体经济合同，追缴欠款6.4万元，选树“党建+项目”典型，助销特色农产品，盘活闲置资源谋划高端民宿，19个村集体经济稳定增长。</w:t>
      </w:r>
    </w:p>
    <w:p w14:paraId="22DD2D6F">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生态宜居展新颜，开展9轮人居环境飞检，清理各类垃圾1.7万余方，完成街巷硬化、管网改造等工程，大气综合指数全县第一，实现秸秆禁烧“零火点”，生态环境持续优化。</w:t>
      </w:r>
    </w:p>
    <w:p w14:paraId="0854D95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民生福祉再提升，办结民生实事198件，完善路灯、铁桥等基础设施，巩固脱贫攻坚成果，落实各类惠民政策，新增各类保障对象124人，群众幸福指数显著提高。</w:t>
      </w:r>
    </w:p>
    <w:p w14:paraId="6B04FB6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 w:eastAsia="仿宋_GB2312" w:cs="Times New Roman"/>
          <w:sz w:val="32"/>
          <w:szCs w:val="32"/>
          <w:highlight w:val="none"/>
          <w:lang w:val="en-US" w:eastAsia="zh-CN"/>
        </w:rPr>
      </w:pPr>
      <w:r>
        <w:rPr>
          <w:rFonts w:hint="eastAsia" w:ascii="仿宋" w:hAnsi="仿宋" w:eastAsia="仿宋"/>
          <w:sz w:val="32"/>
          <w:szCs w:val="32"/>
          <w:lang w:val="en-US" w:eastAsia="zh-CN"/>
        </w:rPr>
        <w:t>安全底线守得牢，运用新时代“枫桥经验”化解信访矛盾，实现全年“零火情”“零安全生产事故”，严守耕地红线，动态排查整治各类隐患，确保全镇大局和谐稳定。</w:t>
      </w:r>
    </w:p>
    <w:p w14:paraId="33033F0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14:paraId="175E582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1、机关事务管理</w:t>
      </w:r>
    </w:p>
    <w:p w14:paraId="259E06F5">
      <w:pPr>
        <w:pStyle w:val="9"/>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sz w:val="32"/>
          <w:szCs w:val="32"/>
          <w:highlight w:val="none"/>
          <w:lang w:eastAsia="zh-CN"/>
        </w:rPr>
      </w:pPr>
      <w:r>
        <w:rPr>
          <w:rFonts w:hint="eastAsia" w:ascii="仿宋" w:hAnsi="仿宋" w:eastAsia="仿宋"/>
          <w:sz w:val="32"/>
          <w:szCs w:val="32"/>
          <w:highlight w:val="none"/>
          <w:lang w:eastAsia="zh-CN"/>
        </w:rPr>
        <w:t>绩效目标：</w:t>
      </w:r>
      <w:r>
        <w:rPr>
          <w:rFonts w:hint="eastAsia" w:ascii="仿宋" w:hAnsi="仿宋" w:eastAsia="仿宋" w:cs="Times New Roman"/>
          <w:sz w:val="32"/>
          <w:szCs w:val="32"/>
          <w:highlight w:val="none"/>
          <w:lang w:eastAsia="zh-CN"/>
        </w:rPr>
        <w:t>完成乡镇党委、政府各项工作的督导催办，处理机关日常事务，搞好文秘、档案管理、政务公开和机关后勤保障工作；负责相关党群单位的工作；抓好农村基层组织建设和民主政治建设。负责制定乡镇经济发展规划；为招商引资、发展民营企业和第三产业提供服务；做好乡镇统计、审计工作；负责社会治安综合治理和司法工作；做好宗教工作，打击邪教；调处矛盾纠纷；做好群众来信来访、社会稳定等工作。负责精神文明建设工作，以及与各部门社会事务工作的指导、服务和协调工作。</w:t>
      </w:r>
    </w:p>
    <w:p w14:paraId="43E92C7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绩效指标：从数量指标来看，协调配合各业务科室完成了所有上级部门督导催办的工作。从质量指标来看，完成了上级各部门安排部署的各项工作。从时效指标来看，各项工作能在规定时限内完成。从社会效益指标来看，提升了镇政府办公效率和质量，维护了政府的良好形象。从满意度指标来看，配合协调各部门完成各项社会事务工作，使上级部门、机关工作人员及群众都对本年度的工作成果较为满意。</w:t>
      </w:r>
    </w:p>
    <w:p w14:paraId="6A2B502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lang w:eastAsia="zh-CN"/>
        </w:rPr>
      </w:pPr>
      <w:r>
        <w:rPr>
          <w:rFonts w:hint="eastAsia" w:ascii="仿宋" w:hAnsi="仿宋" w:eastAsia="仿宋"/>
          <w:sz w:val="32"/>
          <w:szCs w:val="32"/>
          <w:highlight w:val="none"/>
          <w:lang w:val="en-US" w:eastAsia="zh-CN"/>
        </w:rPr>
        <w:t>2、</w:t>
      </w:r>
      <w:r>
        <w:rPr>
          <w:rFonts w:hint="eastAsia" w:ascii="仿宋" w:hAnsi="仿宋" w:eastAsia="仿宋"/>
          <w:sz w:val="32"/>
          <w:szCs w:val="32"/>
          <w:highlight w:val="none"/>
          <w:lang w:eastAsia="zh-CN"/>
        </w:rPr>
        <w:t>综合行政执法</w:t>
      </w:r>
    </w:p>
    <w:p w14:paraId="6AB85BD0">
      <w:pPr>
        <w:keepNext w:val="0"/>
        <w:keepLines w:val="0"/>
        <w:pageBreakBefore w:val="0"/>
        <w:widowControl w:val="0"/>
        <w:kinsoku/>
        <w:wordWrap/>
        <w:overflowPunct/>
        <w:topLinePunct w:val="0"/>
        <w:autoSpaceDE/>
        <w:autoSpaceDN/>
        <w:bidi w:val="0"/>
        <w:snapToGrid w:val="0"/>
        <w:spacing w:line="560" w:lineRule="exact"/>
        <w:ind w:firstLine="640" w:firstLineChars="200"/>
        <w:textAlignment w:val="auto"/>
        <w:rPr>
          <w:rFonts w:hint="eastAsia" w:ascii="仿宋" w:hAnsi="仿宋" w:eastAsia="仿宋"/>
          <w:sz w:val="32"/>
          <w:szCs w:val="32"/>
          <w:highlight w:val="yellow"/>
          <w:lang w:eastAsia="zh-CN"/>
        </w:rPr>
      </w:pPr>
      <w:r>
        <w:rPr>
          <w:rFonts w:hint="eastAsia" w:ascii="仿宋" w:hAnsi="仿宋" w:eastAsia="仿宋"/>
          <w:sz w:val="32"/>
          <w:szCs w:val="32"/>
          <w:highlight w:val="none"/>
          <w:lang w:eastAsia="zh-CN"/>
        </w:rPr>
        <w:t>绩效目标：做好城乡建设、自然资源、生态环境、文化市场、农业农村、安全生产、民族宗教等领域行政执法工作；配合县直有关部门、乡镇有关科室做好行政执法领域监督巡查工作。</w:t>
      </w:r>
    </w:p>
    <w:p w14:paraId="03FB75D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绩效指标：从数量指标来看，本年度无行政</w:t>
      </w:r>
      <w:r>
        <w:rPr>
          <w:rFonts w:hint="eastAsia" w:ascii="仿宋" w:hAnsi="仿宋" w:eastAsia="仿宋"/>
          <w:sz w:val="32"/>
          <w:szCs w:val="32"/>
          <w:highlight w:val="none"/>
          <w:lang w:val="en-US" w:eastAsia="zh-CN"/>
        </w:rPr>
        <w:t>违法行为</w:t>
      </w:r>
      <w:r>
        <w:rPr>
          <w:rFonts w:hint="eastAsia" w:ascii="仿宋" w:hAnsi="仿宋" w:eastAsia="仿宋"/>
          <w:sz w:val="32"/>
          <w:szCs w:val="32"/>
          <w:highlight w:val="none"/>
          <w:lang w:eastAsia="zh-CN"/>
        </w:rPr>
        <w:t>。从质量指标来看，做到了行政执法有法可依，不存在乱罚款、乱收费、乱摊派的现象。从时效指标来看，能及时制止违法行为发生。从社会效益指标来看，严格依法行政，起到了良好的宣传教育作用，减少违规违法行为的发生，维护了辖区的和谐稳定。从可持续影响指标来看，有利于帮助企业及个人树立依法合规开展生产经营活动的意识，形成良好的经济发展氛围。从满意度指标来看，配合协调上级部门完成各领域行政执法工作，使上级部门、机关工作人员及群众都对本年度的工作成果较为满意。</w:t>
      </w:r>
    </w:p>
    <w:p w14:paraId="2E728945">
      <w:pPr>
        <w:keepNext w:val="0"/>
        <w:keepLines w:val="0"/>
        <w:pageBreakBefore w:val="0"/>
        <w:widowControl w:val="0"/>
        <w:numPr>
          <w:ilvl w:val="0"/>
          <w:numId w:val="0"/>
        </w:numPr>
        <w:kinsoku/>
        <w:wordWrap/>
        <w:overflowPunct/>
        <w:topLinePunct w:val="0"/>
        <w:autoSpaceDE w:val="0"/>
        <w:autoSpaceDN w:val="0"/>
        <w:bidi w:val="0"/>
        <w:adjustRightInd w:val="0"/>
        <w:spacing w:line="560" w:lineRule="exact"/>
        <w:ind w:left="0" w:firstLine="640" w:firstLineChars="200"/>
        <w:jc w:val="left"/>
        <w:textAlignment w:val="auto"/>
        <w:rPr>
          <w:rFonts w:hint="eastAsia" w:ascii="Times New Roman" w:hAnsi="Times New Roman" w:eastAsia="仿宋" w:cs="Times New Roman"/>
          <w:sz w:val="32"/>
          <w:szCs w:val="32"/>
          <w:highlight w:val="none"/>
        </w:rPr>
      </w:pPr>
      <w:r>
        <w:rPr>
          <w:rFonts w:hint="eastAsia" w:ascii="Times New Roman" w:hAnsi="Times New Roman" w:eastAsia="仿宋" w:cs="Times New Roman"/>
          <w:sz w:val="32"/>
          <w:szCs w:val="32"/>
          <w:highlight w:val="none"/>
          <w:lang w:val="en-US" w:eastAsia="zh-CN"/>
        </w:rPr>
        <w:t>3、</w:t>
      </w:r>
      <w:r>
        <w:rPr>
          <w:rFonts w:hint="eastAsia" w:ascii="Times New Roman" w:hAnsi="Times New Roman" w:eastAsia="仿宋" w:cs="Times New Roman"/>
          <w:sz w:val="32"/>
          <w:szCs w:val="32"/>
          <w:highlight w:val="none"/>
        </w:rPr>
        <w:t>行政综合服务</w:t>
      </w:r>
    </w:p>
    <w:p w14:paraId="0F03DF02">
      <w:pPr>
        <w:keepNext w:val="0"/>
        <w:keepLines w:val="0"/>
        <w:pageBreakBefore w:val="0"/>
        <w:widowControl w:val="0"/>
        <w:kinsoku/>
        <w:wordWrap/>
        <w:overflowPunct/>
        <w:topLinePunct w:val="0"/>
        <w:bidi w:val="0"/>
        <w:snapToGrid w:val="0"/>
        <w:spacing w:line="560" w:lineRule="exact"/>
        <w:ind w:left="0"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绩效目标：做好行政审批服务事项的受理、办理工作，提供政策和业务咨询；做好辖区内城乡居民基本养老保险、基本医疗保险工作 ;指导村便民服务点建设及开展业务培训。</w:t>
      </w:r>
    </w:p>
    <w:p w14:paraId="0FB0FCFF">
      <w:pPr>
        <w:keepNext w:val="0"/>
        <w:keepLines w:val="0"/>
        <w:pageBreakBefore w:val="0"/>
        <w:widowControl w:val="0"/>
        <w:kinsoku/>
        <w:wordWrap/>
        <w:overflowPunct/>
        <w:topLinePunct w:val="0"/>
        <w:bidi w:val="0"/>
        <w:snapToGrid w:val="0"/>
        <w:spacing w:line="560" w:lineRule="exact"/>
        <w:ind w:left="0"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绩效指标：从数量指标来看，</w:t>
      </w:r>
      <w:r>
        <w:rPr>
          <w:rFonts w:hint="eastAsia" w:ascii="仿宋" w:hAnsi="仿宋" w:eastAsia="仿宋"/>
          <w:sz w:val="32"/>
          <w:szCs w:val="32"/>
          <w:highlight w:val="none"/>
          <w:lang w:val="en-US" w:eastAsia="zh-CN"/>
        </w:rPr>
        <w:t>全年办结各类审批事项70余件，建立惠民医疗保障人员台账，涉及65周岁以上人员1850人，积极推动政策实施，</w:t>
      </w:r>
      <w:r>
        <w:rPr>
          <w:rFonts w:hint="eastAsia" w:ascii="仿宋" w:hAnsi="仿宋" w:eastAsia="仿宋"/>
          <w:sz w:val="32"/>
          <w:szCs w:val="32"/>
          <w:highlight w:val="none"/>
          <w:lang w:eastAsia="zh-CN"/>
        </w:rPr>
        <w:t>督导</w:t>
      </w:r>
      <w:r>
        <w:rPr>
          <w:rFonts w:hint="eastAsia" w:ascii="仿宋" w:hAnsi="仿宋" w:eastAsia="仿宋"/>
          <w:sz w:val="32"/>
          <w:szCs w:val="32"/>
          <w:highlight w:val="none"/>
          <w:lang w:val="en-US" w:eastAsia="zh-CN"/>
        </w:rPr>
        <w:t>19个村便民服务点保持建设成果及开展业务人员培训</w:t>
      </w:r>
      <w:r>
        <w:rPr>
          <w:rFonts w:hint="eastAsia" w:ascii="仿宋" w:hAnsi="仿宋" w:eastAsia="仿宋"/>
          <w:sz w:val="32"/>
          <w:szCs w:val="32"/>
          <w:highlight w:val="none"/>
          <w:lang w:eastAsia="zh-CN"/>
        </w:rPr>
        <w:t>。从质量指标来看，严格按照政策依据办理行政审批服务事项。从时效指标来看，受理业务较难易程度能在一至七个工作日内办结。从社会效益指标来看，配合上级部门做好授权、委托事项的审批办理，便利了群众生活。从可持续影响指标来看，提升了行政效能，树立了人民满意的服务型政府形象。从满意度指标来看，配合协调上级部门完成各领域行政审批工作，使上级部门、机关工作人员及群众都对本年度的工作成果较为满意。</w:t>
      </w:r>
    </w:p>
    <w:p w14:paraId="115A1004">
      <w:pPr>
        <w:keepNext w:val="0"/>
        <w:keepLines w:val="0"/>
        <w:pageBreakBefore w:val="0"/>
        <w:widowControl w:val="0"/>
        <w:kinsoku/>
        <w:wordWrap/>
        <w:overflowPunct/>
        <w:topLinePunct w:val="0"/>
        <w:autoSpaceDE w:val="0"/>
        <w:autoSpaceDN w:val="0"/>
        <w:bidi w:val="0"/>
        <w:adjustRightInd w:val="0"/>
        <w:spacing w:line="560" w:lineRule="exact"/>
        <w:ind w:left="0" w:firstLine="640" w:firstLineChars="200"/>
        <w:jc w:val="left"/>
        <w:textAlignment w:val="auto"/>
        <w:rPr>
          <w:rFonts w:hint="eastAsia" w:ascii="Times New Roman" w:hAnsi="Times New Roman" w:eastAsia="仿宋" w:cs="Times New Roman"/>
          <w:sz w:val="32"/>
          <w:szCs w:val="32"/>
          <w:highlight w:val="none"/>
        </w:rPr>
      </w:pPr>
      <w:r>
        <w:rPr>
          <w:rFonts w:hint="eastAsia" w:ascii="Times New Roman" w:hAnsi="Times New Roman" w:eastAsia="仿宋" w:cs="Times New Roman"/>
          <w:sz w:val="32"/>
          <w:szCs w:val="32"/>
          <w:highlight w:val="none"/>
        </w:rPr>
        <w:t>4、农业综合服务</w:t>
      </w:r>
    </w:p>
    <w:p w14:paraId="13B98305">
      <w:pPr>
        <w:keepNext w:val="0"/>
        <w:keepLines w:val="0"/>
        <w:pageBreakBefore w:val="0"/>
        <w:kinsoku/>
        <w:wordWrap/>
        <w:overflowPunct/>
        <w:topLinePunct w:val="0"/>
        <w:bidi w:val="0"/>
        <w:snapToGrid w:val="0"/>
        <w:spacing w:line="560" w:lineRule="exact"/>
        <w:ind w:firstLine="640" w:firstLineChars="200"/>
        <w:textAlignment w:val="auto"/>
        <w:rPr>
          <w:rFonts w:hint="eastAsia" w:ascii="仿宋" w:hAnsi="仿宋" w:eastAsia="仿宋"/>
          <w:sz w:val="32"/>
          <w:szCs w:val="32"/>
          <w:highlight w:val="yellow"/>
          <w:lang w:eastAsia="zh-CN"/>
        </w:rPr>
      </w:pPr>
      <w:r>
        <w:rPr>
          <w:rFonts w:hint="eastAsia" w:ascii="仿宋" w:hAnsi="仿宋" w:eastAsia="仿宋"/>
          <w:sz w:val="32"/>
          <w:szCs w:val="32"/>
          <w:highlight w:val="none"/>
          <w:lang w:eastAsia="zh-CN"/>
        </w:rPr>
        <w:t>绩效目标：负责配合农口部门做好农业技术服务和推广、农产品质量安全监管及动物疫病预防与控制工作；配合林业部门做好林业技术服务和推广，做好森林培育工作；配合水利部门做好水利基础设施建设、开展群众安全饮水项目，增强农业抗御自然灾害的能力；做好农村土地承包、水土保持和综合治理工作；做好农村人居环境卫生整治、移风易俗、文明创建等工作。</w:t>
      </w:r>
    </w:p>
    <w:p w14:paraId="762EA32F">
      <w:pPr>
        <w:keepNext w:val="0"/>
        <w:keepLines w:val="0"/>
        <w:pageBreakBefore w:val="0"/>
        <w:widowControl w:val="0"/>
        <w:numPr>
          <w:ilvl w:val="0"/>
          <w:numId w:val="0"/>
        </w:numPr>
        <w:kinsoku/>
        <w:wordWrap/>
        <w:overflowPunct/>
        <w:topLinePunct w:val="0"/>
        <w:autoSpaceDE/>
        <w:autoSpaceDN/>
        <w:bidi w:val="0"/>
        <w:adjustRightInd/>
        <w:spacing w:line="560" w:lineRule="exact"/>
        <w:ind w:left="0"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绩效指标：从数量指标来看</w:t>
      </w:r>
      <w:r>
        <w:rPr>
          <w:rFonts w:hint="eastAsia" w:ascii="仿宋" w:hAnsi="仿宋" w:eastAsia="仿宋"/>
          <w:sz w:val="32"/>
          <w:szCs w:val="32"/>
          <w:highlight w:val="none"/>
          <w:lang w:val="en-US" w:eastAsia="zh-CN"/>
        </w:rPr>
        <w:t>，引进试种大豆玉米复合种植，共计种植100亩大豆玉米，发放耕地地力保护补贴74.35万元。19个村在护林防火期间护林员全员在岗，改造农村上下水管网3000余米，完成宅基地审批4处，19个村人居环境整治发现问题全部清零，累计街巷硬化25000余平方米，新建厕所7座。</w:t>
      </w:r>
      <w:r>
        <w:rPr>
          <w:rFonts w:hint="eastAsia" w:ascii="仿宋" w:hAnsi="仿宋" w:eastAsia="仿宋"/>
          <w:sz w:val="32"/>
          <w:szCs w:val="32"/>
          <w:highlight w:val="none"/>
          <w:lang w:eastAsia="zh-CN"/>
        </w:rPr>
        <w:t>从质量指标来看，完成了上级安排部署的各项工作，年度考核在</w:t>
      </w:r>
      <w:r>
        <w:rPr>
          <w:rFonts w:hint="eastAsia" w:ascii="仿宋" w:hAnsi="仿宋" w:eastAsia="仿宋"/>
          <w:sz w:val="32"/>
          <w:szCs w:val="32"/>
          <w:highlight w:val="none"/>
          <w:lang w:val="en-US" w:eastAsia="zh-CN"/>
        </w:rPr>
        <w:t>17个乡镇中等次良好。</w:t>
      </w:r>
      <w:r>
        <w:rPr>
          <w:rFonts w:hint="eastAsia" w:ascii="仿宋" w:hAnsi="仿宋" w:eastAsia="仿宋"/>
          <w:sz w:val="32"/>
          <w:szCs w:val="32"/>
          <w:highlight w:val="none"/>
          <w:lang w:eastAsia="zh-CN"/>
        </w:rPr>
        <w:t>从时效指标来看，各项工作能在规定时限内完成。从成本指标来看，涉农资金按规定标准支出，证明材料齐全。从社会效益指标来看，净化美化了农村居住环境，改善了村容村貌。从可持续影响指标来看，美化绿化了生态环境，便于吸引游客，提升乡村知名度。从满意度指标来看，配合协调上级部门完成各项工作，使上级部门、机关工作人员及群众都对本年度的工作成果较为满意。</w:t>
      </w:r>
    </w:p>
    <w:p w14:paraId="7F107C48">
      <w:pPr>
        <w:keepNext w:val="0"/>
        <w:keepLines w:val="0"/>
        <w:pageBreakBefore w:val="0"/>
        <w:widowControl w:val="0"/>
        <w:kinsoku/>
        <w:wordWrap/>
        <w:overflowPunct/>
        <w:topLinePunct w:val="0"/>
        <w:autoSpaceDE w:val="0"/>
        <w:autoSpaceDN w:val="0"/>
        <w:bidi w:val="0"/>
        <w:adjustRightInd w:val="0"/>
        <w:spacing w:line="560" w:lineRule="exact"/>
        <w:ind w:left="0" w:firstLine="640" w:firstLineChars="200"/>
        <w:jc w:val="left"/>
        <w:textAlignment w:val="auto"/>
        <w:rPr>
          <w:rFonts w:hint="eastAsia" w:ascii="Times New Roman" w:hAnsi="Times New Roman" w:eastAsia="仿宋" w:cs="Times New Roman"/>
          <w:sz w:val="32"/>
          <w:szCs w:val="32"/>
          <w:highlight w:val="none"/>
        </w:rPr>
      </w:pPr>
      <w:r>
        <w:rPr>
          <w:rFonts w:hint="eastAsia" w:ascii="Times New Roman" w:hAnsi="Times New Roman" w:eastAsia="仿宋" w:cs="Times New Roman"/>
          <w:sz w:val="32"/>
          <w:szCs w:val="32"/>
          <w:highlight w:val="none"/>
          <w:lang w:val="en-US" w:eastAsia="zh-CN"/>
        </w:rPr>
        <w:t>5</w:t>
      </w:r>
      <w:r>
        <w:rPr>
          <w:rFonts w:hint="eastAsia" w:ascii="Times New Roman" w:hAnsi="Times New Roman" w:eastAsia="仿宋" w:cs="Times New Roman"/>
          <w:sz w:val="32"/>
          <w:szCs w:val="32"/>
          <w:highlight w:val="none"/>
        </w:rPr>
        <w:t>、</w:t>
      </w:r>
      <w:r>
        <w:rPr>
          <w:rFonts w:hint="eastAsia" w:ascii="仿宋_GB2312" w:hAnsi="仿宋" w:eastAsia="仿宋_GB2312"/>
          <w:sz w:val="32"/>
          <w:szCs w:val="32"/>
          <w:lang w:eastAsia="zh-CN"/>
        </w:rPr>
        <w:t>退役军人</w:t>
      </w:r>
      <w:r>
        <w:rPr>
          <w:rFonts w:hint="eastAsia" w:ascii="仿宋_GB2312" w:hAnsi="仿宋" w:eastAsia="仿宋_GB2312"/>
          <w:sz w:val="32"/>
          <w:szCs w:val="32"/>
        </w:rPr>
        <w:t>服务</w:t>
      </w:r>
    </w:p>
    <w:p w14:paraId="490F5938">
      <w:pPr>
        <w:pStyle w:val="8"/>
        <w:keepNext w:val="0"/>
        <w:keepLines w:val="0"/>
        <w:pageBreakBefore w:val="0"/>
        <w:widowControl w:val="0"/>
        <w:kinsoku/>
        <w:wordWrap/>
        <w:overflowPunct/>
        <w:topLinePunct w:val="0"/>
        <w:bidi w:val="0"/>
        <w:spacing w:line="560" w:lineRule="exact"/>
        <w:ind w:firstLine="640" w:firstLineChars="200"/>
        <w:textAlignment w:val="auto"/>
        <w:rPr>
          <w:rFonts w:hint="eastAsia" w:ascii="仿宋" w:hAnsi="仿宋" w:eastAsia="仿宋"/>
          <w:sz w:val="32"/>
          <w:szCs w:val="32"/>
          <w:highlight w:val="yellow"/>
          <w:lang w:eastAsia="zh-CN"/>
        </w:rPr>
      </w:pPr>
      <w:r>
        <w:rPr>
          <w:rFonts w:hint="eastAsia" w:ascii="仿宋" w:hAnsi="仿宋" w:eastAsia="仿宋"/>
          <w:sz w:val="32"/>
          <w:szCs w:val="32"/>
          <w:highlight w:val="none"/>
          <w:lang w:eastAsia="zh-CN"/>
        </w:rPr>
        <w:t>绩效目标：健全各项制度机制，全面精准摸底完善建档立卡，建立镇村信息平台；落实安置和帮扶措施，做好困难军人的救助、社保、和就业创业工作；建立常态走访慰问机制。</w:t>
      </w:r>
    </w:p>
    <w:p w14:paraId="162E0C3F">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rPr>
      </w:pPr>
      <w:r>
        <w:rPr>
          <w:rFonts w:hint="eastAsia" w:ascii="仿宋" w:hAnsi="仿宋" w:eastAsia="仿宋" w:cs="Times New Roman"/>
          <w:kern w:val="2"/>
          <w:sz w:val="32"/>
          <w:szCs w:val="32"/>
          <w:highlight w:val="none"/>
          <w:lang w:val="en-US" w:eastAsia="zh-CN" w:bidi="ar-SA"/>
        </w:rPr>
        <w:t>绩效指标：从数量指标来看，完成退役军人优抚对象认证共计147人，组织19个村的退役军人进行免费体检，完善19个村级退役军人服务站网格化建设。从质量指标来看，严格按照政策要求做好退役军人服务工作。从时</w:t>
      </w:r>
      <w:r>
        <w:rPr>
          <w:rFonts w:hint="eastAsia" w:ascii="仿宋" w:hAnsi="仿宋" w:eastAsia="仿宋"/>
          <w:sz w:val="32"/>
          <w:szCs w:val="32"/>
          <w:highlight w:val="none"/>
          <w:lang w:eastAsia="zh-CN"/>
        </w:rPr>
        <w:t>效指标来看，各项工作能在规定时限内完成。从社会效益指标来看，认真落实退役军人服务站各项职能，进一步保障了农村退役军人的合法权益。从满意度指标来看，配合协调上级部门完成各项工作，使上级部门、机关工作人员及群众都对本年度的工作成果较为满意。</w:t>
      </w:r>
    </w:p>
    <w:p w14:paraId="0B9D35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黑体" w:hAnsi="黑体" w:eastAsia="黑体"/>
          <w:sz w:val="32"/>
          <w:szCs w:val="32"/>
        </w:rPr>
        <w:t>四、评价结论和评价等级</w:t>
      </w:r>
    </w:p>
    <w:p w14:paraId="65EA449D">
      <w:pPr>
        <w:keepNext w:val="0"/>
        <w:keepLines w:val="0"/>
        <w:pageBreakBefore w:val="0"/>
        <w:widowControl w:val="0"/>
        <w:kinsoku/>
        <w:wordWrap/>
        <w:overflowPunct/>
        <w:topLinePunct w:val="0"/>
        <w:bidi w:val="0"/>
        <w:spacing w:line="560" w:lineRule="exact"/>
        <w:ind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部门整体支出综合绩效评价分为4个等级：设定满分100分，得分≥85分为优秀；75≤得分＜85分为良好；60≤得分＜75分为一般；得分＜60分为较差。</w:t>
      </w:r>
    </w:p>
    <w:p w14:paraId="5854E6A6">
      <w:pPr>
        <w:keepNext w:val="0"/>
        <w:keepLines w:val="0"/>
        <w:pageBreakBefore w:val="0"/>
        <w:widowControl w:val="0"/>
        <w:kinsoku/>
        <w:wordWrap/>
        <w:overflowPunct/>
        <w:topLinePunct w:val="0"/>
        <w:bidi w:val="0"/>
        <w:spacing w:line="560" w:lineRule="exact"/>
        <w:ind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截至2025年12月底，本部门各分项绩效目标已全部完成。机关事务管理、综合行政执法、行政综合服务、农业综合服务及退役军人服务等方面均严格按照产出指标、效益指标及满意度指标要求，认真履行年度工作职责，有效保障部门工作正常运转，办公环境得到优化，政府形象显著提升，办事群众、工作人员及上级考核组均表示较为满意。全年共安排22个预算项目，其中19个项目绩效评价为优秀，2个项目为一般，1个项目为差。综合项目执行情况及绩效表现，部门整体支出综合绩效评价总得分为91.41分，评定等级为优秀。</w:t>
      </w:r>
    </w:p>
    <w:p w14:paraId="41B19DF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五、存在的问题及改进措施</w:t>
      </w:r>
    </w:p>
    <w:p w14:paraId="69F2D54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14:paraId="05EE7DD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一是成本控制不够精准。在项目实施过程中，部分产出指标下的成本细化指标，年末实际支出超出预期指标值。</w:t>
      </w:r>
    </w:p>
    <w:p w14:paraId="55E31BC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二是绩效指标设置不够科学。部分绩效指标设定不够合理，导致项目未能完全按照预期指标内容开展。</w:t>
      </w:r>
    </w:p>
    <w:p w14:paraId="1A3AC2F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lang w:eastAsia="zh-CN"/>
        </w:rPr>
      </w:pPr>
      <w:bookmarkStart w:id="0" w:name="_GoBack"/>
      <w:bookmarkEnd w:id="0"/>
      <w:r>
        <w:rPr>
          <w:rFonts w:hint="eastAsia" w:ascii="仿宋" w:hAnsi="仿宋" w:eastAsia="仿宋"/>
          <w:sz w:val="32"/>
          <w:szCs w:val="32"/>
          <w:highlight w:val="none"/>
          <w:lang w:eastAsia="zh-CN"/>
        </w:rPr>
        <w:t>三是资金落实预判不足。对资金到位风险考虑不充分，未能提前制定应对措施，致使部分项目实施中途终止。</w:t>
      </w:r>
    </w:p>
    <w:p w14:paraId="0329C58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6EB6AE09">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一是加强成本测算，提升资金支出精准性。加强与各业务科室的沟通协调，结合上年度预算项目执行情况及本年度工作计划，在项目实施前做好成本指标测算，切实提高资金支出的精准水平。</w:t>
      </w:r>
    </w:p>
    <w:p w14:paraId="090A51CF">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二是强化跟踪指导，提高预算执行管理能力。做好项目全过程的跟踪指导工作。对当年确实无法实现绩效指标的项目，及时调整绩效目标及预算用途，提升预算执行管理的动态调整能力。</w:t>
      </w:r>
    </w:p>
    <w:p w14:paraId="2BBB98C8">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三是规范资金保障，防范资金来源风险。加强与财政部门的对接，明确资金到位时限，规范项目资金保障流程，坚决杜绝因资金来源不稳定导致项目中途终止的情况。</w:t>
      </w:r>
    </w:p>
    <w:p w14:paraId="6AB4D65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75DFEDC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rPr>
      </w:pPr>
      <w:r>
        <w:rPr>
          <w:rFonts w:hint="eastAsia" w:ascii="仿宋_GB2312" w:eastAsia="仿宋_GB2312"/>
          <w:sz w:val="32"/>
          <w:szCs w:val="32"/>
          <w:lang w:val="en-US" w:eastAsia="zh-CN"/>
        </w:rPr>
        <w:t>任彦廷</w:t>
      </w:r>
      <w:r>
        <w:rPr>
          <w:rFonts w:hint="eastAsia" w:ascii="仿宋_GB2312" w:eastAsia="仿宋_GB2312"/>
          <w:sz w:val="32"/>
          <w:szCs w:val="32"/>
        </w:rPr>
        <w:t>：</w:t>
      </w:r>
      <w:r>
        <w:rPr>
          <w:rFonts w:hint="eastAsia" w:ascii="仿宋_GB2312" w:eastAsia="仿宋_GB2312"/>
          <w:sz w:val="32"/>
          <w:szCs w:val="32"/>
          <w:lang w:eastAsia="zh-CN"/>
        </w:rPr>
        <w:t>苍岩山镇，副书记、镇长</w:t>
      </w:r>
    </w:p>
    <w:p w14:paraId="5099E0C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高静</w:t>
      </w:r>
      <w:r>
        <w:rPr>
          <w:rFonts w:hint="eastAsia" w:ascii="仿宋_GB2312" w:eastAsia="仿宋_GB2312"/>
          <w:sz w:val="32"/>
          <w:szCs w:val="32"/>
          <w:lang w:eastAsia="zh-CN"/>
        </w:rPr>
        <w:t>：苍岩山镇，人大主席</w:t>
      </w:r>
    </w:p>
    <w:p w14:paraId="082C31E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吕炳东：苍岩山镇，副镇长</w:t>
      </w:r>
    </w:p>
    <w:p w14:paraId="438475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赵欢</w:t>
      </w:r>
      <w:r>
        <w:rPr>
          <w:rFonts w:hint="eastAsia" w:ascii="仿宋_GB2312" w:eastAsia="仿宋_GB2312"/>
          <w:sz w:val="32"/>
          <w:szCs w:val="32"/>
        </w:rPr>
        <w:t>：</w:t>
      </w:r>
      <w:r>
        <w:rPr>
          <w:rFonts w:hint="eastAsia" w:ascii="仿宋_GB2312" w:eastAsia="仿宋_GB2312"/>
          <w:sz w:val="32"/>
          <w:szCs w:val="32"/>
          <w:lang w:eastAsia="zh-CN"/>
        </w:rPr>
        <w:t>苍岩山镇，四级主任科员</w:t>
      </w:r>
    </w:p>
    <w:p w14:paraId="6EDB1B5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rPr>
      </w:pPr>
      <w:r>
        <w:rPr>
          <w:rFonts w:hint="eastAsia" w:ascii="仿宋_GB2312" w:eastAsia="仿宋_GB2312"/>
          <w:sz w:val="32"/>
          <w:szCs w:val="32"/>
          <w:lang w:eastAsia="zh-CN"/>
        </w:rPr>
        <w:t>马叶浓</w:t>
      </w:r>
      <w:r>
        <w:rPr>
          <w:rFonts w:hint="eastAsia" w:ascii="仿宋_GB2312" w:eastAsia="仿宋_GB2312"/>
          <w:sz w:val="32"/>
          <w:szCs w:val="32"/>
        </w:rPr>
        <w:t>：</w:t>
      </w:r>
      <w:r>
        <w:rPr>
          <w:rFonts w:hint="eastAsia" w:ascii="仿宋_GB2312" w:eastAsia="仿宋_GB2312"/>
          <w:sz w:val="32"/>
          <w:szCs w:val="32"/>
          <w:lang w:eastAsia="zh-CN"/>
        </w:rPr>
        <w:t>苍岩山镇，职员</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223634">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6F01F4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6F01F4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removePersonalInformation/>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73916"/>
    <w:rsid w:val="007E6C1F"/>
    <w:rsid w:val="00956A93"/>
    <w:rsid w:val="009E575C"/>
    <w:rsid w:val="00AF167E"/>
    <w:rsid w:val="00AF566A"/>
    <w:rsid w:val="00B478EA"/>
    <w:rsid w:val="00B6553A"/>
    <w:rsid w:val="00BC6576"/>
    <w:rsid w:val="00CE06BA"/>
    <w:rsid w:val="00E865C2"/>
    <w:rsid w:val="00EB7E60"/>
    <w:rsid w:val="00F441CC"/>
    <w:rsid w:val="01B104CA"/>
    <w:rsid w:val="02106AB0"/>
    <w:rsid w:val="024242BB"/>
    <w:rsid w:val="02B43A28"/>
    <w:rsid w:val="03100052"/>
    <w:rsid w:val="03AF2015"/>
    <w:rsid w:val="046F331E"/>
    <w:rsid w:val="04AE36DF"/>
    <w:rsid w:val="04E2157A"/>
    <w:rsid w:val="04F217BD"/>
    <w:rsid w:val="07956271"/>
    <w:rsid w:val="07D050E5"/>
    <w:rsid w:val="07E31891"/>
    <w:rsid w:val="08442237"/>
    <w:rsid w:val="08D1382A"/>
    <w:rsid w:val="08E51639"/>
    <w:rsid w:val="09684744"/>
    <w:rsid w:val="09721397"/>
    <w:rsid w:val="097A07E5"/>
    <w:rsid w:val="0BB63BED"/>
    <w:rsid w:val="0C796C68"/>
    <w:rsid w:val="0E5B6625"/>
    <w:rsid w:val="0E6C24E1"/>
    <w:rsid w:val="0EB97A43"/>
    <w:rsid w:val="0EBD2122"/>
    <w:rsid w:val="0F214EAE"/>
    <w:rsid w:val="0FAD7D39"/>
    <w:rsid w:val="10BD35C7"/>
    <w:rsid w:val="11B71E6A"/>
    <w:rsid w:val="120B0362"/>
    <w:rsid w:val="12485112"/>
    <w:rsid w:val="12971BF6"/>
    <w:rsid w:val="131D659F"/>
    <w:rsid w:val="131E2FC6"/>
    <w:rsid w:val="13A50343"/>
    <w:rsid w:val="13B14F39"/>
    <w:rsid w:val="14812B5E"/>
    <w:rsid w:val="148E0DD7"/>
    <w:rsid w:val="15325C06"/>
    <w:rsid w:val="15BF5528"/>
    <w:rsid w:val="165778DD"/>
    <w:rsid w:val="171E28E6"/>
    <w:rsid w:val="17481711"/>
    <w:rsid w:val="177B11D8"/>
    <w:rsid w:val="185145F5"/>
    <w:rsid w:val="19143FA0"/>
    <w:rsid w:val="19C151FB"/>
    <w:rsid w:val="1A07140F"/>
    <w:rsid w:val="1A417570"/>
    <w:rsid w:val="1A4E34E2"/>
    <w:rsid w:val="1A797BAB"/>
    <w:rsid w:val="1AAF0063"/>
    <w:rsid w:val="1ADC5A5B"/>
    <w:rsid w:val="1B4268F4"/>
    <w:rsid w:val="1BE140DE"/>
    <w:rsid w:val="1D383FD6"/>
    <w:rsid w:val="1DAF24EA"/>
    <w:rsid w:val="1E087E4C"/>
    <w:rsid w:val="1E160478"/>
    <w:rsid w:val="1E5454D7"/>
    <w:rsid w:val="1E6257AE"/>
    <w:rsid w:val="1F861028"/>
    <w:rsid w:val="1F8854DA"/>
    <w:rsid w:val="1FD004F5"/>
    <w:rsid w:val="205E3D53"/>
    <w:rsid w:val="21821CC3"/>
    <w:rsid w:val="22E26EBD"/>
    <w:rsid w:val="23BF2D5B"/>
    <w:rsid w:val="248C197D"/>
    <w:rsid w:val="24D83DB6"/>
    <w:rsid w:val="252959AF"/>
    <w:rsid w:val="25A641D2"/>
    <w:rsid w:val="26296BB1"/>
    <w:rsid w:val="26F947D6"/>
    <w:rsid w:val="277A6671"/>
    <w:rsid w:val="27F41E51"/>
    <w:rsid w:val="27F531EF"/>
    <w:rsid w:val="285F4B0C"/>
    <w:rsid w:val="292D35B7"/>
    <w:rsid w:val="2B0507DE"/>
    <w:rsid w:val="2D173C07"/>
    <w:rsid w:val="2E015014"/>
    <w:rsid w:val="2E383E35"/>
    <w:rsid w:val="2EE63891"/>
    <w:rsid w:val="2FC00586"/>
    <w:rsid w:val="30356247"/>
    <w:rsid w:val="30EE1A83"/>
    <w:rsid w:val="31151E97"/>
    <w:rsid w:val="31AF2D04"/>
    <w:rsid w:val="321109A1"/>
    <w:rsid w:val="339B7340"/>
    <w:rsid w:val="33EB6CFF"/>
    <w:rsid w:val="34A73AC3"/>
    <w:rsid w:val="34EF03C0"/>
    <w:rsid w:val="35A12947"/>
    <w:rsid w:val="35F965A0"/>
    <w:rsid w:val="35FE5964"/>
    <w:rsid w:val="3699568D"/>
    <w:rsid w:val="36D6068F"/>
    <w:rsid w:val="37387040"/>
    <w:rsid w:val="37A147F9"/>
    <w:rsid w:val="37FA215C"/>
    <w:rsid w:val="386121DB"/>
    <w:rsid w:val="387A1B39"/>
    <w:rsid w:val="38F512A1"/>
    <w:rsid w:val="393B2A2C"/>
    <w:rsid w:val="399D7242"/>
    <w:rsid w:val="39EA2B7D"/>
    <w:rsid w:val="3A327071"/>
    <w:rsid w:val="3B0548E0"/>
    <w:rsid w:val="3B625C0A"/>
    <w:rsid w:val="3CEE1963"/>
    <w:rsid w:val="3DA83401"/>
    <w:rsid w:val="3DD84CED"/>
    <w:rsid w:val="3EB219E2"/>
    <w:rsid w:val="41B63597"/>
    <w:rsid w:val="41D34149"/>
    <w:rsid w:val="4222708E"/>
    <w:rsid w:val="42576B28"/>
    <w:rsid w:val="426B25D4"/>
    <w:rsid w:val="42F1333E"/>
    <w:rsid w:val="436B78D3"/>
    <w:rsid w:val="438C0A54"/>
    <w:rsid w:val="438D7722"/>
    <w:rsid w:val="43DD12AF"/>
    <w:rsid w:val="44DE708D"/>
    <w:rsid w:val="45440EBA"/>
    <w:rsid w:val="466F1F67"/>
    <w:rsid w:val="46875502"/>
    <w:rsid w:val="46CC1167"/>
    <w:rsid w:val="47911556"/>
    <w:rsid w:val="47CF7161"/>
    <w:rsid w:val="484158D6"/>
    <w:rsid w:val="4897712B"/>
    <w:rsid w:val="48B60C1B"/>
    <w:rsid w:val="49ED4347"/>
    <w:rsid w:val="4A6F69D9"/>
    <w:rsid w:val="4A767D68"/>
    <w:rsid w:val="4C9C27FE"/>
    <w:rsid w:val="4D331F40"/>
    <w:rsid w:val="4E345F70"/>
    <w:rsid w:val="4E4822BA"/>
    <w:rsid w:val="502A3459"/>
    <w:rsid w:val="502D0EC8"/>
    <w:rsid w:val="507A1C34"/>
    <w:rsid w:val="50D43A3A"/>
    <w:rsid w:val="510E552C"/>
    <w:rsid w:val="512260B4"/>
    <w:rsid w:val="51330760"/>
    <w:rsid w:val="51AD13AD"/>
    <w:rsid w:val="51EB103B"/>
    <w:rsid w:val="52524C16"/>
    <w:rsid w:val="52701540"/>
    <w:rsid w:val="52BD6ACB"/>
    <w:rsid w:val="53065A01"/>
    <w:rsid w:val="533267F6"/>
    <w:rsid w:val="53F266B1"/>
    <w:rsid w:val="55222FC6"/>
    <w:rsid w:val="552D3D96"/>
    <w:rsid w:val="55537534"/>
    <w:rsid w:val="561A1EEF"/>
    <w:rsid w:val="561A74F1"/>
    <w:rsid w:val="565151E5"/>
    <w:rsid w:val="56582A17"/>
    <w:rsid w:val="573375E6"/>
    <w:rsid w:val="597244E8"/>
    <w:rsid w:val="59DD570D"/>
    <w:rsid w:val="5AD05272"/>
    <w:rsid w:val="5ADC3C17"/>
    <w:rsid w:val="5C62014C"/>
    <w:rsid w:val="5CF8460C"/>
    <w:rsid w:val="5DD62E92"/>
    <w:rsid w:val="5DEA21A7"/>
    <w:rsid w:val="5EAD7356"/>
    <w:rsid w:val="5EB71C30"/>
    <w:rsid w:val="5EED73BA"/>
    <w:rsid w:val="5F3717B5"/>
    <w:rsid w:val="5F571ABE"/>
    <w:rsid w:val="61D218D0"/>
    <w:rsid w:val="61FE26C5"/>
    <w:rsid w:val="620A72BB"/>
    <w:rsid w:val="62BD1EE8"/>
    <w:rsid w:val="636563E1"/>
    <w:rsid w:val="646507D9"/>
    <w:rsid w:val="66081D64"/>
    <w:rsid w:val="66AF0CE5"/>
    <w:rsid w:val="68DF4F3B"/>
    <w:rsid w:val="6958090C"/>
    <w:rsid w:val="6AA27932"/>
    <w:rsid w:val="6AC537CF"/>
    <w:rsid w:val="6D8223FC"/>
    <w:rsid w:val="6DE74955"/>
    <w:rsid w:val="6E4C2A0A"/>
    <w:rsid w:val="6E5B14A6"/>
    <w:rsid w:val="6F5953DE"/>
    <w:rsid w:val="70D867D7"/>
    <w:rsid w:val="711B255E"/>
    <w:rsid w:val="718A1021"/>
    <w:rsid w:val="728B1D53"/>
    <w:rsid w:val="73B9469D"/>
    <w:rsid w:val="73D441C0"/>
    <w:rsid w:val="7457538A"/>
    <w:rsid w:val="75226272"/>
    <w:rsid w:val="757D616F"/>
    <w:rsid w:val="75B570E6"/>
    <w:rsid w:val="75B9544D"/>
    <w:rsid w:val="76116A13"/>
    <w:rsid w:val="768E2621"/>
    <w:rsid w:val="76FA1255"/>
    <w:rsid w:val="776C165E"/>
    <w:rsid w:val="7867549A"/>
    <w:rsid w:val="78B170FB"/>
    <w:rsid w:val="79B576B5"/>
    <w:rsid w:val="7BB51E06"/>
    <w:rsid w:val="7C387F7C"/>
    <w:rsid w:val="7CAB2FF1"/>
    <w:rsid w:val="7CEC5CD3"/>
    <w:rsid w:val="7CF77FE5"/>
    <w:rsid w:val="7D77777F"/>
    <w:rsid w:val="7DDC7906"/>
    <w:rsid w:val="7E447613"/>
    <w:rsid w:val="7EB603C2"/>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toc 2"/>
    <w:basedOn w:val="1"/>
    <w:next w:val="1"/>
    <w:qFormat/>
    <w:uiPriority w:val="0"/>
    <w:pPr>
      <w:ind w:left="420" w:leftChars="200"/>
    </w:pPr>
    <w:rPr>
      <w:szCs w:val="24"/>
    </w:rPr>
  </w:style>
  <w:style w:type="paragraph" w:customStyle="1" w:styleId="7">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5377</Words>
  <Characters>5782</Characters>
  <Lines>4</Lines>
  <Paragraphs>1</Paragraphs>
  <TotalTime>1</TotalTime>
  <ScaleCrop>false</ScaleCrop>
  <LinksUpToDate>false</LinksUpToDate>
  <CharactersWithSpaces>5784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cp:lastPrinted>2024-03-06T07:40:00Z</cp:lastPrinted>
  <dcterms:modified xsi:type="dcterms:W3CDTF">2026-04-07T06:28:24Z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807859DDDB204D7484EDDFBB4E9D1D2E</vt:lpwstr>
  </property>
  <property fmtid="{D5CDD505-2E9C-101B-9397-08002B2CF9AE}" pid="4" name="KSOTemplateDocerSaveRecord">
    <vt:lpwstr>eyJoZGlkIjoiMDc1ODljMGFjYjFmZDNlZWEyNTBlZDZiOTE0Nzk4MzciLCJ1c2VySWQiOiIzMDQxOTc3MTgifQ==</vt:lpwstr>
  </property>
</Properties>
</file>