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7DE8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6BD927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</w:p>
    <w:p w14:paraId="771155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</w:pPr>
      <w:r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  <w:t>井陉县医疗保障局</w:t>
      </w:r>
    </w:p>
    <w:p w14:paraId="5D0C3E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</w:pPr>
      <w:r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  <w:t>202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  <w:t>年度整体支出绩效自评报告</w:t>
      </w:r>
    </w:p>
    <w:p w14:paraId="7BE582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</w:pPr>
    </w:p>
    <w:p w14:paraId="22A337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为深入贯彻落实市委市政府《关于全面落实预算绩效管理的实施意见》（石发﹝2019﹞8号）文件精神，遵循“科学性、规范性、客观性和公正性”的原则，对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井陉县医疗保障局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8686D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86129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（一）部门概况</w:t>
      </w:r>
    </w:p>
    <w:p w14:paraId="5F46CA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/>
          <w:bCs/>
          <w:sz w:val="32"/>
          <w:szCs w:val="32"/>
        </w:rPr>
        <w:t>主要职能</w:t>
      </w:r>
    </w:p>
    <w:p w14:paraId="7B5A0E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）贯彻落实国家、省、市关于城镇职工和城乡居民医疗保险、生育保险、长期护理保险、医疗救助等医疗保障法规、政府规章以及政策、制度、规划和标准。</w:t>
      </w:r>
    </w:p>
    <w:p w14:paraId="3209DB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 xml:space="preserve">）贯彻落实国家、省、市医疗保障基金监督管理规定，建立健全医疗保障基金安全防控机制，按上级要求建设维护网络信息系统和智能监控平台，推进医疗保障基金支付方式改革。 </w:t>
      </w:r>
    </w:p>
    <w:p w14:paraId="57D001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）贯彻落实全市城镇职工和城乡居民参保筹资和保障待遇政策。</w:t>
      </w:r>
    </w:p>
    <w:p w14:paraId="69A6F5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）贯彻落实城乡统一的药品、医用耗材、医疗服务项目、医疗服务设施等医保支付标准。</w:t>
      </w:r>
    </w:p>
    <w:p w14:paraId="31E3CE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）按照上级政策规定制定和调整县级公立基层医疗机构医疗服务价格。贯彻落实上级医保支付医药服务价格政策。依法管理药品、医用耗材、医疗服务价格政策执行情况。组织实施药品、医用耗材和医疗服务价格监测信息发布工作。</w:t>
      </w:r>
    </w:p>
    <w:p w14:paraId="56C634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）按照上级要求，组织实施医药机构协议和支付管理办法。建立健全医疗保障信用评价体系和信息披露制度，监督管理定点医药机构的医疗服务行为、医疗费用和医药价格，依法查处医疗保障领域违法违规行为。</w:t>
      </w:r>
    </w:p>
    <w:p w14:paraId="37F14A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）负责医疗保障经办管理、公共服务体系和信息化建设。贯彻落实异地就医管理和费用结算政策，落实医疗保障关系转移接续制度。</w:t>
      </w:r>
    </w:p>
    <w:p w14:paraId="55DE57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）完成县委、县政府和上级部门交办的其他任务。</w:t>
      </w:r>
    </w:p>
    <w:p w14:paraId="4C0C699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2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/>
          <w:bCs/>
          <w:sz w:val="32"/>
          <w:szCs w:val="32"/>
        </w:rPr>
        <w:t>机构情况</w:t>
      </w:r>
    </w:p>
    <w:p w14:paraId="591508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井陉县医疗保障局为井陉县人民政府工作部门，机构规格为正科级，经费形式为财政全额拨款，属行政单位。</w:t>
      </w:r>
    </w:p>
    <w:p w14:paraId="70A226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井陉县医疗保险中心为井陉县医疗保障局下属公益一类事业单位，机构规格为正科级，负责全县城乡居民医疗保险和职工医疗保险基金筹集、使用、监督等管理工作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。</w:t>
      </w:r>
    </w:p>
    <w:p w14:paraId="0CBF1C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3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b/>
          <w:bCs/>
          <w:sz w:val="32"/>
          <w:szCs w:val="32"/>
        </w:rPr>
        <w:t>人员情况</w:t>
      </w:r>
    </w:p>
    <w:p w14:paraId="60E82A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截至2025年12月31日，井陉县医疗保障局行政编制9名，实有在职人员8名；井陉县医疗保险中心事业编制20名，实有在职人员18名。</w:t>
      </w:r>
    </w:p>
    <w:p w14:paraId="7A024A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楷体" w:hAnsi="楷体" w:eastAsia="楷体" w:cs="楷体_GB2312"/>
          <w:b/>
          <w:bCs/>
          <w:sz w:val="32"/>
          <w:szCs w:val="32"/>
        </w:rPr>
      </w:pPr>
      <w:r>
        <w:rPr>
          <w:rFonts w:hint="eastAsia" w:ascii="楷体" w:hAnsi="楷体" w:eastAsia="楷体" w:cs="楷体_GB2312"/>
          <w:b/>
          <w:bCs/>
          <w:sz w:val="32"/>
          <w:szCs w:val="32"/>
        </w:rPr>
        <w:t>（二）部门收支预决算情况</w:t>
      </w:r>
    </w:p>
    <w:p w14:paraId="28BC51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2025年度，我部门严格按照财政预算管理要求，规范组织收入、统筹安排支出，确保财政资金安全高效运行。</w:t>
      </w:r>
    </w:p>
    <w:p w14:paraId="4DA266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  <w:lang w:eastAsia="zh-CN"/>
        </w:rPr>
        <w:t>收入预算执行情况：2025年度部门一般公共预算年初收入预算数为3876.55万元，年度决算收入数为3839.55万元，全年预算执行率为99.05%，收入执行情况总体良好。</w:t>
      </w:r>
    </w:p>
    <w:p w14:paraId="56C845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  <w:lang w:eastAsia="zh-CN"/>
        </w:rPr>
        <w:t>支出预算执行情况：202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  <w:lang w:eastAsia="zh-CN"/>
        </w:rPr>
        <w:t>年度部门一般公共预算年初支出预算数为3876.55万元，年度决算支出数为3839.55万元，全年预算执行率为99.05%。各项支出严格按照批复预算执行，资金拨付规范、使用合规，未发生超预算、无预算支出、挤占挪用资金等问题等情况。</w:t>
      </w:r>
    </w:p>
    <w:p w14:paraId="791B10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（三）部门整体支出绩效目标、指标</w:t>
      </w:r>
    </w:p>
    <w:p w14:paraId="6CFF0A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部门整体绩效目标</w:t>
      </w:r>
    </w:p>
    <w:p w14:paraId="1A7D0E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以习近平新时代中国特色社会主义思想为指导，紧扣县委、县政府中心工作，坚守医保为民、医保惠民、医保便民初心使命，聚焦全民参保、优质服务、基金安全、待遇提升四大核心任务，健全覆盖全民、统筹城乡、公平统一、安全规范、可持续的多层次医疗保障体系，持续推进参保扩面精准化、经办服务智慧化、基金监管常态化、待遇保障优质化，全面提升医疗保障治理能力与服务水平，切实维护群众医保权益，有效防范因病致贫返贫，不断增强人民群众获得感、幸福感、安全感，推动全县医疗保障事业高质量发展。</w:t>
      </w:r>
    </w:p>
    <w:p w14:paraId="78FE867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部门整体绩效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指标</w:t>
      </w:r>
    </w:p>
    <w:p w14:paraId="0D1BCA3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1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数量指标</w:t>
      </w:r>
    </w:p>
    <w:p w14:paraId="0FFCE1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基本医疗保险参保率稳定在合理区间，重点人群应保尽保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医保经办服务事项按时办结，线上办理率稳步提升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定点医药机构监管实现全覆盖，年度检查全覆盖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慢特病认定、异地就医备案、生育待遇核发等业务应办尽办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4A498EB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2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质量指标</w:t>
      </w:r>
    </w:p>
    <w:p w14:paraId="6EAF644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医保基金专款专用、合规使用，无挤占挪用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医保待遇政策落实率100%，报销标准执行到位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定点医药机构违规问题整改到位、闭环管理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医保信息系统稳定运行，结算准确高效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7A3C048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3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时效指标</w:t>
      </w:r>
    </w:p>
    <w:p w14:paraId="5D204B3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医保费用审核、拨付按时完成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各项医保业务限时办结，即时响应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年度重点工作、专项任务按时完成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3BC9D24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4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成本指标</w:t>
      </w:r>
    </w:p>
    <w:p w14:paraId="30C8031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部门预算执行率达标，资金使用规范高效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严控一般性支出，无超预算、无预算支出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项目经费专款专用，厉行节约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2E136E2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5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社会效益</w:t>
      </w:r>
    </w:p>
    <w:p w14:paraId="2F14085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全民医保保障网更加牢固，群众就医保障更有力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困难群众基本医疗权益得到有效保障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医保服务便捷度、可及性显著提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升</w:t>
      </w:r>
    </w:p>
    <w:p w14:paraId="44ACB68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6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经济效益</w:t>
      </w:r>
    </w:p>
    <w:p w14:paraId="00394ED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医保基金收支平稳、运行安全可持续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群众就医负担持续减轻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定点医药机构服务行为更加规范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4456AA8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7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Style w:val="8"/>
          <w:rFonts w:hint="eastAsia" w:ascii="仿宋" w:hAnsi="仿宋" w:eastAsia="仿宋" w:cs="仿宋"/>
          <w:b/>
          <w:bCs/>
          <w:color w:val="000000"/>
          <w:sz w:val="32"/>
          <w:szCs w:val="32"/>
        </w:rPr>
        <w:t>可持续影响</w:t>
      </w:r>
    </w:p>
    <w:p w14:paraId="7B5882F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医保服务体系、智慧医保建设持续完善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基金监管长效机制不断健全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3A33D31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3" w:firstLineChars="200"/>
        <w:textAlignment w:val="auto"/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满意度指标</w:t>
      </w:r>
    </w:p>
    <w:p w14:paraId="036F6AF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参保群众满意度稳步提升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21FDF4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C4CAD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/>
          <w:bCs/>
          <w:sz w:val="32"/>
          <w:szCs w:val="32"/>
        </w:rPr>
        <w:t>（一）自评的组织工作</w:t>
      </w:r>
    </w:p>
    <w:p w14:paraId="298351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我单位领导高度重视，立即组织主要领导及相关科室召开会议，传达文件精神，制定绩效评价办法，成立绩效评价小组，积极协调各科室，明确各科室职责。</w:t>
      </w:r>
    </w:p>
    <w:p w14:paraId="5A7832D1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b/>
          <w:bCs w:val="0"/>
          <w:sz w:val="32"/>
          <w:szCs w:val="32"/>
        </w:rPr>
      </w:pPr>
      <w:r>
        <w:rPr>
          <w:rFonts w:hint="eastAsia" w:ascii="楷体" w:hAnsi="楷体" w:eastAsia="楷体" w:cs="楷体_GB2312"/>
          <w:b/>
          <w:bCs w:val="0"/>
          <w:sz w:val="32"/>
          <w:szCs w:val="32"/>
        </w:rPr>
        <w:t>自评的方法和过程</w:t>
      </w:r>
    </w:p>
    <w:p w14:paraId="5E652F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数据收集与梳理</w:t>
      </w:r>
    </w:p>
    <w:p w14:paraId="38D01E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评价小组全面收集 2025 年度预算批复、资金拨付凭证、会计账簿、项目执行台账、业务报表、工作总结、政策落实佐证材料等，对照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个项目逐一核对预算数、执行数、结余数，确保数据真实、完整、口径一致。</w:t>
      </w:r>
    </w:p>
    <w:p w14:paraId="796216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指标对照与量化评分</w:t>
      </w:r>
    </w:p>
    <w:p w14:paraId="0EB5DA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照财政绩效评价指标体系，从预算执行、资金管理、履职效能、服务质量、社会效益五个维度逐项对照。结合项目实际完成情况、政策落实效果、群众满意度等进行量化打分，做到有据可依、客观公正，最终形成各项目自评得分。</w:t>
      </w:r>
    </w:p>
    <w:p w14:paraId="40E287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sz w:val="32"/>
          <w:szCs w:val="32"/>
        </w:rPr>
        <w:t>问题梳理与总结分析</w:t>
      </w:r>
    </w:p>
    <w:p w14:paraId="08DCB1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评价小组对执行偏差、管理短板等问题集中研判，分析原因、提出整改方向；汇总形成绩效自评结论，撰写自评报告，按要求完成资料归档与结果上报，确保自评工作规范、完整、闭环。</w:t>
      </w:r>
    </w:p>
    <w:p w14:paraId="465E5B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</w:t>
      </w:r>
    </w:p>
    <w:p w14:paraId="6CB348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领导高度重视 2025 年度整体支出绩效自评工作，第一时间组织主要负责人、分管领导等相关</w:t>
      </w:r>
      <w:r>
        <w:rPr>
          <w:rFonts w:hint="eastAsia" w:ascii="仿宋" w:hAnsi="仿宋" w:eastAsia="仿宋"/>
          <w:sz w:val="32"/>
          <w:szCs w:val="32"/>
          <w:lang w:eastAsia="zh-CN"/>
        </w:rPr>
        <w:t>股室</w:t>
      </w:r>
      <w:r>
        <w:rPr>
          <w:rFonts w:hint="eastAsia" w:ascii="仿宋" w:hAnsi="仿宋" w:eastAsia="仿宋"/>
          <w:sz w:val="32"/>
          <w:szCs w:val="32"/>
        </w:rPr>
        <w:t>召开专题会议，传达上级关于绩效自评工作的文件精神，统一思想、压实责任。结合我局实际制定绩效评价实施方案，明确评价范围、评价内容、评分标准与时间节点；成立以主要领导为组长、分管领导为副组长、</w:t>
      </w:r>
      <w:r>
        <w:rPr>
          <w:rFonts w:hint="eastAsia" w:ascii="仿宋" w:hAnsi="仿宋" w:eastAsia="仿宋"/>
          <w:sz w:val="32"/>
          <w:szCs w:val="32"/>
          <w:lang w:eastAsia="zh-CN"/>
        </w:rPr>
        <w:t>办公室主任及财务为</w:t>
      </w:r>
      <w:r>
        <w:rPr>
          <w:rFonts w:hint="eastAsia" w:ascii="仿宋" w:hAnsi="仿宋" w:eastAsia="仿宋"/>
          <w:sz w:val="32"/>
          <w:szCs w:val="32"/>
        </w:rPr>
        <w:t>成员的绩效评价工作小组，统筹推进自评工作，确保分工清晰、协同高效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18CBD5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20A0EB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 2025 年度部门整体支出绩效自评情况，对照绩效目标、产出指标、效益指标及满意度指标，结合预算执行、资金管理、履职成效、服务质量、社会效益等方面综合评定，我局整体支出绩效自评总得分为 99.5 分。</w:t>
      </w:r>
    </w:p>
    <w:p w14:paraId="41139C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按照财政部门整体支出绩效评价等级标准：</w:t>
      </w:r>
    </w:p>
    <w:p w14:paraId="75493C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得分≥85 分为优秀</w:t>
      </w:r>
    </w:p>
    <w:p w14:paraId="160C19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75≤得分＜85 分为良好</w:t>
      </w:r>
    </w:p>
    <w:p w14:paraId="4F80DA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60≤得分＜75 分为一般</w:t>
      </w:r>
    </w:p>
    <w:p w14:paraId="39D15F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得分＜60 分为较差</w:t>
      </w:r>
    </w:p>
    <w:p w14:paraId="1733B7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经综合评价，井陉县医疗保障局 2025 年度部门整体支出绩效评定等级为优秀。</w:t>
      </w:r>
    </w:p>
    <w:p w14:paraId="7047B9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ab/>
      </w: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062CE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（一）存在的主要问题</w:t>
      </w:r>
    </w:p>
    <w:p w14:paraId="7F57721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预算编制精准度有待提升</w:t>
      </w:r>
    </w:p>
    <w:p w14:paraId="2886D0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部分项目预算测算依据不够细化，对实际支出需求预判不够精准，个别项目出现预算与实际执行存在偏差，资金使用精细化管理仍需加强。</w:t>
      </w:r>
    </w:p>
    <w:p w14:paraId="77341B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绩效指标体系不够完善</w:t>
      </w:r>
    </w:p>
    <w:p w14:paraId="525C88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部分绩效指标设置偏定性、量化程度不足，指标与业务工作衔接不够紧密，难以全面、精准反映工作成效与资金使用效益。</w:t>
      </w:r>
    </w:p>
    <w:p w14:paraId="72780F7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（二）针对问题提出具体的改进措施或建议</w:t>
      </w:r>
    </w:p>
    <w:p w14:paraId="0FC6AD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强化预算精细化管理，提高编制精准度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加强预算执行动态监控，定期分析执行偏差原因，及时调整优化支出结构，提升资金使用效率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紧密结合医疗保障业务实际，进一步健全量化、可考核、可验证的绩效指标体系，突出参保扩面、待遇支付、基金监管、便民服务等核心工作成效，推动绩效指标与业务工作深度融合，确保评价结果真实、全面、准确反映资金使用效益与部门履职效能。优化量化绩效指标，增加可衡量、可考核、可验证的核心指标。健全绩效应用机制，强化结果导向管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将绩效自评结果作为下年度预算安排、项目调整、资金分配的重要依据，做到 “花钱必问效、无效必问责”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4B18A7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</w:p>
    <w:p w14:paraId="28AB9C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6"/>
        <w:tblpPr w:leftFromText="180" w:rightFromText="180" w:vertAnchor="text" w:horzAnchor="page" w:tblpX="1327" w:tblpY="461"/>
        <w:tblOverlap w:val="never"/>
        <w:tblW w:w="98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1350"/>
        <w:gridCol w:w="3315"/>
        <w:gridCol w:w="2370"/>
        <w:gridCol w:w="1782"/>
      </w:tblGrid>
      <w:tr w14:paraId="49F7C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1000" w:type="dxa"/>
            <w:vAlign w:val="center"/>
          </w:tcPr>
          <w:p w14:paraId="7408C2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350" w:type="dxa"/>
            <w:vAlign w:val="center"/>
          </w:tcPr>
          <w:p w14:paraId="281F01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315" w:type="dxa"/>
            <w:vAlign w:val="center"/>
          </w:tcPr>
          <w:p w14:paraId="4127AC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2370" w:type="dxa"/>
            <w:vAlign w:val="center"/>
          </w:tcPr>
          <w:p w14:paraId="6A80B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82" w:type="dxa"/>
            <w:vAlign w:val="center"/>
          </w:tcPr>
          <w:p w14:paraId="6E10A5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 w14:paraId="08683D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701FE2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350" w:type="dxa"/>
            <w:vAlign w:val="center"/>
          </w:tcPr>
          <w:p w14:paraId="78349E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崔俊霞</w:t>
            </w:r>
          </w:p>
        </w:tc>
        <w:tc>
          <w:tcPr>
            <w:tcW w:w="3315" w:type="dxa"/>
            <w:vAlign w:val="center"/>
          </w:tcPr>
          <w:p w14:paraId="36AF5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井陉县医疗保障局</w:t>
            </w:r>
          </w:p>
        </w:tc>
        <w:tc>
          <w:tcPr>
            <w:tcW w:w="2370" w:type="dxa"/>
            <w:vAlign w:val="center"/>
          </w:tcPr>
          <w:p w14:paraId="5C65DB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副局长</w:t>
            </w:r>
          </w:p>
        </w:tc>
        <w:tc>
          <w:tcPr>
            <w:tcW w:w="1782" w:type="dxa"/>
            <w:vAlign w:val="center"/>
          </w:tcPr>
          <w:p w14:paraId="374AE1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9E8E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6D51AB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350" w:type="dxa"/>
            <w:vAlign w:val="center"/>
          </w:tcPr>
          <w:p w14:paraId="08C3CF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陈会国</w:t>
            </w:r>
          </w:p>
        </w:tc>
        <w:tc>
          <w:tcPr>
            <w:tcW w:w="3315" w:type="dxa"/>
            <w:vAlign w:val="center"/>
          </w:tcPr>
          <w:p w14:paraId="725A2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井陉县医疗保障局</w:t>
            </w:r>
          </w:p>
        </w:tc>
        <w:tc>
          <w:tcPr>
            <w:tcW w:w="2370" w:type="dxa"/>
            <w:vAlign w:val="center"/>
          </w:tcPr>
          <w:p w14:paraId="271501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副局长</w:t>
            </w:r>
          </w:p>
        </w:tc>
        <w:tc>
          <w:tcPr>
            <w:tcW w:w="1782" w:type="dxa"/>
            <w:vAlign w:val="center"/>
          </w:tcPr>
          <w:p w14:paraId="664A1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9AB3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1605DD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350" w:type="dxa"/>
            <w:vAlign w:val="center"/>
          </w:tcPr>
          <w:p w14:paraId="79D499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李海燕</w:t>
            </w:r>
          </w:p>
        </w:tc>
        <w:tc>
          <w:tcPr>
            <w:tcW w:w="3315" w:type="dxa"/>
            <w:vAlign w:val="center"/>
          </w:tcPr>
          <w:p w14:paraId="3EF018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井陉县医疗保险中心</w:t>
            </w:r>
          </w:p>
        </w:tc>
        <w:tc>
          <w:tcPr>
            <w:tcW w:w="2370" w:type="dxa"/>
            <w:vAlign w:val="center"/>
          </w:tcPr>
          <w:p w14:paraId="54A085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副主任</w:t>
            </w:r>
          </w:p>
        </w:tc>
        <w:tc>
          <w:tcPr>
            <w:tcW w:w="1782" w:type="dxa"/>
            <w:vAlign w:val="center"/>
          </w:tcPr>
          <w:p w14:paraId="46FF23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7E9B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shd w:val="clear" w:color="auto" w:fill="auto"/>
            <w:vAlign w:val="center"/>
          </w:tcPr>
          <w:p w14:paraId="308701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4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2523E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马力维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5FB768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井陉县医疗保障局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3BBD6C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办公室主任</w:t>
            </w:r>
          </w:p>
        </w:tc>
        <w:tc>
          <w:tcPr>
            <w:tcW w:w="1782" w:type="dxa"/>
            <w:vAlign w:val="center"/>
          </w:tcPr>
          <w:p w14:paraId="3A2DD9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D77A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28E956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350" w:type="dxa"/>
            <w:vAlign w:val="center"/>
          </w:tcPr>
          <w:p w14:paraId="148089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张晨曦</w:t>
            </w:r>
          </w:p>
        </w:tc>
        <w:tc>
          <w:tcPr>
            <w:tcW w:w="3315" w:type="dxa"/>
            <w:vAlign w:val="center"/>
          </w:tcPr>
          <w:p w14:paraId="7802B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井陉县医疗保障局</w:t>
            </w:r>
          </w:p>
        </w:tc>
        <w:tc>
          <w:tcPr>
            <w:tcW w:w="2370" w:type="dxa"/>
            <w:vAlign w:val="center"/>
          </w:tcPr>
          <w:p w14:paraId="55D1F3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财务</w:t>
            </w:r>
          </w:p>
        </w:tc>
        <w:tc>
          <w:tcPr>
            <w:tcW w:w="1782" w:type="dxa"/>
            <w:vAlign w:val="center"/>
          </w:tcPr>
          <w:p w14:paraId="6AEDA9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84EF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756B7E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350" w:type="dxa"/>
            <w:vAlign w:val="center"/>
          </w:tcPr>
          <w:p w14:paraId="4C2264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赵智慧</w:t>
            </w:r>
          </w:p>
        </w:tc>
        <w:tc>
          <w:tcPr>
            <w:tcW w:w="3315" w:type="dxa"/>
            <w:vAlign w:val="center"/>
          </w:tcPr>
          <w:p w14:paraId="4544E5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井陉县医疗保险中心</w:t>
            </w:r>
          </w:p>
        </w:tc>
        <w:tc>
          <w:tcPr>
            <w:tcW w:w="2370" w:type="dxa"/>
            <w:vAlign w:val="center"/>
          </w:tcPr>
          <w:p w14:paraId="28BB4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基金监管股股长</w:t>
            </w:r>
          </w:p>
        </w:tc>
        <w:tc>
          <w:tcPr>
            <w:tcW w:w="1782" w:type="dxa"/>
            <w:vAlign w:val="center"/>
          </w:tcPr>
          <w:p w14:paraId="68FA1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64D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3533D8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350" w:type="dxa"/>
            <w:vAlign w:val="center"/>
          </w:tcPr>
          <w:p w14:paraId="72EB39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赵秋亦</w:t>
            </w:r>
          </w:p>
        </w:tc>
        <w:tc>
          <w:tcPr>
            <w:tcW w:w="3315" w:type="dxa"/>
            <w:vAlign w:val="center"/>
          </w:tcPr>
          <w:p w14:paraId="6BE679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井陉县医疗保险中心</w:t>
            </w:r>
          </w:p>
        </w:tc>
        <w:tc>
          <w:tcPr>
            <w:tcW w:w="2370" w:type="dxa"/>
            <w:vAlign w:val="center"/>
          </w:tcPr>
          <w:p w14:paraId="2953F7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待遇审核股股长</w:t>
            </w:r>
          </w:p>
        </w:tc>
        <w:tc>
          <w:tcPr>
            <w:tcW w:w="1782" w:type="dxa"/>
            <w:vAlign w:val="center"/>
          </w:tcPr>
          <w:p w14:paraId="5E510B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61A4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000" w:type="dxa"/>
            <w:vAlign w:val="center"/>
          </w:tcPr>
          <w:p w14:paraId="4E7F1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350" w:type="dxa"/>
            <w:vAlign w:val="center"/>
          </w:tcPr>
          <w:p w14:paraId="5B7829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胡妍姿</w:t>
            </w:r>
          </w:p>
        </w:tc>
        <w:tc>
          <w:tcPr>
            <w:tcW w:w="3315" w:type="dxa"/>
            <w:vAlign w:val="center"/>
          </w:tcPr>
          <w:p w14:paraId="44BE80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井陉县医疗保障局</w:t>
            </w:r>
          </w:p>
        </w:tc>
        <w:tc>
          <w:tcPr>
            <w:tcW w:w="2370" w:type="dxa"/>
            <w:vAlign w:val="center"/>
          </w:tcPr>
          <w:p w14:paraId="03D40D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基金财务股股长</w:t>
            </w:r>
          </w:p>
        </w:tc>
        <w:tc>
          <w:tcPr>
            <w:tcW w:w="1782" w:type="dxa"/>
            <w:vAlign w:val="center"/>
          </w:tcPr>
          <w:p w14:paraId="6028C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054FFD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p w14:paraId="4CE251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5120" w:firstLineChars="16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井陉县医疗保障局</w:t>
      </w:r>
    </w:p>
    <w:p w14:paraId="202A93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5760" w:firstLineChars="1800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2026年4月10日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10778A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88699A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188699A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4B521C"/>
    <w:rsid w:val="176D19CF"/>
    <w:rsid w:val="1AAF0063"/>
    <w:rsid w:val="1BE140DE"/>
    <w:rsid w:val="1DF4148A"/>
    <w:rsid w:val="1E3B26E8"/>
    <w:rsid w:val="21C17218"/>
    <w:rsid w:val="248C197D"/>
    <w:rsid w:val="252959AF"/>
    <w:rsid w:val="262F59B5"/>
    <w:rsid w:val="277A6671"/>
    <w:rsid w:val="292D35B7"/>
    <w:rsid w:val="2B76284B"/>
    <w:rsid w:val="31151E97"/>
    <w:rsid w:val="33EB6CFF"/>
    <w:rsid w:val="35A12947"/>
    <w:rsid w:val="37387040"/>
    <w:rsid w:val="39086CED"/>
    <w:rsid w:val="3B0548E0"/>
    <w:rsid w:val="3B625C0A"/>
    <w:rsid w:val="3CEE1963"/>
    <w:rsid w:val="4019433E"/>
    <w:rsid w:val="436B78D3"/>
    <w:rsid w:val="46E25ADA"/>
    <w:rsid w:val="48B60C1B"/>
    <w:rsid w:val="4C9C27FE"/>
    <w:rsid w:val="512260B4"/>
    <w:rsid w:val="51D57023"/>
    <w:rsid w:val="52BD6ACB"/>
    <w:rsid w:val="55537534"/>
    <w:rsid w:val="561A74F1"/>
    <w:rsid w:val="597244E8"/>
    <w:rsid w:val="5EB71C30"/>
    <w:rsid w:val="66AF0CE5"/>
    <w:rsid w:val="692B42BC"/>
    <w:rsid w:val="6AA27932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18"/>
    <w:basedOn w:val="7"/>
    <w:qFormat/>
    <w:uiPriority w:val="0"/>
    <w:rPr>
      <w:rFonts w:hint="eastAsia" w:ascii="Times New Roman" w:eastAsia="楷体_GB2312" w:cs="楷体_GB2312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100</Words>
  <Characters>570</Characters>
  <Lines>4</Lines>
  <Paragraphs>1</Paragraphs>
  <TotalTime>0</TotalTime>
  <ScaleCrop>false</ScaleCrop>
  <LinksUpToDate>false</LinksUpToDate>
  <CharactersWithSpaces>669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2026-04-13T02:42:00Z</cp:lastPrinted>
  <dcterms:modified xsi:type="dcterms:W3CDTF">2026-04-15T02:47:34Z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807859DDDB204D7484EDDFBB4E9D1D2E</vt:lpwstr>
  </property>
</Properties>
</file>