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AD30D0">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42100196">
      <w:pPr>
        <w:spacing w:line="560" w:lineRule="exact"/>
        <w:jc w:val="center"/>
        <w:rPr>
          <w:rFonts w:ascii="宋体" w:hAnsi="宋体" w:cs="宋体"/>
          <w:b/>
          <w:bCs/>
          <w:sz w:val="44"/>
          <w:szCs w:val="44"/>
        </w:rPr>
      </w:pPr>
    </w:p>
    <w:p w14:paraId="441553C8">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井陉县于家乡人民政府</w:t>
      </w:r>
    </w:p>
    <w:p w14:paraId="67EBBCBC">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025ACB8F">
      <w:pPr>
        <w:spacing w:line="560" w:lineRule="exact"/>
        <w:jc w:val="center"/>
        <w:rPr>
          <w:rFonts w:ascii="华文楷体" w:eastAsia="华文楷体"/>
          <w:sz w:val="32"/>
          <w:szCs w:val="32"/>
        </w:rPr>
      </w:pPr>
    </w:p>
    <w:p w14:paraId="27EDF6F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井陉县于家乡人民政府</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58BB93FE">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2D179DF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1ACEBA3E">
      <w:pPr>
        <w:keepNext w:val="0"/>
        <w:keepLines w:val="0"/>
        <w:pageBreakBefore w:val="0"/>
        <w:widowControl w:val="0"/>
        <w:kinsoku/>
        <w:wordWrap/>
        <w:overflowPunct/>
        <w:topLinePunct w:val="0"/>
        <w:autoSpaceDE/>
        <w:autoSpaceDN/>
        <w:bidi w:val="0"/>
        <w:adjustRightInd w:val="0"/>
        <w:snapToGrid w:val="0"/>
        <w:spacing w:line="580" w:lineRule="exact"/>
        <w:ind w:right="0" w:firstLine="640" w:firstLineChars="200"/>
        <w:jc w:val="left"/>
        <w:textAlignment w:val="auto"/>
        <w:outlineLvl w:val="9"/>
        <w:rPr>
          <w:rFonts w:hint="eastAsia" w:ascii="Times New Roman" w:hAnsi="Times New Roman" w:eastAsia="仿宋" w:cs="Times New Roman"/>
          <w:b w:val="0"/>
          <w:i w:val="0"/>
          <w:strike w:val="0"/>
          <w:kern w:val="2"/>
          <w:position w:val="0"/>
          <w:sz w:val="32"/>
          <w:szCs w:val="32"/>
          <w:u w:val="none"/>
          <w:shd w:val="clear" w:color="auto" w:fill="auto"/>
          <w:lang w:eastAsia="zh-CN"/>
        </w:rPr>
      </w:pPr>
      <w:r>
        <w:rPr>
          <w:rFonts w:hint="eastAsia" w:ascii="Times New Roman" w:hAnsi="Times New Roman" w:eastAsia="仿宋" w:cs="Times New Roman"/>
          <w:b w:val="0"/>
          <w:i w:val="0"/>
          <w:strike w:val="0"/>
          <w:kern w:val="2"/>
          <w:position w:val="0"/>
          <w:sz w:val="32"/>
          <w:szCs w:val="32"/>
          <w:u w:val="none"/>
          <w:shd w:val="clear" w:color="auto" w:fill="auto"/>
          <w:lang w:eastAsia="zh-CN"/>
        </w:rPr>
        <w:t>根据《井陉县于家乡人民政府职能配置、内设机构和人员编制规定》，井陉县于家乡人民政府的主要职责是：落实国家政策，严格依法行政，发挥经济管理职能，加强政策引导，制定发民规划，服务市场主体和营造发展环境，搞好市场监管，大国促进社会事业发展，发展乡村经济、文化和社会事业，提供公共服务，维护社会稳定，构建社会主义和谐社会。</w:t>
      </w:r>
    </w:p>
    <w:p w14:paraId="2A6331C9">
      <w:pPr>
        <w:keepNext w:val="0"/>
        <w:keepLines w:val="0"/>
        <w:pageBreakBefore w:val="0"/>
        <w:widowControl w:val="0"/>
        <w:kinsoku/>
        <w:wordWrap/>
        <w:overflowPunct/>
        <w:topLinePunct w:val="0"/>
        <w:bidi w:val="0"/>
        <w:adjustRightInd w:val="0"/>
        <w:snapToGrid w:val="0"/>
        <w:spacing w:line="580" w:lineRule="exact"/>
        <w:ind w:right="0"/>
        <w:jc w:val="center"/>
        <w:textAlignment w:val="auto"/>
        <w:outlineLvl w:val="9"/>
        <w:rPr>
          <w:rFonts w:hint="eastAsia"/>
          <w:lang w:eastAsia="zh-CN"/>
        </w:rPr>
      </w:pPr>
      <w:r>
        <w:rPr>
          <w:rFonts w:hint="eastAsia" w:ascii="仿宋" w:hAnsi="仿宋" w:eastAsia="仿宋" w:cs="楷体_GB2312"/>
          <w:b/>
          <w:bCs/>
          <w:sz w:val="32"/>
          <w:szCs w:val="32"/>
          <w:lang w:eastAsia="zh-CN"/>
        </w:rPr>
        <w:t>部门机构设置情况</w:t>
      </w:r>
    </w:p>
    <w:tbl>
      <w:tblPr>
        <w:tblStyle w:val="5"/>
        <w:tblpPr w:leftFromText="180" w:rightFromText="180" w:vertAnchor="text" w:horzAnchor="page" w:tblpXSpec="center" w:tblpY="96"/>
        <w:tblOverlap w:val="never"/>
        <w:tblW w:w="466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297"/>
        <w:gridCol w:w="1503"/>
        <w:gridCol w:w="1222"/>
        <w:gridCol w:w="2437"/>
      </w:tblGrid>
      <w:tr w14:paraId="7F10A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4" w:hRule="exact"/>
          <w:tblHeader/>
          <w:jc w:val="center"/>
        </w:trPr>
        <w:tc>
          <w:tcPr>
            <w:tcW w:w="1948" w:type="pct"/>
            <w:noWrap w:val="0"/>
            <w:vAlign w:val="center"/>
          </w:tcPr>
          <w:p w14:paraId="794EAC56">
            <w:pPr>
              <w:keepNext w:val="0"/>
              <w:keepLines w:val="0"/>
              <w:pageBreakBefore w:val="0"/>
              <w:widowControl w:val="0"/>
              <w:kinsoku/>
              <w:wordWrap/>
              <w:overflowPunct/>
              <w:topLinePunct w:val="0"/>
              <w:bidi w:val="0"/>
              <w:spacing w:line="580" w:lineRule="exact"/>
              <w:jc w:val="center"/>
              <w:textAlignment w:val="auto"/>
              <w:rPr>
                <w:rFonts w:ascii="方正书宋_GBK" w:eastAsia="方正书宋_GBK"/>
                <w:b/>
              </w:rPr>
            </w:pPr>
            <w:r>
              <w:rPr>
                <w:rFonts w:hint="eastAsia" w:ascii="方正书宋_GBK" w:eastAsia="方正书宋_GBK"/>
                <w:b/>
              </w:rPr>
              <w:t>单位名称</w:t>
            </w:r>
          </w:p>
        </w:tc>
        <w:tc>
          <w:tcPr>
            <w:tcW w:w="888" w:type="pct"/>
            <w:noWrap w:val="0"/>
            <w:vAlign w:val="center"/>
          </w:tcPr>
          <w:p w14:paraId="76494F6A">
            <w:pPr>
              <w:keepNext w:val="0"/>
              <w:keepLines w:val="0"/>
              <w:pageBreakBefore w:val="0"/>
              <w:widowControl w:val="0"/>
              <w:kinsoku/>
              <w:wordWrap/>
              <w:overflowPunct/>
              <w:topLinePunct w:val="0"/>
              <w:bidi w:val="0"/>
              <w:spacing w:line="580" w:lineRule="exact"/>
              <w:jc w:val="center"/>
              <w:textAlignment w:val="auto"/>
              <w:rPr>
                <w:rFonts w:ascii="方正书宋_GBK" w:eastAsia="方正书宋_GBK"/>
                <w:b/>
              </w:rPr>
            </w:pPr>
            <w:r>
              <w:rPr>
                <w:rFonts w:hint="eastAsia" w:ascii="方正书宋_GBK" w:eastAsia="方正书宋_GBK"/>
                <w:b/>
              </w:rPr>
              <w:t>单位性质</w:t>
            </w:r>
          </w:p>
        </w:tc>
        <w:tc>
          <w:tcPr>
            <w:tcW w:w="722" w:type="pct"/>
            <w:noWrap w:val="0"/>
            <w:vAlign w:val="center"/>
          </w:tcPr>
          <w:p w14:paraId="05935061">
            <w:pPr>
              <w:keepNext w:val="0"/>
              <w:keepLines w:val="0"/>
              <w:pageBreakBefore w:val="0"/>
              <w:widowControl w:val="0"/>
              <w:kinsoku/>
              <w:wordWrap/>
              <w:overflowPunct/>
              <w:topLinePunct w:val="0"/>
              <w:bidi w:val="0"/>
              <w:spacing w:line="580" w:lineRule="exact"/>
              <w:jc w:val="center"/>
              <w:textAlignment w:val="auto"/>
              <w:rPr>
                <w:rFonts w:ascii="方正书宋_GBK" w:eastAsia="方正书宋_GBK"/>
                <w:b/>
              </w:rPr>
            </w:pPr>
            <w:r>
              <w:rPr>
                <w:rFonts w:hint="eastAsia" w:ascii="方正书宋_GBK" w:eastAsia="方正书宋_GBK"/>
                <w:b/>
              </w:rPr>
              <w:t>单位规格</w:t>
            </w:r>
          </w:p>
        </w:tc>
        <w:tc>
          <w:tcPr>
            <w:tcW w:w="1440" w:type="pct"/>
            <w:noWrap w:val="0"/>
            <w:vAlign w:val="center"/>
          </w:tcPr>
          <w:p w14:paraId="40D13E02">
            <w:pPr>
              <w:keepNext w:val="0"/>
              <w:keepLines w:val="0"/>
              <w:pageBreakBefore w:val="0"/>
              <w:widowControl w:val="0"/>
              <w:kinsoku/>
              <w:wordWrap/>
              <w:overflowPunct/>
              <w:topLinePunct w:val="0"/>
              <w:bidi w:val="0"/>
              <w:spacing w:line="580" w:lineRule="exact"/>
              <w:jc w:val="center"/>
              <w:textAlignment w:val="auto"/>
              <w:rPr>
                <w:rFonts w:ascii="方正书宋_GBK" w:eastAsia="方正书宋_GBK"/>
                <w:b/>
              </w:rPr>
            </w:pPr>
            <w:r>
              <w:rPr>
                <w:rFonts w:hint="eastAsia" w:ascii="方正书宋_GBK" w:eastAsia="方正书宋_GBK"/>
                <w:b/>
              </w:rPr>
              <w:t>经费保障形式</w:t>
            </w:r>
          </w:p>
        </w:tc>
      </w:tr>
      <w:tr w14:paraId="27518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4" w:hRule="exact"/>
          <w:jc w:val="center"/>
        </w:trPr>
        <w:tc>
          <w:tcPr>
            <w:tcW w:w="1948" w:type="pct"/>
            <w:noWrap w:val="0"/>
            <w:vAlign w:val="center"/>
          </w:tcPr>
          <w:p w14:paraId="7740D0FE">
            <w:pPr>
              <w:keepNext w:val="0"/>
              <w:keepLines w:val="0"/>
              <w:pageBreakBefore w:val="0"/>
              <w:widowControl w:val="0"/>
              <w:kinsoku/>
              <w:wordWrap/>
              <w:overflowPunct/>
              <w:topLinePunct w:val="0"/>
              <w:bidi w:val="0"/>
              <w:spacing w:line="580" w:lineRule="exact"/>
              <w:jc w:val="left"/>
              <w:textAlignment w:val="auto"/>
              <w:rPr>
                <w:rFonts w:ascii="方正书宋_GBK" w:eastAsia="方正书宋_GBK"/>
              </w:rPr>
            </w:pPr>
            <w:r>
              <w:rPr>
                <w:rFonts w:hint="eastAsia" w:ascii="方正书宋_GBK" w:eastAsia="方正书宋_GBK"/>
                <w:szCs w:val="21"/>
                <w:lang w:eastAsia="zh-CN"/>
              </w:rPr>
              <w:t>井陉县</w:t>
            </w:r>
            <w:r>
              <w:rPr>
                <w:rFonts w:hint="eastAsia" w:ascii="方正书宋_GBK" w:eastAsia="方正书宋_GBK"/>
                <w:szCs w:val="21"/>
              </w:rPr>
              <w:t>于家乡</w:t>
            </w:r>
            <w:r>
              <w:rPr>
                <w:rFonts w:hint="eastAsia" w:ascii="方正书宋_GBK" w:eastAsia="方正书宋_GBK"/>
                <w:szCs w:val="21"/>
                <w:lang w:eastAsia="zh-CN"/>
              </w:rPr>
              <w:t>人民政府本级</w:t>
            </w:r>
          </w:p>
        </w:tc>
        <w:tc>
          <w:tcPr>
            <w:tcW w:w="888" w:type="pct"/>
            <w:noWrap w:val="0"/>
            <w:vAlign w:val="center"/>
          </w:tcPr>
          <w:p w14:paraId="37A09961">
            <w:pPr>
              <w:keepNext w:val="0"/>
              <w:keepLines w:val="0"/>
              <w:pageBreakBefore w:val="0"/>
              <w:widowControl w:val="0"/>
              <w:kinsoku/>
              <w:wordWrap/>
              <w:overflowPunct/>
              <w:topLinePunct w:val="0"/>
              <w:bidi w:val="0"/>
              <w:spacing w:line="580" w:lineRule="exact"/>
              <w:jc w:val="center"/>
              <w:textAlignment w:val="auto"/>
              <w:rPr>
                <w:rFonts w:ascii="方正书宋_GBK" w:eastAsia="方正书宋_GBK"/>
              </w:rPr>
            </w:pPr>
            <w:r>
              <w:rPr>
                <w:rFonts w:hint="eastAsia" w:ascii="方正书宋_GBK" w:eastAsia="方正书宋_GBK"/>
                <w:szCs w:val="21"/>
              </w:rPr>
              <w:t>行政</w:t>
            </w:r>
          </w:p>
        </w:tc>
        <w:tc>
          <w:tcPr>
            <w:tcW w:w="722" w:type="pct"/>
            <w:noWrap w:val="0"/>
            <w:vAlign w:val="center"/>
          </w:tcPr>
          <w:p w14:paraId="03D55131">
            <w:pPr>
              <w:keepNext w:val="0"/>
              <w:keepLines w:val="0"/>
              <w:pageBreakBefore w:val="0"/>
              <w:widowControl w:val="0"/>
              <w:kinsoku/>
              <w:wordWrap/>
              <w:overflowPunct/>
              <w:topLinePunct w:val="0"/>
              <w:bidi w:val="0"/>
              <w:spacing w:line="580" w:lineRule="exact"/>
              <w:jc w:val="center"/>
              <w:textAlignment w:val="auto"/>
              <w:rPr>
                <w:rFonts w:ascii="方正书宋_GBK" w:eastAsia="方正书宋_GBK"/>
              </w:rPr>
            </w:pPr>
            <w:r>
              <w:rPr>
                <w:rFonts w:hint="eastAsia" w:ascii="方正书宋_GBK" w:eastAsia="方正书宋_GBK"/>
                <w:szCs w:val="21"/>
              </w:rPr>
              <w:t>正科级</w:t>
            </w:r>
          </w:p>
        </w:tc>
        <w:tc>
          <w:tcPr>
            <w:tcW w:w="1440" w:type="pct"/>
            <w:noWrap w:val="0"/>
            <w:vAlign w:val="center"/>
          </w:tcPr>
          <w:p w14:paraId="3CB30AD5">
            <w:pPr>
              <w:keepNext w:val="0"/>
              <w:keepLines w:val="0"/>
              <w:pageBreakBefore w:val="0"/>
              <w:widowControl w:val="0"/>
              <w:kinsoku/>
              <w:wordWrap/>
              <w:overflowPunct/>
              <w:topLinePunct w:val="0"/>
              <w:bidi w:val="0"/>
              <w:spacing w:line="580" w:lineRule="exact"/>
              <w:jc w:val="center"/>
              <w:textAlignment w:val="auto"/>
              <w:rPr>
                <w:rFonts w:ascii="方正书宋_GBK" w:eastAsia="方正书宋_GBK"/>
              </w:rPr>
            </w:pPr>
            <w:r>
              <w:rPr>
                <w:rFonts w:hint="eastAsia" w:ascii="方正书宋_GBK" w:eastAsia="方正书宋_GBK"/>
                <w:szCs w:val="21"/>
              </w:rPr>
              <w:t>财政拨款</w:t>
            </w:r>
          </w:p>
        </w:tc>
      </w:tr>
      <w:tr w14:paraId="1511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4" w:hRule="exact"/>
          <w:jc w:val="center"/>
        </w:trPr>
        <w:tc>
          <w:tcPr>
            <w:tcW w:w="1948" w:type="pct"/>
            <w:noWrap w:val="0"/>
            <w:vAlign w:val="center"/>
          </w:tcPr>
          <w:p w14:paraId="201CBC4E">
            <w:pPr>
              <w:keepNext w:val="0"/>
              <w:keepLines w:val="0"/>
              <w:pageBreakBefore w:val="0"/>
              <w:widowControl w:val="0"/>
              <w:kinsoku/>
              <w:wordWrap/>
              <w:overflowPunct/>
              <w:topLinePunct w:val="0"/>
              <w:bidi w:val="0"/>
              <w:spacing w:line="580" w:lineRule="exact"/>
              <w:jc w:val="left"/>
              <w:textAlignment w:val="auto"/>
              <w:rPr>
                <w:rFonts w:hint="eastAsia" w:ascii="方正书宋_GBK" w:eastAsia="方正书宋_GBK"/>
              </w:rPr>
            </w:pPr>
            <w:r>
              <w:rPr>
                <w:rFonts w:hint="eastAsia" w:ascii="方正书宋_GBK" w:eastAsia="方正书宋_GBK"/>
                <w:szCs w:val="21"/>
                <w:lang w:eastAsia="zh-CN"/>
              </w:rPr>
              <w:t>井陉县</w:t>
            </w:r>
            <w:r>
              <w:rPr>
                <w:rFonts w:hint="eastAsia" w:ascii="方正书宋_GBK" w:eastAsia="方正书宋_GBK"/>
                <w:szCs w:val="21"/>
              </w:rPr>
              <w:t>于家乡综合行政执法队</w:t>
            </w:r>
          </w:p>
        </w:tc>
        <w:tc>
          <w:tcPr>
            <w:tcW w:w="888" w:type="pct"/>
            <w:noWrap w:val="0"/>
            <w:vAlign w:val="center"/>
          </w:tcPr>
          <w:p w14:paraId="45562F3B">
            <w:pPr>
              <w:keepNext w:val="0"/>
              <w:keepLines w:val="0"/>
              <w:pageBreakBefore w:val="0"/>
              <w:widowControl w:val="0"/>
              <w:kinsoku/>
              <w:wordWrap/>
              <w:overflowPunct/>
              <w:topLinePunct w:val="0"/>
              <w:bidi w:val="0"/>
              <w:spacing w:line="580" w:lineRule="exact"/>
              <w:jc w:val="center"/>
              <w:textAlignment w:val="auto"/>
              <w:rPr>
                <w:rFonts w:hint="eastAsia" w:ascii="方正书宋_GBK" w:eastAsia="方正书宋_GBK"/>
              </w:rPr>
            </w:pPr>
            <w:r>
              <w:rPr>
                <w:rFonts w:hint="eastAsia" w:ascii="方正书宋_GBK" w:eastAsia="方正书宋_GBK"/>
                <w:szCs w:val="21"/>
              </w:rPr>
              <w:t>事业</w:t>
            </w:r>
          </w:p>
        </w:tc>
        <w:tc>
          <w:tcPr>
            <w:tcW w:w="722" w:type="pct"/>
            <w:noWrap w:val="0"/>
            <w:vAlign w:val="center"/>
          </w:tcPr>
          <w:p w14:paraId="3E7C55A4">
            <w:pPr>
              <w:keepNext w:val="0"/>
              <w:keepLines w:val="0"/>
              <w:pageBreakBefore w:val="0"/>
              <w:widowControl w:val="0"/>
              <w:kinsoku/>
              <w:wordWrap/>
              <w:overflowPunct/>
              <w:topLinePunct w:val="0"/>
              <w:bidi w:val="0"/>
              <w:spacing w:line="580" w:lineRule="exact"/>
              <w:jc w:val="center"/>
              <w:textAlignment w:val="auto"/>
              <w:rPr>
                <w:rFonts w:hint="eastAsia" w:ascii="方正书宋_GBK" w:eastAsia="方正书宋_GBK"/>
              </w:rPr>
            </w:pPr>
            <w:r>
              <w:rPr>
                <w:rFonts w:hint="eastAsia" w:ascii="方正书宋_GBK" w:eastAsia="方正书宋_GBK"/>
                <w:szCs w:val="21"/>
              </w:rPr>
              <w:t>股级</w:t>
            </w:r>
          </w:p>
        </w:tc>
        <w:tc>
          <w:tcPr>
            <w:tcW w:w="1440" w:type="pct"/>
            <w:noWrap w:val="0"/>
            <w:vAlign w:val="center"/>
          </w:tcPr>
          <w:p w14:paraId="431764E0">
            <w:pPr>
              <w:keepNext w:val="0"/>
              <w:keepLines w:val="0"/>
              <w:pageBreakBefore w:val="0"/>
              <w:widowControl w:val="0"/>
              <w:kinsoku/>
              <w:wordWrap/>
              <w:overflowPunct/>
              <w:topLinePunct w:val="0"/>
              <w:bidi w:val="0"/>
              <w:spacing w:line="580" w:lineRule="exact"/>
              <w:jc w:val="center"/>
              <w:textAlignment w:val="auto"/>
              <w:rPr>
                <w:rFonts w:hint="eastAsia" w:ascii="方正书宋_GBK" w:eastAsia="方正书宋_GBK"/>
              </w:rPr>
            </w:pPr>
            <w:r>
              <w:rPr>
                <w:rFonts w:hint="eastAsia" w:ascii="方正书宋_GBK" w:eastAsia="方正书宋_GBK"/>
                <w:szCs w:val="21"/>
              </w:rPr>
              <w:t>财政性资金基本保证</w:t>
            </w:r>
          </w:p>
        </w:tc>
      </w:tr>
      <w:tr w14:paraId="3036C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4" w:hRule="exact"/>
          <w:jc w:val="center"/>
        </w:trPr>
        <w:tc>
          <w:tcPr>
            <w:tcW w:w="1948" w:type="pct"/>
            <w:noWrap w:val="0"/>
            <w:vAlign w:val="center"/>
          </w:tcPr>
          <w:p w14:paraId="47AD74C5">
            <w:pPr>
              <w:keepNext w:val="0"/>
              <w:keepLines w:val="0"/>
              <w:pageBreakBefore w:val="0"/>
              <w:widowControl w:val="0"/>
              <w:kinsoku/>
              <w:wordWrap/>
              <w:overflowPunct/>
              <w:topLinePunct w:val="0"/>
              <w:bidi w:val="0"/>
              <w:spacing w:line="580" w:lineRule="exact"/>
              <w:jc w:val="left"/>
              <w:textAlignment w:val="auto"/>
              <w:rPr>
                <w:rFonts w:hint="eastAsia" w:ascii="方正书宋_GBK" w:eastAsia="方正书宋_GBK"/>
              </w:rPr>
            </w:pPr>
            <w:r>
              <w:rPr>
                <w:rFonts w:hint="eastAsia" w:ascii="方正书宋_GBK" w:eastAsia="方正书宋_GBK"/>
                <w:szCs w:val="21"/>
                <w:lang w:eastAsia="zh-CN"/>
              </w:rPr>
              <w:t>井陉县</w:t>
            </w:r>
            <w:r>
              <w:rPr>
                <w:rFonts w:hint="eastAsia" w:ascii="方正书宋_GBK" w:eastAsia="方正书宋_GBK"/>
                <w:szCs w:val="21"/>
              </w:rPr>
              <w:t>于家乡行政综合服务中心</w:t>
            </w:r>
          </w:p>
        </w:tc>
        <w:tc>
          <w:tcPr>
            <w:tcW w:w="888" w:type="pct"/>
            <w:noWrap w:val="0"/>
            <w:vAlign w:val="center"/>
          </w:tcPr>
          <w:p w14:paraId="6DD74FA1">
            <w:pPr>
              <w:keepNext w:val="0"/>
              <w:keepLines w:val="0"/>
              <w:pageBreakBefore w:val="0"/>
              <w:widowControl w:val="0"/>
              <w:kinsoku/>
              <w:wordWrap/>
              <w:overflowPunct/>
              <w:topLinePunct w:val="0"/>
              <w:bidi w:val="0"/>
              <w:spacing w:line="580" w:lineRule="exact"/>
              <w:jc w:val="center"/>
              <w:textAlignment w:val="auto"/>
              <w:rPr>
                <w:rFonts w:hint="eastAsia" w:ascii="方正书宋_GBK" w:eastAsia="方正书宋_GBK"/>
              </w:rPr>
            </w:pPr>
            <w:r>
              <w:rPr>
                <w:rFonts w:hint="eastAsia" w:ascii="方正书宋_GBK" w:eastAsia="方正书宋_GBK"/>
                <w:szCs w:val="21"/>
              </w:rPr>
              <w:t>事业</w:t>
            </w:r>
          </w:p>
        </w:tc>
        <w:tc>
          <w:tcPr>
            <w:tcW w:w="722" w:type="pct"/>
            <w:noWrap w:val="0"/>
            <w:vAlign w:val="center"/>
          </w:tcPr>
          <w:p w14:paraId="03543881">
            <w:pPr>
              <w:keepNext w:val="0"/>
              <w:keepLines w:val="0"/>
              <w:pageBreakBefore w:val="0"/>
              <w:widowControl w:val="0"/>
              <w:kinsoku/>
              <w:wordWrap/>
              <w:overflowPunct/>
              <w:topLinePunct w:val="0"/>
              <w:bidi w:val="0"/>
              <w:spacing w:line="580" w:lineRule="exact"/>
              <w:jc w:val="center"/>
              <w:textAlignment w:val="auto"/>
              <w:rPr>
                <w:rFonts w:hint="eastAsia" w:ascii="方正书宋_GBK" w:eastAsia="方正书宋_GBK"/>
              </w:rPr>
            </w:pPr>
            <w:r>
              <w:rPr>
                <w:rFonts w:hint="eastAsia" w:ascii="方正书宋_GBK" w:eastAsia="方正书宋_GBK"/>
                <w:szCs w:val="21"/>
              </w:rPr>
              <w:t>股级</w:t>
            </w:r>
          </w:p>
        </w:tc>
        <w:tc>
          <w:tcPr>
            <w:tcW w:w="1440" w:type="pct"/>
            <w:noWrap w:val="0"/>
            <w:vAlign w:val="center"/>
          </w:tcPr>
          <w:p w14:paraId="003B1758">
            <w:pPr>
              <w:keepNext w:val="0"/>
              <w:keepLines w:val="0"/>
              <w:pageBreakBefore w:val="0"/>
              <w:widowControl w:val="0"/>
              <w:kinsoku/>
              <w:wordWrap/>
              <w:overflowPunct/>
              <w:topLinePunct w:val="0"/>
              <w:bidi w:val="0"/>
              <w:spacing w:line="580" w:lineRule="exact"/>
              <w:jc w:val="center"/>
              <w:textAlignment w:val="auto"/>
              <w:rPr>
                <w:rFonts w:hint="eastAsia" w:ascii="方正书宋_GBK" w:eastAsia="方正书宋_GBK"/>
              </w:rPr>
            </w:pPr>
            <w:r>
              <w:rPr>
                <w:rFonts w:hint="eastAsia" w:ascii="方正书宋_GBK" w:eastAsia="方正书宋_GBK"/>
                <w:szCs w:val="21"/>
              </w:rPr>
              <w:t>财政性资金基本保证</w:t>
            </w:r>
          </w:p>
        </w:tc>
      </w:tr>
      <w:tr w14:paraId="1D3B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56" w:hRule="exact"/>
          <w:jc w:val="center"/>
        </w:trPr>
        <w:tc>
          <w:tcPr>
            <w:tcW w:w="1948" w:type="pct"/>
            <w:noWrap w:val="0"/>
            <w:vAlign w:val="center"/>
          </w:tcPr>
          <w:p w14:paraId="44A8845E">
            <w:pPr>
              <w:keepNext w:val="0"/>
              <w:keepLines w:val="0"/>
              <w:pageBreakBefore w:val="0"/>
              <w:widowControl w:val="0"/>
              <w:kinsoku/>
              <w:wordWrap/>
              <w:overflowPunct/>
              <w:topLinePunct w:val="0"/>
              <w:bidi w:val="0"/>
              <w:spacing w:line="580" w:lineRule="exact"/>
              <w:jc w:val="left"/>
              <w:textAlignment w:val="auto"/>
              <w:rPr>
                <w:rFonts w:hint="eastAsia" w:ascii="方正书宋_GBK" w:eastAsia="方正书宋_GBK"/>
              </w:rPr>
            </w:pPr>
            <w:r>
              <w:rPr>
                <w:rFonts w:hint="eastAsia" w:ascii="方正书宋_GBK" w:eastAsia="方正书宋_GBK"/>
                <w:szCs w:val="21"/>
                <w:lang w:eastAsia="zh-CN"/>
              </w:rPr>
              <w:t>井陉县</w:t>
            </w:r>
            <w:r>
              <w:rPr>
                <w:rFonts w:hint="eastAsia" w:ascii="方正书宋_GBK" w:eastAsia="方正书宋_GBK"/>
                <w:szCs w:val="21"/>
              </w:rPr>
              <w:t>于家乡农业综合服务中心</w:t>
            </w:r>
          </w:p>
        </w:tc>
        <w:tc>
          <w:tcPr>
            <w:tcW w:w="888" w:type="pct"/>
            <w:noWrap w:val="0"/>
            <w:vAlign w:val="center"/>
          </w:tcPr>
          <w:p w14:paraId="5506C66C">
            <w:pPr>
              <w:keepNext w:val="0"/>
              <w:keepLines w:val="0"/>
              <w:pageBreakBefore w:val="0"/>
              <w:widowControl w:val="0"/>
              <w:kinsoku/>
              <w:wordWrap/>
              <w:overflowPunct/>
              <w:topLinePunct w:val="0"/>
              <w:bidi w:val="0"/>
              <w:spacing w:line="580" w:lineRule="exact"/>
              <w:jc w:val="center"/>
              <w:textAlignment w:val="auto"/>
              <w:rPr>
                <w:rFonts w:hint="eastAsia" w:ascii="方正书宋_GBK" w:eastAsia="方正书宋_GBK"/>
              </w:rPr>
            </w:pPr>
            <w:r>
              <w:rPr>
                <w:rFonts w:hint="eastAsia" w:ascii="方正书宋_GBK" w:eastAsia="方正书宋_GBK"/>
                <w:szCs w:val="21"/>
              </w:rPr>
              <w:t>事业</w:t>
            </w:r>
          </w:p>
        </w:tc>
        <w:tc>
          <w:tcPr>
            <w:tcW w:w="722" w:type="pct"/>
            <w:noWrap w:val="0"/>
            <w:vAlign w:val="center"/>
          </w:tcPr>
          <w:p w14:paraId="26F0859B">
            <w:pPr>
              <w:keepNext w:val="0"/>
              <w:keepLines w:val="0"/>
              <w:pageBreakBefore w:val="0"/>
              <w:widowControl w:val="0"/>
              <w:kinsoku/>
              <w:wordWrap/>
              <w:overflowPunct/>
              <w:topLinePunct w:val="0"/>
              <w:bidi w:val="0"/>
              <w:spacing w:line="580" w:lineRule="exact"/>
              <w:jc w:val="center"/>
              <w:textAlignment w:val="auto"/>
              <w:rPr>
                <w:rFonts w:hint="eastAsia" w:ascii="方正书宋_GBK" w:eastAsia="方正书宋_GBK"/>
              </w:rPr>
            </w:pPr>
            <w:r>
              <w:rPr>
                <w:rFonts w:hint="eastAsia" w:ascii="方正书宋_GBK" w:eastAsia="方正书宋_GBK"/>
                <w:szCs w:val="21"/>
              </w:rPr>
              <w:t>股级</w:t>
            </w:r>
          </w:p>
        </w:tc>
        <w:tc>
          <w:tcPr>
            <w:tcW w:w="1440" w:type="pct"/>
            <w:noWrap w:val="0"/>
            <w:vAlign w:val="center"/>
          </w:tcPr>
          <w:p w14:paraId="1944B6B7">
            <w:pPr>
              <w:keepNext w:val="0"/>
              <w:keepLines w:val="0"/>
              <w:pageBreakBefore w:val="0"/>
              <w:widowControl w:val="0"/>
              <w:kinsoku/>
              <w:wordWrap/>
              <w:overflowPunct/>
              <w:topLinePunct w:val="0"/>
              <w:bidi w:val="0"/>
              <w:spacing w:line="580" w:lineRule="exact"/>
              <w:jc w:val="center"/>
              <w:textAlignment w:val="auto"/>
              <w:rPr>
                <w:rFonts w:hint="eastAsia" w:ascii="方正书宋_GBK" w:eastAsia="方正书宋_GBK"/>
              </w:rPr>
            </w:pPr>
            <w:r>
              <w:rPr>
                <w:rFonts w:hint="eastAsia" w:ascii="方正书宋_GBK" w:eastAsia="方正书宋_GBK"/>
                <w:szCs w:val="21"/>
              </w:rPr>
              <w:t>财政性资金基本保证</w:t>
            </w:r>
          </w:p>
        </w:tc>
      </w:tr>
    </w:tbl>
    <w:p w14:paraId="2E883AF6">
      <w:pPr>
        <w:keepNext w:val="0"/>
        <w:keepLines w:val="0"/>
        <w:pageBreakBefore w:val="0"/>
        <w:widowControl w:val="0"/>
        <w:kinsoku/>
        <w:wordWrap/>
        <w:overflowPunct/>
        <w:topLinePunct w:val="0"/>
        <w:bidi w:val="0"/>
        <w:adjustRightInd w:val="0"/>
        <w:snapToGrid w:val="0"/>
        <w:spacing w:line="580" w:lineRule="exact"/>
        <w:ind w:left="0" w:leftChars="0" w:right="0" w:firstLine="640" w:firstLineChars="200"/>
        <w:textAlignment w:val="auto"/>
        <w:outlineLvl w:val="9"/>
        <w:rPr>
          <w:rFonts w:hint="eastAsia" w:ascii="Times New Roman" w:hAnsi="Times New Roman" w:eastAsia="仿宋" w:cs="Times New Roman"/>
          <w:b w:val="0"/>
          <w:i w:val="0"/>
          <w:strike w:val="0"/>
          <w:kern w:val="2"/>
          <w:position w:val="0"/>
          <w:sz w:val="32"/>
          <w:szCs w:val="32"/>
          <w:u w:val="none"/>
          <w:shd w:val="clear" w:color="auto" w:fill="auto"/>
          <w:lang w:val="en-US" w:eastAsia="zh-CN"/>
        </w:rPr>
      </w:pPr>
    </w:p>
    <w:p w14:paraId="350024D3">
      <w:pPr>
        <w:keepNext w:val="0"/>
        <w:keepLines w:val="0"/>
        <w:pageBreakBefore w:val="0"/>
        <w:widowControl w:val="0"/>
        <w:kinsoku/>
        <w:wordWrap/>
        <w:overflowPunct/>
        <w:topLinePunct w:val="0"/>
        <w:autoSpaceDE/>
        <w:autoSpaceDN/>
        <w:bidi w:val="0"/>
        <w:adjustRightInd w:val="0"/>
        <w:snapToGrid w:val="0"/>
        <w:spacing w:line="240" w:lineRule="auto"/>
        <w:ind w:right="0" w:firstLine="640" w:firstLineChars="200"/>
        <w:textAlignment w:val="auto"/>
        <w:outlineLvl w:val="9"/>
        <w:rPr>
          <w:rFonts w:hint="eastAsia" w:ascii="Times New Roman" w:hAnsi="Times New Roman" w:eastAsia="仿宋" w:cs="Times New Roman"/>
          <w:b w:val="0"/>
          <w:i w:val="0"/>
          <w:strike w:val="0"/>
          <w:kern w:val="2"/>
          <w:position w:val="0"/>
          <w:sz w:val="32"/>
          <w:szCs w:val="32"/>
          <w:u w:val="none"/>
          <w:shd w:val="clear" w:color="auto" w:fill="auto"/>
          <w:lang w:val="en-US" w:eastAsia="zh-CN"/>
        </w:rPr>
      </w:pPr>
      <w:r>
        <w:rPr>
          <w:rFonts w:hint="eastAsia" w:ascii="Times New Roman" w:hAnsi="Times New Roman" w:eastAsia="仿宋" w:cs="Times New Roman"/>
          <w:b w:val="0"/>
          <w:i w:val="0"/>
          <w:strike w:val="0"/>
          <w:kern w:val="2"/>
          <w:position w:val="0"/>
          <w:sz w:val="32"/>
          <w:szCs w:val="32"/>
          <w:u w:val="none"/>
          <w:shd w:val="clear" w:color="auto" w:fill="auto"/>
          <w:lang w:val="en-US" w:eastAsia="zh-CN"/>
        </w:rPr>
        <w:t>2025年度我部门在职实有人数：</w:t>
      </w:r>
    </w:p>
    <w:p w14:paraId="36F6B02D">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1）行政人员19人，与2024年度相比减少1人，主要因年度内5人调走，4人调入，共计减少1人；（2）事业人员21人，与2024年度相比增加1人；（3）退休人员年末实有人数0人，与上年相比不变，主要因我部门机关事业养老保险改革完成，退休人员由社保机构负担，我部门不再负担退休人员。</w:t>
      </w:r>
    </w:p>
    <w:p w14:paraId="61D354DC">
      <w:pPr>
        <w:keepNext w:val="0"/>
        <w:keepLines w:val="0"/>
        <w:pageBreakBefore w:val="0"/>
        <w:widowControl w:val="0"/>
        <w:kinsoku/>
        <w:wordWrap/>
        <w:overflowPunct/>
        <w:topLinePunct w:val="0"/>
        <w:autoSpaceDE/>
        <w:autoSpaceDN/>
        <w:bidi w:val="0"/>
        <w:adjustRightInd w:val="0"/>
        <w:snapToGrid w:val="0"/>
        <w:spacing w:line="240" w:lineRule="auto"/>
        <w:ind w:firstLine="640" w:firstLineChars="200"/>
        <w:textAlignment w:val="auto"/>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3DF1213F">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2025年度我部门收入总计为10167547.75元。与2024年7443397.15相比增加2724150.6元，总收入增加36.6%，主要因项目建设工程支出比上年度增加。</w:t>
      </w:r>
    </w:p>
    <w:p w14:paraId="2D981467">
      <w:pPr>
        <w:keepNext w:val="0"/>
        <w:keepLines w:val="0"/>
        <w:pageBreakBefore w:val="0"/>
        <w:widowControl w:val="0"/>
        <w:kinsoku/>
        <w:wordWrap/>
        <w:overflowPunct/>
        <w:topLinePunct w:val="0"/>
        <w:bidi w:val="0"/>
        <w:spacing w:line="240" w:lineRule="auto"/>
        <w:ind w:firstLine="640" w:firstLineChars="200"/>
        <w:textAlignment w:val="auto"/>
      </w:pPr>
      <w:r>
        <w:rPr>
          <w:rFonts w:hint="eastAsia" w:ascii="仿宋" w:hAnsi="仿宋" w:eastAsia="仿宋"/>
          <w:sz w:val="32"/>
          <w:szCs w:val="32"/>
          <w:lang w:val="en-US" w:eastAsia="zh-CN"/>
        </w:rPr>
        <w:t>2025年度我部门决算支出为10167547.75元，与上年度7443397.15元相比增加2724150.6元，增加36.6%，主要因项目建设工程支出比上年度增加。</w:t>
      </w:r>
    </w:p>
    <w:p w14:paraId="4A054B1E">
      <w:pPr>
        <w:keepNext w:val="0"/>
        <w:keepLines w:val="0"/>
        <w:pageBreakBefore w:val="0"/>
        <w:widowControl w:val="0"/>
        <w:kinsoku/>
        <w:wordWrap/>
        <w:overflowPunct/>
        <w:topLinePunct w:val="0"/>
        <w:bidi w:val="0"/>
        <w:adjustRightInd w:val="0"/>
        <w:snapToGrid w:val="0"/>
        <w:spacing w:line="240" w:lineRule="auto"/>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73CF84BC">
      <w:pPr>
        <w:keepNext w:val="0"/>
        <w:keepLines w:val="0"/>
        <w:pageBreakBefore w:val="0"/>
        <w:widowControl w:val="0"/>
        <w:kinsoku/>
        <w:wordWrap/>
        <w:overflowPunct/>
        <w:topLinePunct w:val="0"/>
        <w:autoSpaceDE w:val="0"/>
        <w:autoSpaceDN w:val="0"/>
        <w:bidi w:val="0"/>
        <w:adjustRightInd w:val="0"/>
        <w:snapToGrid/>
        <w:spacing w:line="240" w:lineRule="auto"/>
        <w:ind w:firstLine="640" w:firstLineChars="200"/>
        <w:jc w:val="left"/>
        <w:textAlignment w:val="auto"/>
        <w:outlineLvl w:val="9"/>
        <w:rPr>
          <w:rFonts w:hint="eastAsia" w:ascii="Times New Roman" w:hAnsi="Times New Roman" w:eastAsia="仿宋" w:cs="Times New Roman"/>
          <w:b w:val="0"/>
          <w:i w:val="0"/>
          <w:strike w:val="0"/>
          <w:kern w:val="2"/>
          <w:position w:val="0"/>
          <w:sz w:val="32"/>
          <w:szCs w:val="32"/>
          <w:u w:val="none"/>
          <w:shd w:val="clear" w:color="auto" w:fill="auto"/>
          <w:lang w:eastAsia="zh-CN"/>
        </w:rPr>
      </w:pPr>
      <w:r>
        <w:rPr>
          <w:rFonts w:hint="eastAsia" w:ascii="Times New Roman" w:hAnsi="Times New Roman" w:eastAsia="仿宋" w:cs="Times New Roman"/>
          <w:b w:val="0"/>
          <w:i w:val="0"/>
          <w:strike w:val="0"/>
          <w:kern w:val="2"/>
          <w:position w:val="0"/>
          <w:sz w:val="32"/>
          <w:szCs w:val="32"/>
          <w:u w:val="none"/>
          <w:shd w:val="clear" w:color="auto" w:fill="auto"/>
          <w:lang w:eastAsia="zh-CN"/>
        </w:rP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w:t>
      </w:r>
    </w:p>
    <w:p w14:paraId="53B5415B">
      <w:pPr>
        <w:keepNext w:val="0"/>
        <w:keepLines w:val="0"/>
        <w:pageBreakBefore w:val="0"/>
        <w:widowControl w:val="0"/>
        <w:kinsoku/>
        <w:wordWrap/>
        <w:overflowPunct/>
        <w:topLinePunct w:val="0"/>
        <w:autoSpaceDE w:val="0"/>
        <w:autoSpaceDN w:val="0"/>
        <w:bidi w:val="0"/>
        <w:adjustRightInd w:val="0"/>
        <w:snapToGrid/>
        <w:spacing w:line="580" w:lineRule="exact"/>
        <w:ind w:firstLine="640" w:firstLineChars="200"/>
        <w:jc w:val="left"/>
        <w:textAlignment w:val="auto"/>
        <w:outlineLvl w:val="9"/>
        <w:rPr>
          <w:rFonts w:hint="eastAsia" w:ascii="Times New Roman" w:hAnsi="Times New Roman" w:eastAsia="仿宋" w:cs="Times New Roman"/>
          <w:b w:val="0"/>
          <w:i w:val="0"/>
          <w:strike w:val="0"/>
          <w:kern w:val="2"/>
          <w:position w:val="0"/>
          <w:sz w:val="32"/>
          <w:szCs w:val="32"/>
          <w:u w:val="none"/>
          <w:shd w:val="clear" w:color="auto" w:fill="auto"/>
          <w:lang w:eastAsia="zh-CN"/>
        </w:rPr>
      </w:pPr>
      <w:r>
        <w:rPr>
          <w:rFonts w:hint="eastAsia" w:ascii="Times New Roman" w:hAnsi="Times New Roman" w:eastAsia="仿宋" w:cs="Times New Roman"/>
          <w:b w:val="0"/>
          <w:i w:val="0"/>
          <w:strike w:val="0"/>
          <w:kern w:val="2"/>
          <w:position w:val="0"/>
          <w:sz w:val="32"/>
          <w:szCs w:val="32"/>
          <w:u w:val="none"/>
          <w:shd w:val="clear" w:color="auto" w:fill="auto"/>
          <w:lang w:eastAsia="zh-CN"/>
        </w:rPr>
        <w:t>承担城乡建设、生态环境、文化市场、农业农村、安全生产、民族宗教等领域行政执法工作。配合县直相关部门做好授权、委托事项之外的其他领域行政执法工作。</w:t>
      </w:r>
    </w:p>
    <w:p w14:paraId="1BCC1671">
      <w:pPr>
        <w:keepNext w:val="0"/>
        <w:keepLines w:val="0"/>
        <w:pageBreakBefore w:val="0"/>
        <w:widowControl w:val="0"/>
        <w:kinsoku/>
        <w:wordWrap/>
        <w:overflowPunct/>
        <w:topLinePunct w:val="0"/>
        <w:autoSpaceDE w:val="0"/>
        <w:autoSpaceDN w:val="0"/>
        <w:bidi w:val="0"/>
        <w:adjustRightInd w:val="0"/>
        <w:snapToGrid/>
        <w:spacing w:line="580" w:lineRule="exact"/>
        <w:ind w:firstLine="640" w:firstLineChars="200"/>
        <w:jc w:val="left"/>
        <w:textAlignment w:val="auto"/>
        <w:outlineLvl w:val="9"/>
        <w:rPr>
          <w:rFonts w:hint="eastAsia" w:ascii="Times New Roman" w:hAnsi="Times New Roman" w:eastAsia="仿宋" w:cs="Times New Roman"/>
          <w:b w:val="0"/>
          <w:i w:val="0"/>
          <w:strike w:val="0"/>
          <w:kern w:val="2"/>
          <w:position w:val="0"/>
          <w:sz w:val="32"/>
          <w:szCs w:val="32"/>
          <w:u w:val="none"/>
          <w:shd w:val="clear" w:color="auto" w:fill="auto"/>
          <w:lang w:eastAsia="zh-CN"/>
        </w:rPr>
      </w:pPr>
      <w:r>
        <w:rPr>
          <w:rFonts w:hint="eastAsia" w:ascii="Times New Roman" w:hAnsi="Times New Roman" w:eastAsia="仿宋" w:cs="Times New Roman"/>
          <w:b w:val="0"/>
          <w:i w:val="0"/>
          <w:strike w:val="0"/>
          <w:kern w:val="2"/>
          <w:position w:val="0"/>
          <w:sz w:val="32"/>
          <w:szCs w:val="32"/>
          <w:u w:val="none"/>
          <w:shd w:val="clear" w:color="auto" w:fill="auto"/>
          <w:lang w:eastAsia="zh-CN"/>
        </w:rPr>
        <w:t>负责行政审批服务事项的受理、办理工作，提供政策和业务咨询，指导村便民服务点建设。负责开展群众文化艺术娱乐、体育活动，负责文化市场进行监督、巡察工作，负责文物普查、保护和开发利用工作，指导村文化室建设、文体设施规划建设。负责编制乡财政预决算，负责乡政府预算单位的财务管理和核算，负责村级资金核拨和监督管理等相关工作。</w:t>
      </w:r>
    </w:p>
    <w:p w14:paraId="14DD6424">
      <w:pPr>
        <w:keepNext w:val="0"/>
        <w:keepLines w:val="0"/>
        <w:pageBreakBefore w:val="0"/>
        <w:widowControl w:val="0"/>
        <w:kinsoku/>
        <w:wordWrap/>
        <w:overflowPunct/>
        <w:topLinePunct w:val="0"/>
        <w:bidi w:val="0"/>
        <w:adjustRightInd w:val="0"/>
        <w:snapToGrid w:val="0"/>
        <w:spacing w:line="580" w:lineRule="exact"/>
        <w:ind w:left="0" w:leftChars="0" w:right="0" w:firstLine="640" w:firstLineChars="200"/>
        <w:textAlignment w:val="auto"/>
        <w:outlineLvl w:val="9"/>
        <w:rPr>
          <w:rFonts w:ascii="仿宋" w:hAnsi="仿宋" w:eastAsia="仿宋"/>
          <w:sz w:val="32"/>
          <w:szCs w:val="32"/>
        </w:rPr>
      </w:pPr>
      <w:r>
        <w:rPr>
          <w:rFonts w:hint="eastAsia" w:ascii="Times New Roman" w:hAnsi="Times New Roman" w:eastAsia="仿宋" w:cs="Times New Roman"/>
          <w:b w:val="0"/>
          <w:i w:val="0"/>
          <w:strike w:val="0"/>
          <w:kern w:val="2"/>
          <w:position w:val="0"/>
          <w:sz w:val="32"/>
          <w:szCs w:val="32"/>
          <w:u w:val="none"/>
          <w:shd w:val="clear" w:color="auto" w:fill="auto"/>
          <w:lang w:eastAsia="zh-CN"/>
        </w:rPr>
        <w:t xml:space="preserve"> 负责配合农口部门（农、林、牧、水）做好农业技术服务和技术推广工作，动物防疫工作；加强农田水利基本建设，增强农业抗御自然灾害的能力。做好农村</w:t>
      </w:r>
      <w:r>
        <w:rPr>
          <w:rFonts w:hint="eastAsia" w:ascii="Times New Roman" w:hAnsi="Times New Roman" w:eastAsia="仿宋" w:cs="Times New Roman"/>
          <w:b w:val="0"/>
          <w:i w:val="0"/>
          <w:strike w:val="0"/>
          <w:kern w:val="2"/>
          <w:position w:val="0"/>
          <w:sz w:val="32"/>
          <w:szCs w:val="32"/>
          <w:u w:val="none"/>
          <w:shd w:val="clear" w:color="auto" w:fill="auto"/>
          <w:lang w:val="en-US" w:eastAsia="zh-CN"/>
        </w:rPr>
        <w:t>农村公益事业</w:t>
      </w:r>
      <w:r>
        <w:rPr>
          <w:rFonts w:hint="eastAsia" w:ascii="Times New Roman" w:hAnsi="Times New Roman" w:eastAsia="仿宋" w:cs="Times New Roman"/>
          <w:b w:val="0"/>
          <w:i w:val="0"/>
          <w:strike w:val="0"/>
          <w:kern w:val="2"/>
          <w:position w:val="0"/>
          <w:sz w:val="32"/>
          <w:szCs w:val="32"/>
          <w:u w:val="none"/>
          <w:shd w:val="clear" w:color="auto" w:fill="auto"/>
          <w:lang w:eastAsia="zh-CN"/>
        </w:rPr>
        <w:t>项目管理。</w:t>
      </w:r>
    </w:p>
    <w:p w14:paraId="04BBDB61">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6C758759">
      <w:pPr>
        <w:spacing w:line="560" w:lineRule="exact"/>
        <w:ind w:firstLine="642"/>
        <w:rPr>
          <w:rFonts w:hint="eastAsia" w:ascii="楷体" w:hAnsi="楷体" w:eastAsia="楷体" w:cs="楷体_GB2312"/>
          <w:bCs/>
          <w:sz w:val="32"/>
          <w:szCs w:val="32"/>
        </w:rPr>
      </w:pPr>
      <w:r>
        <w:rPr>
          <w:rFonts w:hint="eastAsia" w:ascii="楷体" w:hAnsi="楷体" w:eastAsia="楷体" w:cs="楷体_GB2312"/>
          <w:bCs/>
          <w:sz w:val="32"/>
          <w:szCs w:val="32"/>
        </w:rPr>
        <w:t>（一）自评的组织工作</w:t>
      </w:r>
    </w:p>
    <w:p w14:paraId="6038304C">
      <w:pPr>
        <w:spacing w:line="560" w:lineRule="exact"/>
        <w:ind w:firstLine="642"/>
        <w:rPr>
          <w:rFonts w:hint="eastAsia" w:ascii="仿宋_GB2312" w:eastAsia="仿宋_GB2312"/>
          <w:sz w:val="32"/>
          <w:szCs w:val="32"/>
          <w:lang w:val="en-US" w:eastAsia="zh-CN"/>
        </w:rPr>
      </w:pPr>
      <w:r>
        <w:rPr>
          <w:rFonts w:hint="eastAsia" w:ascii="仿宋_GB2312" w:eastAsia="仿宋_GB2312"/>
          <w:sz w:val="32"/>
          <w:szCs w:val="32"/>
          <w:lang w:val="en-US" w:eastAsia="zh-CN"/>
        </w:rPr>
        <w:t>1.加强组织领导。分管部门将农村环境保护项目预算绩效管理摆上重要议事日程，健全工作机制，科学安排部署，形成“一把手”亲自抓、分管副职具体抓、专职机构或专职人员具体落实的工作格局。各部门认真落实预算绩效管理主体责任，增强工作责任感和紧迫感。</w:t>
      </w:r>
    </w:p>
    <w:p w14:paraId="6739CD14">
      <w:pPr>
        <w:spacing w:line="560" w:lineRule="exact"/>
        <w:ind w:firstLine="642"/>
        <w:rPr>
          <w:rFonts w:ascii="仿宋" w:hAnsi="仿宋" w:eastAsia="仿宋"/>
          <w:sz w:val="32"/>
          <w:szCs w:val="32"/>
        </w:rPr>
      </w:pPr>
      <w:r>
        <w:rPr>
          <w:rFonts w:hint="eastAsia" w:ascii="仿宋_GB2312" w:eastAsia="仿宋_GB2312"/>
          <w:sz w:val="32"/>
          <w:szCs w:val="32"/>
          <w:lang w:val="en-US" w:eastAsia="zh-CN"/>
        </w:rPr>
        <w:t>2.加强工作考核。分管领导对农村环境保护项目预算绩效评价工作开展情况进行考核，建立考核结果通报制度，对工作推进不力的进行约谈改进。</w:t>
      </w:r>
    </w:p>
    <w:p w14:paraId="3AC48AF7">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0A50F2B1">
      <w:pPr>
        <w:pStyle w:val="2"/>
      </w:pPr>
      <w:r>
        <w:rPr>
          <w:rFonts w:hint="eastAsia" w:ascii="仿宋_GB2312" w:eastAsia="仿宋_GB2312"/>
          <w:sz w:val="32"/>
          <w:szCs w:val="32"/>
          <w:lang w:val="en-US" w:eastAsia="zh-CN"/>
        </w:rPr>
        <w:t>项目绩效评价选用的评价方法为比较法、因素分析法，经过搜集资料、实地考察、调查统计等，比较绩效目标值和实际完成值、对比以前年度和当前年底项目实施情况等，并通过综合分析影响绩效目标实现、实施效果的内外因素，核定已完成2025年度项目工作经费年度绩效目标。</w:t>
      </w:r>
    </w:p>
    <w:p w14:paraId="353A0499">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3FE99D00">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4B36DC8D">
      <w:pPr>
        <w:keepNext w:val="0"/>
        <w:keepLines w:val="0"/>
        <w:pageBreakBefore w:val="0"/>
        <w:widowControl w:val="0"/>
        <w:numPr>
          <w:ilvl w:val="0"/>
          <w:numId w:val="0"/>
        </w:numPr>
        <w:kinsoku/>
        <w:wordWrap/>
        <w:overflowPunct/>
        <w:topLinePunct w:val="0"/>
        <w:bidi w:val="0"/>
        <w:spacing w:line="580" w:lineRule="exact"/>
        <w:ind w:firstLine="640"/>
        <w:textAlignment w:val="auto"/>
        <w:rPr>
          <w:rFonts w:hint="eastAsia" w:ascii="仿宋_GB2312" w:eastAsia="仿宋_GB2312"/>
          <w:sz w:val="32"/>
          <w:szCs w:val="32"/>
          <w:lang w:val="en-US" w:eastAsia="zh-CN"/>
        </w:rPr>
      </w:pPr>
      <w:r>
        <w:rPr>
          <w:rFonts w:hint="eastAsia" w:ascii="仿宋_GB2312" w:hAnsi="仿宋" w:eastAsia="仿宋_GB2312"/>
          <w:color w:val="auto"/>
          <w:sz w:val="32"/>
          <w:szCs w:val="32"/>
          <w:lang w:val="en-US" w:eastAsia="zh-CN"/>
        </w:rPr>
        <w:t>2025年度我部门开展专项项目25项，</w:t>
      </w:r>
      <w:r>
        <w:rPr>
          <w:rFonts w:hint="eastAsia" w:ascii="仿宋_GB2312" w:hAnsi="Times New Roman" w:eastAsia="仿宋_GB2312" w:cs="Times New Roman"/>
          <w:sz w:val="32"/>
          <w:szCs w:val="32"/>
        </w:rPr>
        <w:t>对于设立的全部项目，均按照财务管理制度严格规范的对资金进行了使用，且进行了项目检查。截止</w:t>
      </w:r>
      <w:r>
        <w:rPr>
          <w:rFonts w:hint="eastAsia" w:ascii="仿宋_GB2312" w:hAnsi="Times New Roman" w:eastAsia="仿宋_GB2312" w:cs="Times New Roman"/>
          <w:sz w:val="32"/>
          <w:szCs w:val="32"/>
          <w:lang w:eastAsia="zh-CN"/>
        </w:rPr>
        <w:t>202</w:t>
      </w:r>
      <w:r>
        <w:rPr>
          <w:rFonts w:hint="eastAsia" w:ascii="仿宋_GB2312" w:hAnsi="Times New Roman" w:eastAsia="仿宋_GB2312" w:cs="Times New Roman"/>
          <w:sz w:val="32"/>
          <w:szCs w:val="32"/>
          <w:lang w:val="en-US" w:eastAsia="zh-CN"/>
        </w:rPr>
        <w:t>5</w:t>
      </w:r>
      <w:r>
        <w:rPr>
          <w:rFonts w:hint="eastAsia" w:ascii="仿宋_GB2312" w:hAnsi="Times New Roman" w:eastAsia="仿宋_GB2312" w:cs="Times New Roman"/>
          <w:sz w:val="32"/>
          <w:szCs w:val="32"/>
        </w:rPr>
        <w:t>年12月底，均完成各项指标，并进行了群众满意度调查，达到预期的群众满意。</w:t>
      </w:r>
    </w:p>
    <w:p w14:paraId="6BEF73DC">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5D0C43B5">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1、行政工作</w:t>
      </w:r>
    </w:p>
    <w:p w14:paraId="7AEF963D">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eastAsia="zh-CN"/>
        </w:rPr>
        <w:t>绩效目标：完成人大代表议政、人代会，做好各项工作的迎查、考核，完成乡镇财政计划和经济发展规划，做好统计、审计工作；做好与各职责部门的社会事务工作。完成机关日常事务，搞好文秘、档案管理、政务公开和机关后勤保障工作；保障部门做好相关宣传咨询工作。</w:t>
      </w:r>
    </w:p>
    <w:p w14:paraId="5D1E7D55">
      <w:pPr>
        <w:keepNext w:val="0"/>
        <w:keepLines w:val="0"/>
        <w:pageBreakBefore w:val="0"/>
        <w:widowControl w:val="0"/>
        <w:kinsoku/>
        <w:wordWrap/>
        <w:overflowPunct/>
        <w:topLinePunct w:val="0"/>
        <w:bidi w:val="0"/>
        <w:spacing w:line="580" w:lineRule="exact"/>
        <w:ind w:firstLine="640" w:firstLineChars="200"/>
        <w:textAlignment w:val="auto"/>
        <w:rPr>
          <w:rFonts w:hint="default"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eastAsia="zh-CN"/>
        </w:rPr>
        <w:t>绩效指标：考核结果达到合格以上、日常工作完成率。</w:t>
      </w:r>
    </w:p>
    <w:p w14:paraId="37C141F9">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val="en-US" w:eastAsia="zh-CN"/>
        </w:rPr>
        <w:t>2、文化宣传工作</w:t>
      </w:r>
      <w:r>
        <w:rPr>
          <w:rFonts w:hint="eastAsia" w:ascii="仿宋_GB2312" w:hAnsi="Times New Roman" w:eastAsia="仿宋_GB2312" w:cs="Times New Roman"/>
          <w:sz w:val="32"/>
          <w:szCs w:val="32"/>
          <w:lang w:eastAsia="zh-CN"/>
        </w:rPr>
        <w:t xml:space="preserve"> </w:t>
      </w:r>
    </w:p>
    <w:p w14:paraId="55A73C0D">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eastAsia="zh-CN"/>
        </w:rPr>
        <w:t>绩效目标：提高文体活动质量，增强群众的参与度，提供群众满意的服务维护好社会的稳定。</w:t>
      </w:r>
    </w:p>
    <w:p w14:paraId="16F138B7">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eastAsia="zh-CN"/>
        </w:rPr>
        <w:t>绩效指标：群众满意度、文化工作完成率。</w:t>
      </w:r>
    </w:p>
    <w:p w14:paraId="3471BB18">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3、综合行政执法工作</w:t>
      </w:r>
    </w:p>
    <w:p w14:paraId="57E9F39C">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eastAsia="zh-CN"/>
        </w:rPr>
        <w:t>绩效目标：做好城乡建设、生态环境、文化市场、农业农村、安全生产、民族宗教等领域行政执法工作。</w:t>
      </w:r>
    </w:p>
    <w:p w14:paraId="5F035A40">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eastAsia="zh-CN"/>
        </w:rPr>
        <w:t>绩效指标：监督工作任务完成率。</w:t>
      </w:r>
    </w:p>
    <w:p w14:paraId="4ADAE74A">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4、社会保障工作</w:t>
      </w:r>
    </w:p>
    <w:p w14:paraId="33EBCF9C">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eastAsia="zh-CN"/>
        </w:rPr>
        <w:t>绩效目标：农村居民养老保险、民政低保、残疾、社会捐赠等事务办理等服务。</w:t>
      </w:r>
    </w:p>
    <w:p w14:paraId="2EEB7438">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eastAsia="zh-CN"/>
        </w:rPr>
        <w:t>绩效指标：群众满意度、社会保障办理工作完成率。</w:t>
      </w:r>
    </w:p>
    <w:p w14:paraId="49930397">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5、行政综合服务工作</w:t>
      </w:r>
    </w:p>
    <w:p w14:paraId="72040E40">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绩效目标:做好行政审批服务事项的受理、办理工作，提供政策和业务咨询，指导村便民服务点建设。做好开展群众文化艺术娱乐、体育活动，做好文化市场进行监督、巡察工作，做好文物普查、保护和开发利用工作，指导村文化室建设、文体设施规划建设。做好编制乡财政预决算，做好乡政府预算单位的财务管理和核算，做好村级资金核拨和监督管理等相关工作。</w:t>
      </w:r>
    </w:p>
    <w:p w14:paraId="73492C7A">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绩效指标：</w:t>
      </w:r>
      <w:r>
        <w:rPr>
          <w:rFonts w:hint="eastAsia" w:ascii="仿宋_GB2312" w:hAnsi="Times New Roman" w:eastAsia="仿宋_GB2312" w:cs="Times New Roman"/>
          <w:sz w:val="32"/>
          <w:szCs w:val="32"/>
          <w:lang w:eastAsia="zh-CN"/>
        </w:rPr>
        <w:t>群众满意度、行政综合事务工作完成率。</w:t>
      </w:r>
    </w:p>
    <w:p w14:paraId="3CBF29BB">
      <w:pPr>
        <w:keepNext w:val="0"/>
        <w:keepLines w:val="0"/>
        <w:pageBreakBefore w:val="0"/>
        <w:widowControl w:val="0"/>
        <w:kinsoku/>
        <w:wordWrap/>
        <w:overflowPunct/>
        <w:topLinePunct w:val="0"/>
        <w:bidi w:val="0"/>
        <w:spacing w:line="580" w:lineRule="exact"/>
        <w:ind w:firstLine="640" w:firstLineChars="200"/>
        <w:textAlignment w:val="auto"/>
        <w:rPr>
          <w:rFonts w:hint="default"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6、农林水工作</w:t>
      </w:r>
    </w:p>
    <w:p w14:paraId="09DB5FF5">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eastAsia="zh-CN"/>
        </w:rPr>
        <w:t>绩效目标：提供群众满意的农业服务提供群众满意的林业服务及护林防火工作提供群众满意的水利方面服务。确保一事一议项目的顺利运行及实施。</w:t>
      </w:r>
    </w:p>
    <w:p w14:paraId="703C1E53">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eastAsia="zh-CN"/>
        </w:rPr>
        <w:t>绩效指标：一事一议项目完成率、群众满意度、火灾发生率。</w:t>
      </w:r>
    </w:p>
    <w:p w14:paraId="52D82775">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7、信访工作</w:t>
      </w:r>
    </w:p>
    <w:p w14:paraId="78C87574">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eastAsia="zh-CN"/>
        </w:rPr>
        <w:t>绩效目标：做好信访接待、资料建档归类工作。</w:t>
      </w:r>
    </w:p>
    <w:p w14:paraId="67D35AD5">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eastAsia="zh-CN"/>
        </w:rPr>
        <w:t>绩效指标：信访案件落实率、上访劝返率。</w:t>
      </w:r>
    </w:p>
    <w:p w14:paraId="6A011A42">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8、退役军人工作</w:t>
      </w:r>
    </w:p>
    <w:p w14:paraId="2D781F0F">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eastAsia="zh-CN"/>
        </w:rPr>
        <w:t>绩效目标：做好退役军人自主就业先进典型及最美军嫂的表扬表彰工作，保障退伍军人合法权益的落实。</w:t>
      </w:r>
    </w:p>
    <w:p w14:paraId="3C57CFF9">
      <w:pPr>
        <w:keepNext w:val="0"/>
        <w:keepLines w:val="0"/>
        <w:pageBreakBefore w:val="0"/>
        <w:widowControl w:val="0"/>
        <w:kinsoku/>
        <w:wordWrap/>
        <w:overflowPunct/>
        <w:topLinePunct w:val="0"/>
        <w:bidi w:val="0"/>
        <w:spacing w:line="580" w:lineRule="exact"/>
        <w:ind w:firstLine="640" w:firstLineChars="200"/>
        <w:textAlignment w:val="auto"/>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lang w:eastAsia="zh-CN"/>
        </w:rPr>
        <w:t>绩效指标：退伍军人合法权益保障率、退役军人满意度。</w:t>
      </w:r>
    </w:p>
    <w:p w14:paraId="0CFB5389">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7EBCA53B">
      <w:pPr>
        <w:keepNext w:val="0"/>
        <w:keepLines w:val="0"/>
        <w:pageBreakBefore w:val="0"/>
        <w:widowControl w:val="0"/>
        <w:numPr>
          <w:ilvl w:val="0"/>
          <w:numId w:val="0"/>
        </w:numPr>
        <w:kinsoku/>
        <w:wordWrap/>
        <w:overflowPunct/>
        <w:topLinePunct w:val="0"/>
        <w:bidi w:val="0"/>
        <w:spacing w:line="580" w:lineRule="exact"/>
        <w:ind w:firstLine="640" w:firstLineChars="200"/>
        <w:textAlignment w:val="auto"/>
        <w:rPr>
          <w:rFonts w:ascii="仿宋" w:hAnsi="仿宋" w:eastAsia="仿宋"/>
          <w:sz w:val="32"/>
          <w:szCs w:val="32"/>
        </w:rPr>
      </w:pPr>
      <w:r>
        <w:rPr>
          <w:rFonts w:hint="eastAsia" w:ascii="仿宋_GB2312" w:eastAsia="仿宋_GB2312"/>
          <w:b w:val="0"/>
          <w:bCs w:val="0"/>
          <w:sz w:val="32"/>
          <w:szCs w:val="32"/>
          <w:lang w:val="en-US" w:eastAsia="zh-CN"/>
        </w:rPr>
        <w:t>根据</w:t>
      </w:r>
      <w:r>
        <w:rPr>
          <w:rFonts w:hint="eastAsia" w:ascii="仿宋_GB2312" w:eastAsia="仿宋_GB2312"/>
          <w:b w:val="0"/>
          <w:bCs w:val="0"/>
          <w:color w:val="auto"/>
          <w:sz w:val="32"/>
          <w:szCs w:val="32"/>
          <w:lang w:val="en-US" w:eastAsia="zh-CN"/>
        </w:rPr>
        <w:t>项目执行情况和项目绩效情况，</w:t>
      </w:r>
      <w:r>
        <w:rPr>
          <w:rFonts w:hint="eastAsia" w:ascii="仿宋_GB2312" w:eastAsia="仿宋_GB2312"/>
          <w:color w:val="auto"/>
          <w:sz w:val="32"/>
          <w:szCs w:val="32"/>
          <w:lang w:eastAsia="zh-CN"/>
        </w:rPr>
        <w:t>本年度项目专项资金绩效综合评分为</w:t>
      </w:r>
      <w:r>
        <w:rPr>
          <w:rFonts w:hint="eastAsia" w:ascii="仿宋_GB2312" w:eastAsia="仿宋_GB2312"/>
          <w:color w:val="auto"/>
          <w:sz w:val="32"/>
          <w:szCs w:val="32"/>
          <w:lang w:val="en-US" w:eastAsia="zh-CN"/>
        </w:rPr>
        <w:t>98分，等级为</w:t>
      </w:r>
      <w:r>
        <w:rPr>
          <w:rFonts w:hint="eastAsia" w:ascii="仿宋_GB2312" w:eastAsia="仿宋_GB2312"/>
          <w:sz w:val="32"/>
          <w:szCs w:val="32"/>
          <w:lang w:val="en-US" w:eastAsia="zh-CN"/>
        </w:rPr>
        <w:t>优秀。</w:t>
      </w:r>
    </w:p>
    <w:p w14:paraId="408C33F2">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C9D5401">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339F9C59">
      <w:pPr>
        <w:keepNext w:val="0"/>
        <w:keepLines w:val="0"/>
        <w:pageBreakBefore w:val="0"/>
        <w:widowControl w:val="0"/>
        <w:numPr>
          <w:ilvl w:val="0"/>
          <w:numId w:val="0"/>
        </w:numPr>
        <w:kinsoku/>
        <w:wordWrap/>
        <w:overflowPunct/>
        <w:topLinePunct w:val="0"/>
        <w:bidi w:val="0"/>
        <w:spacing w:line="580" w:lineRule="exact"/>
        <w:ind w:firstLine="640" w:firstLineChars="200"/>
        <w:textAlignment w:val="auto"/>
      </w:pPr>
      <w:r>
        <w:rPr>
          <w:rFonts w:hint="eastAsia" w:ascii="仿宋_GB2312" w:eastAsia="仿宋_GB2312"/>
          <w:b w:val="0"/>
          <w:bCs w:val="0"/>
          <w:sz w:val="32"/>
          <w:szCs w:val="32"/>
          <w:lang w:val="en-US" w:eastAsia="zh-CN"/>
        </w:rPr>
        <w:t>针对项目实施的各个过程，主要存在以下几个问题：于家乡各村地理位置比较偏僻，经济基础薄弱，导致各项硬件设施相对落后，工作任务繁重，但办公经费相对不足，山场面积大，护林防火工作任务重等诸多问题，主要项目的工作量较大，资金仍然不足。</w:t>
      </w:r>
    </w:p>
    <w:p w14:paraId="01CCC0A3">
      <w:pPr>
        <w:numPr>
          <w:ilvl w:val="0"/>
          <w:numId w:val="2"/>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094D87FB">
      <w:pPr>
        <w:keepNext w:val="0"/>
        <w:keepLines w:val="0"/>
        <w:pageBreakBefore w:val="0"/>
        <w:widowControl w:val="0"/>
        <w:kinsoku/>
        <w:wordWrap/>
        <w:overflowPunct/>
        <w:topLinePunct w:val="0"/>
        <w:bidi w:val="0"/>
        <w:spacing w:line="580" w:lineRule="exact"/>
        <w:ind w:firstLine="640" w:firstLineChars="200"/>
        <w:textAlignment w:val="auto"/>
      </w:pPr>
      <w:r>
        <w:rPr>
          <w:rFonts w:hint="eastAsia" w:ascii="仿宋_GB2312" w:hAnsi="Times New Roman" w:eastAsia="仿宋_GB2312" w:cs="Times New Roman"/>
          <w:sz w:val="32"/>
          <w:szCs w:val="32"/>
        </w:rPr>
        <w:t>建议相关部门</w:t>
      </w:r>
      <w:r>
        <w:rPr>
          <w:rFonts w:hint="eastAsia" w:ascii="仿宋_GB2312" w:hAnsi="Times New Roman" w:eastAsia="仿宋_GB2312" w:cs="Times New Roman"/>
          <w:sz w:val="32"/>
          <w:szCs w:val="32"/>
          <w:lang w:eastAsia="zh-CN"/>
        </w:rPr>
        <w:t>加大各项工作的资金扶持力度</w:t>
      </w:r>
      <w:r>
        <w:rPr>
          <w:rFonts w:hint="eastAsia" w:ascii="仿宋_GB2312" w:hAnsi="Times New Roman" w:eastAsia="仿宋_GB2312" w:cs="Times New Roman"/>
          <w:sz w:val="32"/>
          <w:szCs w:val="32"/>
        </w:rPr>
        <w:t>，在项目手续的办理过程中各部门意见一致，步调一致，使项目手续办理中节约时间，从而推动项目的实施进度</w:t>
      </w:r>
      <w:r>
        <w:rPr>
          <w:rFonts w:hint="eastAsia" w:ascii="仿宋_GB2312" w:hAnsi="Times New Roman" w:eastAsia="仿宋_GB2312" w:cs="Times New Roman"/>
          <w:sz w:val="32"/>
          <w:szCs w:val="32"/>
          <w:lang w:eastAsia="zh-CN"/>
        </w:rPr>
        <w:t>，同时，我乡已将积极整合各项资源，合理利用，促进工作高效开展。</w:t>
      </w:r>
    </w:p>
    <w:tbl>
      <w:tblPr>
        <w:tblStyle w:val="6"/>
        <w:tblpPr w:leftFromText="180" w:rightFromText="180" w:vertAnchor="text" w:horzAnchor="page" w:tblpX="1974" w:tblpY="1291"/>
        <w:tblOverlap w:val="never"/>
        <w:tblW w:w="702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0"/>
        <w:gridCol w:w="2877"/>
        <w:gridCol w:w="2646"/>
      </w:tblGrid>
      <w:tr w14:paraId="12631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00" w:type="dxa"/>
          </w:tcPr>
          <w:p w14:paraId="635AF18D">
            <w:pPr>
              <w:keepNext w:val="0"/>
              <w:keepLines w:val="0"/>
              <w:pageBreakBefore w:val="0"/>
              <w:widowControl w:val="0"/>
              <w:kinsoku/>
              <w:wordWrap/>
              <w:overflowPunct/>
              <w:topLinePunct w:val="0"/>
              <w:bidi w:val="0"/>
              <w:spacing w:line="580" w:lineRule="exact"/>
              <w:jc w:val="center"/>
              <w:textAlignment w:val="auto"/>
              <w:rPr>
                <w:rFonts w:hint="eastAsia" w:ascii="仿宋" w:hAnsi="仿宋" w:eastAsia="仿宋" w:cs="仿宋"/>
                <w:sz w:val="32"/>
                <w:szCs w:val="32"/>
              </w:rPr>
            </w:pPr>
            <w:r>
              <w:rPr>
                <w:rFonts w:hint="eastAsia" w:ascii="仿宋" w:hAnsi="仿宋" w:eastAsia="仿宋" w:cs="仿宋"/>
                <w:sz w:val="32"/>
                <w:szCs w:val="32"/>
              </w:rPr>
              <w:t>姓名</w:t>
            </w:r>
          </w:p>
        </w:tc>
        <w:tc>
          <w:tcPr>
            <w:tcW w:w="2877" w:type="dxa"/>
          </w:tcPr>
          <w:p w14:paraId="32DB29BB">
            <w:pPr>
              <w:keepNext w:val="0"/>
              <w:keepLines w:val="0"/>
              <w:pageBreakBefore w:val="0"/>
              <w:widowControl w:val="0"/>
              <w:kinsoku/>
              <w:wordWrap/>
              <w:overflowPunct/>
              <w:topLinePunct w:val="0"/>
              <w:bidi w:val="0"/>
              <w:spacing w:line="580" w:lineRule="exact"/>
              <w:jc w:val="center"/>
              <w:textAlignment w:val="auto"/>
              <w:rPr>
                <w:rFonts w:hint="eastAsia" w:ascii="仿宋" w:hAnsi="仿宋" w:eastAsia="仿宋" w:cs="仿宋"/>
                <w:sz w:val="32"/>
                <w:szCs w:val="32"/>
              </w:rPr>
            </w:pPr>
            <w:r>
              <w:rPr>
                <w:rFonts w:hint="eastAsia" w:ascii="仿宋" w:hAnsi="仿宋" w:eastAsia="仿宋" w:cs="仿宋"/>
                <w:sz w:val="32"/>
                <w:szCs w:val="32"/>
              </w:rPr>
              <w:t>单位</w:t>
            </w:r>
          </w:p>
        </w:tc>
        <w:tc>
          <w:tcPr>
            <w:tcW w:w="2646" w:type="dxa"/>
          </w:tcPr>
          <w:p w14:paraId="2B7329AD">
            <w:pPr>
              <w:keepNext w:val="0"/>
              <w:keepLines w:val="0"/>
              <w:pageBreakBefore w:val="0"/>
              <w:widowControl w:val="0"/>
              <w:kinsoku/>
              <w:wordWrap/>
              <w:overflowPunct/>
              <w:topLinePunct w:val="0"/>
              <w:bidi w:val="0"/>
              <w:spacing w:line="580" w:lineRule="exact"/>
              <w:jc w:val="center"/>
              <w:textAlignment w:val="auto"/>
              <w:rPr>
                <w:rFonts w:hint="eastAsia" w:ascii="仿宋" w:hAnsi="仿宋" w:eastAsia="仿宋" w:cs="仿宋"/>
                <w:sz w:val="32"/>
                <w:szCs w:val="32"/>
              </w:rPr>
            </w:pPr>
            <w:r>
              <w:rPr>
                <w:rFonts w:hint="eastAsia" w:ascii="仿宋" w:hAnsi="仿宋" w:eastAsia="仿宋" w:cs="仿宋"/>
                <w:sz w:val="32"/>
                <w:szCs w:val="32"/>
              </w:rPr>
              <w:t>职务</w:t>
            </w:r>
          </w:p>
        </w:tc>
      </w:tr>
      <w:tr w14:paraId="6F6C1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1500" w:type="dxa"/>
          </w:tcPr>
          <w:p w14:paraId="6943C9D7">
            <w:pPr>
              <w:keepNext w:val="0"/>
              <w:keepLines w:val="0"/>
              <w:pageBreakBefore w:val="0"/>
              <w:widowControl w:val="0"/>
              <w:kinsoku/>
              <w:wordWrap/>
              <w:overflowPunct/>
              <w:topLinePunct w:val="0"/>
              <w:bidi w:val="0"/>
              <w:spacing w:line="580" w:lineRule="exact"/>
              <w:jc w:val="center"/>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贾军芳</w:t>
            </w:r>
          </w:p>
        </w:tc>
        <w:tc>
          <w:tcPr>
            <w:tcW w:w="2877" w:type="dxa"/>
          </w:tcPr>
          <w:p w14:paraId="7CE9C996">
            <w:pPr>
              <w:keepNext w:val="0"/>
              <w:keepLines w:val="0"/>
              <w:pageBreakBefore w:val="0"/>
              <w:widowControl w:val="0"/>
              <w:kinsoku/>
              <w:wordWrap/>
              <w:overflowPunct/>
              <w:topLinePunct w:val="0"/>
              <w:bidi w:val="0"/>
              <w:spacing w:line="580" w:lineRule="exact"/>
              <w:jc w:val="center"/>
              <w:textAlignment w:val="auto"/>
              <w:rPr>
                <w:rFonts w:hint="eastAsia" w:ascii="仿宋" w:hAnsi="仿宋" w:eastAsia="仿宋" w:cs="仿宋"/>
                <w:sz w:val="32"/>
                <w:szCs w:val="32"/>
              </w:rPr>
            </w:pPr>
            <w:r>
              <w:rPr>
                <w:rFonts w:hint="eastAsia" w:ascii="仿宋" w:hAnsi="仿宋" w:eastAsia="仿宋" w:cs="仿宋"/>
                <w:sz w:val="32"/>
                <w:szCs w:val="32"/>
                <w:lang w:eastAsia="zh-CN"/>
              </w:rPr>
              <w:t>于家乡</w:t>
            </w:r>
            <w:r>
              <w:rPr>
                <w:rFonts w:hint="eastAsia" w:ascii="仿宋" w:hAnsi="仿宋" w:eastAsia="仿宋" w:cs="仿宋"/>
                <w:sz w:val="32"/>
                <w:szCs w:val="32"/>
                <w:lang w:val="en-US" w:eastAsia="zh-CN"/>
              </w:rPr>
              <w:t>人民</w:t>
            </w:r>
            <w:r>
              <w:rPr>
                <w:rFonts w:hint="eastAsia" w:ascii="仿宋" w:hAnsi="仿宋" w:eastAsia="仿宋" w:cs="仿宋"/>
                <w:sz w:val="32"/>
                <w:szCs w:val="32"/>
              </w:rPr>
              <w:t>政府</w:t>
            </w:r>
          </w:p>
        </w:tc>
        <w:tc>
          <w:tcPr>
            <w:tcW w:w="2646" w:type="dxa"/>
          </w:tcPr>
          <w:p w14:paraId="469D92E4">
            <w:pPr>
              <w:keepNext w:val="0"/>
              <w:keepLines w:val="0"/>
              <w:pageBreakBefore w:val="0"/>
              <w:widowControl w:val="0"/>
              <w:kinsoku/>
              <w:wordWrap/>
              <w:overflowPunct/>
              <w:topLinePunct w:val="0"/>
              <w:bidi w:val="0"/>
              <w:spacing w:line="580" w:lineRule="exact"/>
              <w:jc w:val="center"/>
              <w:textAlignment w:val="auto"/>
              <w:rPr>
                <w:rFonts w:hint="eastAsia" w:ascii="仿宋" w:hAnsi="仿宋" w:eastAsia="仿宋" w:cs="仿宋"/>
                <w:sz w:val="32"/>
                <w:szCs w:val="32"/>
              </w:rPr>
            </w:pPr>
            <w:r>
              <w:rPr>
                <w:rFonts w:hint="eastAsia" w:ascii="仿宋" w:hAnsi="仿宋" w:eastAsia="仿宋" w:cs="仿宋"/>
                <w:sz w:val="32"/>
                <w:szCs w:val="32"/>
              </w:rPr>
              <w:t>党委书记</w:t>
            </w:r>
          </w:p>
        </w:tc>
      </w:tr>
      <w:tr w14:paraId="60C07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00" w:type="dxa"/>
          </w:tcPr>
          <w:p w14:paraId="786A1971">
            <w:pPr>
              <w:keepNext w:val="0"/>
              <w:keepLines w:val="0"/>
              <w:pageBreakBefore w:val="0"/>
              <w:widowControl w:val="0"/>
              <w:kinsoku/>
              <w:wordWrap/>
              <w:overflowPunct/>
              <w:topLinePunct w:val="0"/>
              <w:bidi w:val="0"/>
              <w:spacing w:line="580" w:lineRule="exact"/>
              <w:jc w:val="center"/>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冷长志</w:t>
            </w:r>
          </w:p>
        </w:tc>
        <w:tc>
          <w:tcPr>
            <w:tcW w:w="2877" w:type="dxa"/>
          </w:tcPr>
          <w:p w14:paraId="2837BB5E">
            <w:pPr>
              <w:keepNext w:val="0"/>
              <w:keepLines w:val="0"/>
              <w:pageBreakBefore w:val="0"/>
              <w:widowControl w:val="0"/>
              <w:kinsoku/>
              <w:wordWrap/>
              <w:overflowPunct/>
              <w:topLinePunct w:val="0"/>
              <w:bidi w:val="0"/>
              <w:spacing w:line="580" w:lineRule="exact"/>
              <w:jc w:val="center"/>
              <w:textAlignment w:val="auto"/>
              <w:rPr>
                <w:rFonts w:hint="eastAsia" w:ascii="仿宋" w:hAnsi="仿宋" w:eastAsia="仿宋" w:cs="仿宋"/>
                <w:sz w:val="32"/>
                <w:szCs w:val="32"/>
              </w:rPr>
            </w:pPr>
            <w:r>
              <w:rPr>
                <w:rFonts w:hint="eastAsia" w:ascii="仿宋" w:hAnsi="仿宋" w:eastAsia="仿宋" w:cs="仿宋"/>
                <w:sz w:val="32"/>
                <w:szCs w:val="32"/>
                <w:lang w:eastAsia="zh-CN"/>
              </w:rPr>
              <w:t>于家乡</w:t>
            </w:r>
            <w:r>
              <w:rPr>
                <w:rFonts w:hint="eastAsia" w:ascii="仿宋" w:hAnsi="仿宋" w:eastAsia="仿宋" w:cs="仿宋"/>
                <w:sz w:val="32"/>
                <w:szCs w:val="32"/>
                <w:lang w:val="en-US" w:eastAsia="zh-CN"/>
              </w:rPr>
              <w:t>人民</w:t>
            </w:r>
            <w:r>
              <w:rPr>
                <w:rFonts w:hint="eastAsia" w:ascii="仿宋" w:hAnsi="仿宋" w:eastAsia="仿宋" w:cs="仿宋"/>
                <w:sz w:val="32"/>
                <w:szCs w:val="32"/>
              </w:rPr>
              <w:t>政府</w:t>
            </w:r>
          </w:p>
        </w:tc>
        <w:tc>
          <w:tcPr>
            <w:tcW w:w="2646" w:type="dxa"/>
          </w:tcPr>
          <w:p w14:paraId="3EFAB3D2">
            <w:pPr>
              <w:keepNext w:val="0"/>
              <w:keepLines w:val="0"/>
              <w:pageBreakBefore w:val="0"/>
              <w:widowControl w:val="0"/>
              <w:kinsoku/>
              <w:wordWrap/>
              <w:overflowPunct/>
              <w:topLinePunct w:val="0"/>
              <w:bidi w:val="0"/>
              <w:spacing w:line="580" w:lineRule="exact"/>
              <w:jc w:val="center"/>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乡</w:t>
            </w:r>
            <w:r>
              <w:rPr>
                <w:rFonts w:hint="eastAsia" w:ascii="仿宋" w:hAnsi="仿宋" w:eastAsia="仿宋" w:cs="仿宋"/>
                <w:sz w:val="32"/>
                <w:szCs w:val="32"/>
              </w:rPr>
              <w:t>长</w:t>
            </w:r>
            <w:r>
              <w:rPr>
                <w:rFonts w:hint="eastAsia" w:ascii="仿宋" w:hAnsi="仿宋" w:eastAsia="仿宋" w:cs="仿宋"/>
                <w:sz w:val="32"/>
                <w:szCs w:val="32"/>
                <w:lang w:eastAsia="zh-CN"/>
              </w:rPr>
              <w:t>、</w:t>
            </w:r>
            <w:r>
              <w:rPr>
                <w:rFonts w:hint="eastAsia" w:ascii="仿宋" w:hAnsi="仿宋" w:eastAsia="仿宋" w:cs="仿宋"/>
                <w:sz w:val="32"/>
                <w:szCs w:val="32"/>
              </w:rPr>
              <w:t>党委</w:t>
            </w:r>
            <w:r>
              <w:rPr>
                <w:rFonts w:hint="eastAsia" w:ascii="仿宋" w:hAnsi="仿宋" w:eastAsia="仿宋" w:cs="仿宋"/>
                <w:sz w:val="32"/>
                <w:szCs w:val="32"/>
                <w:lang w:eastAsia="zh-CN"/>
              </w:rPr>
              <w:t>副</w:t>
            </w:r>
            <w:r>
              <w:rPr>
                <w:rFonts w:hint="eastAsia" w:ascii="仿宋" w:hAnsi="仿宋" w:eastAsia="仿宋" w:cs="仿宋"/>
                <w:sz w:val="32"/>
                <w:szCs w:val="32"/>
              </w:rPr>
              <w:t>书记</w:t>
            </w:r>
          </w:p>
        </w:tc>
      </w:tr>
      <w:tr w14:paraId="2C781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00" w:type="dxa"/>
          </w:tcPr>
          <w:p w14:paraId="608E6C2F">
            <w:pPr>
              <w:keepNext w:val="0"/>
              <w:keepLines w:val="0"/>
              <w:pageBreakBefore w:val="0"/>
              <w:widowControl w:val="0"/>
              <w:kinsoku/>
              <w:wordWrap/>
              <w:overflowPunct/>
              <w:topLinePunct w:val="0"/>
              <w:bidi w:val="0"/>
              <w:spacing w:line="580" w:lineRule="exact"/>
              <w:jc w:val="center"/>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高晨芳</w:t>
            </w:r>
          </w:p>
        </w:tc>
        <w:tc>
          <w:tcPr>
            <w:tcW w:w="2877" w:type="dxa"/>
          </w:tcPr>
          <w:p w14:paraId="596FBA53">
            <w:pPr>
              <w:keepNext w:val="0"/>
              <w:keepLines w:val="0"/>
              <w:pageBreakBefore w:val="0"/>
              <w:widowControl w:val="0"/>
              <w:kinsoku/>
              <w:wordWrap/>
              <w:overflowPunct/>
              <w:topLinePunct w:val="0"/>
              <w:bidi w:val="0"/>
              <w:spacing w:line="580" w:lineRule="exact"/>
              <w:jc w:val="center"/>
              <w:textAlignment w:val="auto"/>
              <w:rPr>
                <w:rFonts w:hint="eastAsia" w:ascii="仿宋" w:hAnsi="仿宋" w:eastAsia="仿宋" w:cs="仿宋"/>
                <w:sz w:val="32"/>
                <w:szCs w:val="32"/>
              </w:rPr>
            </w:pPr>
            <w:r>
              <w:rPr>
                <w:rFonts w:hint="eastAsia" w:ascii="仿宋" w:hAnsi="仿宋" w:eastAsia="仿宋" w:cs="仿宋"/>
                <w:sz w:val="32"/>
                <w:szCs w:val="32"/>
                <w:lang w:eastAsia="zh-CN"/>
              </w:rPr>
              <w:t>于家乡</w:t>
            </w:r>
            <w:r>
              <w:rPr>
                <w:rFonts w:hint="eastAsia" w:ascii="仿宋" w:hAnsi="仿宋" w:eastAsia="仿宋" w:cs="仿宋"/>
                <w:sz w:val="32"/>
                <w:szCs w:val="32"/>
                <w:lang w:val="en-US" w:eastAsia="zh-CN"/>
              </w:rPr>
              <w:t>人民</w:t>
            </w:r>
            <w:r>
              <w:rPr>
                <w:rFonts w:hint="eastAsia" w:ascii="仿宋" w:hAnsi="仿宋" w:eastAsia="仿宋" w:cs="仿宋"/>
                <w:sz w:val="32"/>
                <w:szCs w:val="32"/>
              </w:rPr>
              <w:t>政府</w:t>
            </w:r>
          </w:p>
        </w:tc>
        <w:tc>
          <w:tcPr>
            <w:tcW w:w="2646" w:type="dxa"/>
          </w:tcPr>
          <w:p w14:paraId="5C902B9A">
            <w:pPr>
              <w:keepNext w:val="0"/>
              <w:keepLines w:val="0"/>
              <w:pageBreakBefore w:val="0"/>
              <w:widowControl w:val="0"/>
              <w:kinsoku/>
              <w:wordWrap/>
              <w:overflowPunct/>
              <w:topLinePunct w:val="0"/>
              <w:bidi w:val="0"/>
              <w:spacing w:line="580" w:lineRule="exact"/>
              <w:jc w:val="center"/>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党委副书记</w:t>
            </w:r>
          </w:p>
        </w:tc>
      </w:tr>
    </w:tbl>
    <w:p w14:paraId="5617EC78">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六、评价工作组人员名单（姓名、工作单位、职务、职称）</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2312">
    <w:panose1 w:val="02000000000000000000"/>
    <w:charset w:val="86"/>
    <w:family w:val="auto"/>
    <w:pitch w:val="default"/>
    <w:sig w:usb0="A00002BF" w:usb1="184F6CFA" w:usb2="00000012" w:usb3="00000000" w:csb0="00040001" w:csb1="00000000"/>
  </w:font>
  <w:font w:name="方正公文小标宋">
    <w:panose1 w:val="02000500000000000000"/>
    <w:charset w:val="86"/>
    <w:family w:val="auto"/>
    <w:pitch w:val="default"/>
    <w:sig w:usb0="A00002BF" w:usb1="38CF7CFA" w:usb2="00000016" w:usb3="00000000" w:csb0="00040001" w:csb1="00000000"/>
  </w:font>
  <w:font w:name="华文楷体">
    <w:altName w:val="楷体_GB2312"/>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书宋_GBK">
    <w:altName w:val="微软雅黑"/>
    <w:panose1 w:val="02000000000000000000"/>
    <w:charset w:val="86"/>
    <w:family w:val="script"/>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EDB411">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89E90B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389E90B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3E24252"/>
    <w:rsid w:val="046F331E"/>
    <w:rsid w:val="07956271"/>
    <w:rsid w:val="09721397"/>
    <w:rsid w:val="0BB63BED"/>
    <w:rsid w:val="0EB97A43"/>
    <w:rsid w:val="0EBD2122"/>
    <w:rsid w:val="0F214EAE"/>
    <w:rsid w:val="11B71E6A"/>
    <w:rsid w:val="144B521C"/>
    <w:rsid w:val="176749D5"/>
    <w:rsid w:val="1AAF0063"/>
    <w:rsid w:val="1BE140DE"/>
    <w:rsid w:val="1DEF6D8A"/>
    <w:rsid w:val="248C197D"/>
    <w:rsid w:val="252959AF"/>
    <w:rsid w:val="277A6671"/>
    <w:rsid w:val="292D35B7"/>
    <w:rsid w:val="31151E97"/>
    <w:rsid w:val="33EB6CFF"/>
    <w:rsid w:val="35A12947"/>
    <w:rsid w:val="37387040"/>
    <w:rsid w:val="3B0548E0"/>
    <w:rsid w:val="3B625C0A"/>
    <w:rsid w:val="3CEE1963"/>
    <w:rsid w:val="436B78D3"/>
    <w:rsid w:val="48B60C1B"/>
    <w:rsid w:val="49E84031"/>
    <w:rsid w:val="4C9C27FE"/>
    <w:rsid w:val="512260B4"/>
    <w:rsid w:val="52BD6ACB"/>
    <w:rsid w:val="55537534"/>
    <w:rsid w:val="561A74F1"/>
    <w:rsid w:val="597244E8"/>
    <w:rsid w:val="5A216CE6"/>
    <w:rsid w:val="5EB71C30"/>
    <w:rsid w:val="66AF0CE5"/>
    <w:rsid w:val="6AA27932"/>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Normal Indent"/>
    <w:qFormat/>
    <w:uiPriority w:val="0"/>
    <w:pPr>
      <w:widowControl w:val="0"/>
      <w:ind w:firstLine="420" w:firstLineChars="200"/>
      <w:jc w:val="both"/>
    </w:pPr>
    <w:rPr>
      <w:rFonts w:ascii="Calibri" w:hAnsi="Calibri" w:eastAsia="宋体" w:cs="黑体"/>
      <w:kern w:val="2"/>
      <w:sz w:val="21"/>
      <w:szCs w:val="22"/>
      <w:lang w:val="en-US" w:eastAsia="zh-CN"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8">
    <w:name w:val="正文-公1"/>
    <w:basedOn w:val="9"/>
    <w:next w:val="1"/>
    <w:qFormat/>
    <w:uiPriority w:val="0"/>
    <w:pPr>
      <w:ind w:firstLine="200" w:firstLineChars="200"/>
    </w:pPr>
  </w:style>
  <w:style w:type="paragraph" w:customStyle="1" w:styleId="9">
    <w:name w:val="正文 New New New New New New New New New New New New New New New New New New New New New New New New New New New New New New New New New New New New New New New New New New New New New New New New New New New New New New New New New New New New New New Ne"/>
    <w:next w:val="8"/>
    <w:qFormat/>
    <w:uiPriority w:val="0"/>
    <w:pPr>
      <w:widowControl w:val="0"/>
      <w:jc w:val="both"/>
    </w:pPr>
    <w:rPr>
      <w:rFonts w:ascii="Times New Roman" w:hAnsi="Times New Roman" w:eastAsia="宋体" w:cs="Times New Roman"/>
      <w:kern w:val="2"/>
      <w:sz w:val="21"/>
      <w:lang w:val="en-US"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2847</Words>
  <Characters>2952</Characters>
  <Lines>4</Lines>
  <Paragraphs>1</Paragraphs>
  <TotalTime>2</TotalTime>
  <ScaleCrop>false</ScaleCrop>
  <LinksUpToDate>false</LinksUpToDate>
  <CharactersWithSpaces>2967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小贾</cp:lastModifiedBy>
  <cp:lastPrinted>2024-03-06T07:40:00Z</cp:lastPrinted>
  <dcterms:modified xsi:type="dcterms:W3CDTF">2026-04-23T08:12:24Z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807859DDDB204D7484EDDFBB4E9D1D2E</vt:lpwstr>
  </property>
  <property fmtid="{D5CDD505-2E9C-101B-9397-08002B2CF9AE}" pid="4" name="KSOTemplateDocerSaveRecord">
    <vt:lpwstr>eyJoZGlkIjoiMzllZTJiZjlhN2M0ZDlmNmU0ZmI5NTQxYjA0NmZiMjIiLCJ1c2VySWQiOiIxMjcxMjQ1NDc3In0=</vt:lpwstr>
  </property>
</Properties>
</file>