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bidi w:val="0"/>
        <w:adjustRightInd w:val="0"/>
        <w:snapToGrid w:val="0"/>
        <w:spacing w:line="500" w:lineRule="exact"/>
        <w:rPr>
          <w:rFonts w:hint="eastAsia" w:ascii="黑体" w:hAnsi="黑体" w:eastAsia="黑体" w:cs="黑体"/>
          <w:sz w:val="32"/>
          <w:szCs w:val="32"/>
          <w:lang w:eastAsia="zh-CN"/>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keepNext w:val="0"/>
        <w:keepLines w:val="0"/>
        <w:pageBreakBefore w:val="0"/>
        <w:widowControl w:val="0"/>
        <w:kinsoku/>
        <w:wordWrap/>
        <w:overflowPunct/>
        <w:topLinePunct w:val="0"/>
        <w:bidi w:val="0"/>
        <w:spacing w:line="500" w:lineRule="exact"/>
        <w:jc w:val="center"/>
        <w:rPr>
          <w:rFonts w:ascii="宋体" w:hAnsi="宋体" w:cs="宋体"/>
          <w:b/>
          <w:bCs/>
          <w:sz w:val="44"/>
          <w:szCs w:val="44"/>
        </w:rPr>
      </w:pPr>
    </w:p>
    <w:p>
      <w:pPr>
        <w:keepNext w:val="0"/>
        <w:keepLines w:val="0"/>
        <w:pageBreakBefore w:val="0"/>
        <w:widowControl w:val="0"/>
        <w:kinsoku/>
        <w:wordWrap/>
        <w:overflowPunct/>
        <w:topLinePunct w:val="0"/>
        <w:bidi w:val="0"/>
        <w:spacing w:line="500" w:lineRule="exact"/>
        <w:jc w:val="center"/>
        <w:rPr>
          <w:rFonts w:hint="eastAsia" w:ascii="宋体" w:hAnsi="宋体" w:cs="宋体"/>
          <w:b/>
          <w:bCs/>
          <w:sz w:val="44"/>
          <w:szCs w:val="44"/>
          <w:highlight w:val="none"/>
          <w:lang w:eastAsia="zh-CN"/>
        </w:rPr>
      </w:pPr>
      <w:r>
        <w:rPr>
          <w:rFonts w:hint="eastAsia" w:ascii="宋体" w:hAnsi="宋体" w:cs="宋体"/>
          <w:b/>
          <w:bCs/>
          <w:sz w:val="44"/>
          <w:szCs w:val="44"/>
          <w:highlight w:val="none"/>
          <w:lang w:eastAsia="zh-CN"/>
        </w:rPr>
        <w:t>井陉县文化广电体育和旅游局</w:t>
      </w:r>
    </w:p>
    <w:p>
      <w:pPr>
        <w:keepNext w:val="0"/>
        <w:keepLines w:val="0"/>
        <w:pageBreakBefore w:val="0"/>
        <w:widowControl w:val="0"/>
        <w:kinsoku/>
        <w:wordWrap/>
        <w:overflowPunct/>
        <w:topLinePunct w:val="0"/>
        <w:bidi w:val="0"/>
        <w:spacing w:line="500" w:lineRule="exact"/>
        <w:jc w:val="center"/>
        <w:rPr>
          <w:rFonts w:ascii="宋体" w:hAnsi="宋体" w:cs="宋体"/>
          <w:b/>
          <w:bCs/>
          <w:sz w:val="44"/>
          <w:szCs w:val="44"/>
        </w:rPr>
      </w:pPr>
      <w:r>
        <w:rPr>
          <w:rFonts w:hint="eastAsia" w:ascii="宋体" w:hAnsi="宋体" w:cs="宋体"/>
          <w:b/>
          <w:bCs/>
          <w:sz w:val="44"/>
          <w:szCs w:val="44"/>
        </w:rPr>
        <w:t>部门202</w:t>
      </w:r>
      <w:r>
        <w:rPr>
          <w:rFonts w:hint="eastAsia" w:ascii="宋体" w:hAnsi="宋体" w:cs="宋体"/>
          <w:b/>
          <w:bCs/>
          <w:sz w:val="44"/>
          <w:szCs w:val="44"/>
          <w:lang w:val="en-US" w:eastAsia="zh-CN"/>
        </w:rPr>
        <w:t>6</w:t>
      </w:r>
      <w:r>
        <w:rPr>
          <w:rFonts w:hint="eastAsia" w:ascii="宋体" w:hAnsi="宋体" w:cs="宋体"/>
          <w:b/>
          <w:bCs/>
          <w:sz w:val="44"/>
          <w:szCs w:val="44"/>
        </w:rPr>
        <w:t>年度整体支出绩效自评报告</w:t>
      </w:r>
    </w:p>
    <w:p>
      <w:pPr>
        <w:keepNext w:val="0"/>
        <w:keepLines w:val="0"/>
        <w:pageBreakBefore w:val="0"/>
        <w:widowControl w:val="0"/>
        <w:kinsoku/>
        <w:wordWrap/>
        <w:overflowPunct/>
        <w:topLinePunct w:val="0"/>
        <w:bidi w:val="0"/>
        <w:spacing w:line="500" w:lineRule="exact"/>
        <w:jc w:val="center"/>
        <w:rPr>
          <w:rFonts w:ascii="华文楷体" w:eastAsia="华文楷体"/>
          <w:sz w:val="32"/>
          <w:szCs w:val="32"/>
        </w:rPr>
      </w:pPr>
    </w:p>
    <w:p>
      <w:pPr>
        <w:keepNext w:val="0"/>
        <w:keepLines w:val="0"/>
        <w:pageBreakBefore w:val="0"/>
        <w:widowControl w:val="0"/>
        <w:kinsoku/>
        <w:wordWrap/>
        <w:overflowPunct/>
        <w:topLinePunct w:val="0"/>
        <w:bidi w:val="0"/>
        <w:adjustRightInd w:val="0"/>
        <w:snapToGrid w:val="0"/>
        <w:spacing w:line="500" w:lineRule="exact"/>
        <w:ind w:left="0" w:leftChars="0" w:right="0" w:firstLine="640" w:firstLineChars="200"/>
        <w:jc w:val="both"/>
        <w:textAlignment w:val="auto"/>
        <w:outlineLvl w:val="9"/>
        <w:rPr>
          <w:rFonts w:ascii="黑体" w:hAnsi="黑体" w:eastAsia="黑体"/>
          <w:b/>
          <w:bCs/>
          <w:sz w:val="32"/>
          <w:szCs w:val="36"/>
          <w:highlight w:val="none"/>
        </w:rPr>
      </w:pPr>
      <w:r>
        <w:rPr>
          <w:rFonts w:hint="eastAsia" w:ascii="仿宋" w:hAnsi="仿宋" w:eastAsia="仿宋"/>
          <w:sz w:val="32"/>
          <w:szCs w:val="32"/>
          <w:lang w:eastAsia="zh-CN"/>
        </w:rPr>
        <w:t>为</w:t>
      </w:r>
      <w:r>
        <w:rPr>
          <w:rFonts w:hint="eastAsia" w:ascii="仿宋" w:hAnsi="仿宋" w:eastAsia="仿宋"/>
          <w:sz w:val="32"/>
          <w:szCs w:val="32"/>
        </w:rPr>
        <w:t>贯彻落实市委市政府《关于全面落实预算绩效管理的实施意见》（石发﹝2019﹞8号）文件精神，遵循“科学性、规范性、客观性和公正性”的原则，对</w:t>
      </w:r>
      <w:r>
        <w:rPr>
          <w:rFonts w:hint="eastAsia" w:ascii="仿宋" w:hAnsi="仿宋" w:eastAsia="仿宋"/>
          <w:sz w:val="32"/>
          <w:szCs w:val="32"/>
          <w:lang w:eastAsia="zh-CN"/>
        </w:rPr>
        <w:t>井陉县文化广电体育和旅游局</w:t>
      </w:r>
      <w:r>
        <w:rPr>
          <w:rFonts w:hint="eastAsia" w:ascii="仿宋" w:hAnsi="仿宋" w:eastAsia="仿宋"/>
          <w:sz w:val="32"/>
          <w:szCs w:val="32"/>
        </w:rPr>
        <w:t>部门202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pPr>
        <w:keepNext w:val="0"/>
        <w:keepLines w:val="0"/>
        <w:pageBreakBefore w:val="0"/>
        <w:widowControl w:val="0"/>
        <w:kinsoku/>
        <w:wordWrap/>
        <w:overflowPunct/>
        <w:topLinePunct w:val="0"/>
        <w:bidi w:val="0"/>
        <w:adjustRightInd w:val="0"/>
        <w:snapToGrid w:val="0"/>
        <w:spacing w:line="500" w:lineRule="exact"/>
        <w:ind w:left="0" w:leftChars="0" w:right="0" w:firstLine="643" w:firstLineChars="200"/>
        <w:jc w:val="both"/>
        <w:textAlignment w:val="auto"/>
        <w:outlineLvl w:val="9"/>
        <w:rPr>
          <w:rFonts w:hint="eastAsia" w:ascii="仿宋" w:hAnsi="仿宋" w:eastAsia="仿宋"/>
          <w:sz w:val="32"/>
          <w:szCs w:val="32"/>
          <w:highlight w:val="none"/>
          <w:lang w:eastAsia="zh-CN"/>
        </w:rPr>
      </w:pPr>
      <w:r>
        <w:rPr>
          <w:rFonts w:hint="eastAsia" w:ascii="仿宋" w:hAnsi="仿宋" w:eastAsia="仿宋" w:cs="楷体_GB2312"/>
          <w:b/>
          <w:bCs/>
          <w:sz w:val="32"/>
          <w:szCs w:val="32"/>
          <w:highlight w:val="none"/>
        </w:rPr>
        <w:t>（一）</w:t>
      </w:r>
      <w:r>
        <w:rPr>
          <w:rFonts w:hint="eastAsia" w:ascii="仿宋" w:hAnsi="仿宋" w:eastAsia="仿宋" w:cs="楷体_GB2312"/>
          <w:b/>
          <w:bCs/>
          <w:sz w:val="32"/>
          <w:szCs w:val="32"/>
          <w:highlight w:val="none"/>
          <w:lang w:eastAsia="zh-CN"/>
        </w:rPr>
        <w:t>部门</w:t>
      </w:r>
      <w:r>
        <w:rPr>
          <w:rFonts w:hint="eastAsia" w:ascii="仿宋" w:hAnsi="仿宋" w:eastAsia="仿宋" w:cs="楷体_GB2312"/>
          <w:b/>
          <w:bCs/>
          <w:sz w:val="32"/>
          <w:szCs w:val="32"/>
          <w:highlight w:val="none"/>
        </w:rPr>
        <w:t>概况</w:t>
      </w:r>
    </w:p>
    <w:p>
      <w:pPr>
        <w:keepNext w:val="0"/>
        <w:keepLines w:val="0"/>
        <w:pageBreakBefore w:val="0"/>
        <w:widowControl w:val="0"/>
        <w:kinsoku/>
        <w:wordWrap/>
        <w:overflowPunct/>
        <w:topLinePunct w:val="0"/>
        <w:bidi w:val="0"/>
        <w:adjustRightInd w:val="0"/>
        <w:snapToGrid w:val="0"/>
        <w:spacing w:line="500" w:lineRule="exact"/>
        <w:ind w:left="0" w:leftChars="0" w:right="0" w:firstLine="640" w:firstLineChars="200"/>
        <w:jc w:val="both"/>
        <w:textAlignment w:val="auto"/>
        <w:outlineLvl w:val="9"/>
        <w:rPr>
          <w:rFonts w:hint="default" w:ascii="仿宋" w:hAnsi="仿宋" w:eastAsia="仿宋"/>
          <w:sz w:val="32"/>
          <w:szCs w:val="32"/>
          <w:highlight w:val="none"/>
          <w:lang w:val="en-US" w:eastAsia="zh-CN"/>
        </w:rPr>
      </w:pPr>
      <w:r>
        <w:rPr>
          <w:rFonts w:hint="eastAsia" w:ascii="仿宋" w:hAnsi="仿宋" w:eastAsia="仿宋"/>
          <w:sz w:val="32"/>
          <w:szCs w:val="32"/>
          <w:highlight w:val="none"/>
          <w:lang w:val="en-US" w:eastAsia="zh-CN"/>
        </w:rPr>
        <w:t>1、部门职能</w:t>
      </w:r>
    </w:p>
    <w:p>
      <w:pPr>
        <w:keepNext w:val="0"/>
        <w:keepLines w:val="0"/>
        <w:pageBreakBefore w:val="0"/>
        <w:widowControl w:val="0"/>
        <w:numPr>
          <w:ilvl w:val="0"/>
          <w:numId w:val="1"/>
        </w:numPr>
        <w:kinsoku/>
        <w:wordWrap/>
        <w:overflowPunct/>
        <w:topLinePunct w:val="0"/>
        <w:bidi w:val="0"/>
        <w:spacing w:line="500" w:lineRule="exact"/>
        <w:ind w:left="-10" w:leftChars="0" w:firstLine="640" w:firstLineChars="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贯彻执行党和国家有关文化、体育、广播电视、网络视听节目服务管理和旅游工作等方面的方针政策和法律法规；指导、协调和服务文化、体育、广播电视、旅游的发展。</w:t>
      </w:r>
    </w:p>
    <w:p>
      <w:pPr>
        <w:keepNext w:val="0"/>
        <w:keepLines w:val="0"/>
        <w:pageBreakBefore w:val="0"/>
        <w:widowControl w:val="0"/>
        <w:numPr>
          <w:ilvl w:val="0"/>
          <w:numId w:val="0"/>
        </w:numPr>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（二）负责全县公共文化、体育和旅游事业发展。推动全县文化、体育、广播电视和旅游公共服务体系建设，深入实施文化惠民工程，统筹推进全县文化、体育、广播电视和旅游服务标准化、均等化。</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（三）拟订全县文化事业、文化产业、广播电视领域、体育和旅游业发展规划并组织实施，推进文化、广播电视、体育和旅游融合发展，推进文化、广播电视、体育和旅游体制机制改革。</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四）管理和组织全县性重大文化、体育和旅游活动。组织实施全县广播电视公共服务重大公益工程和公益活动。监管全县重点文化、体育、广电和旅游设施建设，组织井陉文化、体育和旅游整体形象推广，促进文化产业、体育产业和旅游产业对外合作和推广；负责组织推进全域旅游工作。</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（五）统筹规划全县文化产业、体育产业、广播电视产业和旅游产业。组织实施文化和旅游资源普查、挖掘、保护和开发利用工作，促进文化产业、体育产业、广播电视产业和旅游产业发展。</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六）推进全县文化、体育、广播电视和旅游科技创新发展，推进文化、体育和旅游行业信息化、标准化建设。负责对全县广播电视节目传输覆盖、监听、监看、监测的监管，会同有关部门做好对网络视听节目和公共视听载体播放的视听节目的监管工作，监管全县广播电视广告播放。推进全县应急广播体系建设，监管协调调度全县广播电视安全播出。</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（七）指导、管理全县文艺事业。指导艺术创作生产，推动全县各门类艺术、各艺术品种发展。指导全县电视剧行业发展和电视剧创作生产。</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（八）负责全县非物质文化遗产保护，推动非物质文化遗产的保护、传承、普及、弘扬和振兴。</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（九）负责文化、文物、广播电视、旅游等市场综合执法；负责督查督办全县性、跨区域性大案要案，维护市场秩序。</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（十）指导全县文化、广播电视和旅游市场发展。对文化、广播电视和旅游市场经营进行行业监管，推进全县文化、广播电视和旅游行业信用体系建设，依法规范文化、广播电视和旅游市场。</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（十一）负责对全县各类广播电视机构进行业务指导和监管，会同有关部门对全县网络视听节目服务机构进行管理，推进广播电视与新媒体新技术新业态融合发展，推进广电网与电信网、互联网三网融合。</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（十二）负责全县文化、广播电视和旅游对外及对港澳台交流、合作和宣传、推广工作，组织大型文化、广播电视和旅游对外及对港澳台交流活动。根据授权开展对外体育合作与交流。</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（十三）负责统筹规划全县群众体育发展，推行全民健身计划，开展群众性体育活动，实施国家体育锻炼标准，开展国民体质监测，负责公共体育设施建设及监督管理工作。</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四）负责统筹规划全县竞技体育发展，确定全县青少年体育项目的设置和布局，指导全县青少年业余训练机构开展业余训练，建设县级青少年竞赛体系，组织协调由县级承办的重要竞技体育赛事，组织开展全县青少年反兴奋剂工作。</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（十五）拟订全县体育产业发展规划，培育扶持体育市场，规范体育服务管理，推动体育标准化建设。</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（十六）负责体育领域的科技研究及应用。</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（十七）指导体育社团工作。</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（十八）负责文化遗产的管理和保护，指导和管理文物、博物馆事业，组织指导文物保护抢救、考古发掘和开发利用工作。</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（十九）负责全县文化、广播电视、体育系统和旅游行业安全综合协调和监督管理工作，负责全县文化、广播电视、体育系统和旅游行业突发应急事件的处理工作。</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（二十）完成县委、县政府交办的其他任务。</w:t>
      </w:r>
    </w:p>
    <w:p>
      <w:pPr>
        <w:keepNext w:val="0"/>
        <w:keepLines w:val="0"/>
        <w:pageBreakBefore w:val="0"/>
        <w:widowControl w:val="0"/>
        <w:kinsoku/>
        <w:wordWrap/>
        <w:overflowPunct/>
        <w:topLinePunct w:val="0"/>
        <w:bidi w:val="0"/>
        <w:spacing w:line="500" w:lineRule="exact"/>
        <w:ind w:left="0" w:leftChars="0" w:firstLine="640" w:firstLineChars="200"/>
      </w:pPr>
      <w:r>
        <w:rPr>
          <w:rFonts w:hint="eastAsia" w:ascii="仿宋" w:hAnsi="仿宋" w:eastAsia="仿宋"/>
          <w:sz w:val="32"/>
          <w:szCs w:val="32"/>
          <w:highlight w:val="none"/>
          <w:lang w:val="en-US" w:eastAsia="zh-CN"/>
        </w:rPr>
        <w:t>2、机构设置情况</w:t>
      </w:r>
    </w:p>
    <w:tbl>
      <w:tblPr>
        <w:tblStyle w:val="8"/>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987"/>
        <w:gridCol w:w="1290"/>
        <w:gridCol w:w="1305"/>
        <w:gridCol w:w="32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987" w:type="dxa"/>
            <w:vAlign w:val="center"/>
          </w:tcPr>
          <w:p>
            <w:pPr>
              <w:pStyle w:val="11"/>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单位名称</w:t>
            </w:r>
          </w:p>
        </w:tc>
        <w:tc>
          <w:tcPr>
            <w:tcW w:w="1290" w:type="dxa"/>
            <w:vAlign w:val="center"/>
          </w:tcPr>
          <w:p>
            <w:pPr>
              <w:pStyle w:val="11"/>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单位性质</w:t>
            </w:r>
          </w:p>
        </w:tc>
        <w:tc>
          <w:tcPr>
            <w:tcW w:w="1305" w:type="dxa"/>
            <w:vAlign w:val="center"/>
          </w:tcPr>
          <w:p>
            <w:pPr>
              <w:pStyle w:val="11"/>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单位规格</w:t>
            </w:r>
          </w:p>
        </w:tc>
        <w:tc>
          <w:tcPr>
            <w:tcW w:w="3274" w:type="dxa"/>
            <w:vAlign w:val="center"/>
          </w:tcPr>
          <w:p>
            <w:pPr>
              <w:pStyle w:val="11"/>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87" w:type="dxa"/>
            <w:vAlign w:val="center"/>
          </w:tcPr>
          <w:p>
            <w:pPr>
              <w:pStyle w:val="12"/>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井陉县文化广电体育和旅游局本级</w:t>
            </w:r>
          </w:p>
        </w:tc>
        <w:tc>
          <w:tcPr>
            <w:tcW w:w="1290"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行政</w:t>
            </w:r>
          </w:p>
        </w:tc>
        <w:tc>
          <w:tcPr>
            <w:tcW w:w="1305"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正科级</w:t>
            </w:r>
          </w:p>
        </w:tc>
        <w:tc>
          <w:tcPr>
            <w:tcW w:w="3274"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87" w:type="dxa"/>
            <w:vAlign w:val="center"/>
          </w:tcPr>
          <w:p>
            <w:pPr>
              <w:pStyle w:val="12"/>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井陉县文化馆</w:t>
            </w:r>
          </w:p>
        </w:tc>
        <w:tc>
          <w:tcPr>
            <w:tcW w:w="1290"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事业</w:t>
            </w:r>
          </w:p>
        </w:tc>
        <w:tc>
          <w:tcPr>
            <w:tcW w:w="1305"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副科级</w:t>
            </w:r>
          </w:p>
        </w:tc>
        <w:tc>
          <w:tcPr>
            <w:tcW w:w="3274"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87" w:type="dxa"/>
            <w:vAlign w:val="center"/>
          </w:tcPr>
          <w:p>
            <w:pPr>
              <w:pStyle w:val="12"/>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井陉县图书馆</w:t>
            </w:r>
          </w:p>
        </w:tc>
        <w:tc>
          <w:tcPr>
            <w:tcW w:w="1290"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事业</w:t>
            </w:r>
          </w:p>
        </w:tc>
        <w:tc>
          <w:tcPr>
            <w:tcW w:w="1305"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副科级</w:t>
            </w:r>
          </w:p>
        </w:tc>
        <w:tc>
          <w:tcPr>
            <w:tcW w:w="3274"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87" w:type="dxa"/>
            <w:vAlign w:val="center"/>
          </w:tcPr>
          <w:p>
            <w:pPr>
              <w:pStyle w:val="12"/>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井陉县体育场</w:t>
            </w:r>
          </w:p>
        </w:tc>
        <w:tc>
          <w:tcPr>
            <w:tcW w:w="1290"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事业</w:t>
            </w:r>
          </w:p>
        </w:tc>
        <w:tc>
          <w:tcPr>
            <w:tcW w:w="1305"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股级</w:t>
            </w:r>
          </w:p>
        </w:tc>
        <w:tc>
          <w:tcPr>
            <w:tcW w:w="3274"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财政性资金定额或定项补助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87" w:type="dxa"/>
            <w:vAlign w:val="center"/>
          </w:tcPr>
          <w:p>
            <w:pPr>
              <w:pStyle w:val="12"/>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井陉县文化市场行政执法队</w:t>
            </w:r>
          </w:p>
        </w:tc>
        <w:tc>
          <w:tcPr>
            <w:tcW w:w="1290"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事业</w:t>
            </w:r>
          </w:p>
        </w:tc>
        <w:tc>
          <w:tcPr>
            <w:tcW w:w="1305"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副科级</w:t>
            </w:r>
          </w:p>
        </w:tc>
        <w:tc>
          <w:tcPr>
            <w:tcW w:w="3274"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987" w:type="dxa"/>
            <w:vAlign w:val="center"/>
          </w:tcPr>
          <w:p>
            <w:pPr>
              <w:pStyle w:val="12"/>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井陉县文物保护管理所</w:t>
            </w:r>
          </w:p>
        </w:tc>
        <w:tc>
          <w:tcPr>
            <w:tcW w:w="1290"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事业</w:t>
            </w:r>
          </w:p>
        </w:tc>
        <w:tc>
          <w:tcPr>
            <w:tcW w:w="1305"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股级</w:t>
            </w:r>
          </w:p>
        </w:tc>
        <w:tc>
          <w:tcPr>
            <w:tcW w:w="3274" w:type="dxa"/>
            <w:vAlign w:val="center"/>
          </w:tcPr>
          <w:p>
            <w:pPr>
              <w:pStyle w:val="13"/>
              <w:keepNext w:val="0"/>
              <w:keepLines w:val="0"/>
              <w:pageBreakBefore w:val="0"/>
              <w:widowControl w:val="0"/>
              <w:kinsoku/>
              <w:wordWrap/>
              <w:overflowPunct/>
              <w:topLinePunct w:val="0"/>
              <w:bidi w:val="0"/>
              <w:spacing w:line="500" w:lineRule="exact"/>
              <w:rPr>
                <w:rFonts w:hint="eastAsia" w:ascii="仿宋" w:hAnsi="仿宋" w:eastAsia="仿宋" w:cs="黑体"/>
                <w:b w:val="0"/>
                <w:kern w:val="2"/>
                <w:sz w:val="24"/>
                <w:szCs w:val="24"/>
                <w:highlight w:val="none"/>
                <w:lang w:val="en-US" w:eastAsia="zh-CN" w:bidi="ar-SA"/>
              </w:rPr>
            </w:pPr>
            <w:r>
              <w:rPr>
                <w:rFonts w:hint="eastAsia" w:ascii="仿宋" w:hAnsi="仿宋" w:eastAsia="仿宋" w:cs="黑体"/>
                <w:b w:val="0"/>
                <w:kern w:val="2"/>
                <w:sz w:val="24"/>
                <w:szCs w:val="24"/>
                <w:highlight w:val="none"/>
                <w:lang w:val="en-US" w:eastAsia="zh-CN" w:bidi="ar-SA"/>
              </w:rPr>
              <w:t>财政性资金定额或定项补助</w:t>
            </w:r>
          </w:p>
        </w:tc>
      </w:tr>
    </w:tbl>
    <w:p>
      <w:pPr>
        <w:keepNext w:val="0"/>
        <w:keepLines w:val="0"/>
        <w:pageBreakBefore w:val="0"/>
        <w:widowControl w:val="0"/>
        <w:kinsoku/>
        <w:wordWrap/>
        <w:overflowPunct/>
        <w:topLinePunct w:val="0"/>
        <w:bidi w:val="0"/>
        <w:adjustRightInd w:val="0"/>
        <w:snapToGrid w:val="0"/>
        <w:spacing w:line="500" w:lineRule="exact"/>
        <w:ind w:left="0" w:leftChars="0" w:right="0" w:firstLine="640" w:firstLineChars="200"/>
        <w:jc w:val="both"/>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3、资产情况</w:t>
      </w:r>
    </w:p>
    <w:p>
      <w:pPr>
        <w:keepNext w:val="0"/>
        <w:keepLines w:val="0"/>
        <w:pageBreakBefore w:val="0"/>
        <w:widowControl w:val="0"/>
        <w:kinsoku/>
        <w:wordWrap/>
        <w:overflowPunct/>
        <w:topLinePunct w:val="0"/>
        <w:bidi w:val="0"/>
        <w:adjustRightInd w:val="0"/>
        <w:snapToGrid w:val="0"/>
        <w:spacing w:line="500" w:lineRule="exact"/>
        <w:ind w:left="0" w:leftChars="0" w:right="0" w:firstLine="640" w:firstLineChars="200"/>
        <w:jc w:val="both"/>
        <w:textAlignment w:val="auto"/>
        <w:outlineLvl w:val="9"/>
        <w:rPr>
          <w:rFonts w:hint="eastAsia" w:ascii="仿宋" w:hAnsi="仿宋" w:eastAsia="仿宋" w:cs="仿宋"/>
          <w:sz w:val="32"/>
          <w:szCs w:val="32"/>
          <w:highlight w:val="none"/>
          <w:lang w:eastAsia="zh-CN"/>
        </w:rPr>
      </w:pPr>
      <w:r>
        <w:rPr>
          <w:rFonts w:hint="eastAsia" w:ascii="仿宋" w:hAnsi="仿宋" w:eastAsia="仿宋"/>
          <w:sz w:val="32"/>
          <w:szCs w:val="32"/>
          <w:highlight w:val="none"/>
          <w:lang w:val="en-US" w:eastAsia="zh-CN"/>
        </w:rPr>
        <w:t>截至2025年12月31日，部门固定资产12618.02万元，无形资产0万元。</w:t>
      </w:r>
    </w:p>
    <w:p>
      <w:pPr>
        <w:keepNext w:val="0"/>
        <w:keepLines w:val="0"/>
        <w:pageBreakBefore w:val="0"/>
        <w:widowControl w:val="0"/>
        <w:numPr>
          <w:ilvl w:val="0"/>
          <w:numId w:val="2"/>
        </w:numPr>
        <w:kinsoku/>
        <w:wordWrap/>
        <w:overflowPunct/>
        <w:topLinePunct w:val="0"/>
        <w:bidi w:val="0"/>
        <w:adjustRightInd w:val="0"/>
        <w:snapToGrid w:val="0"/>
        <w:spacing w:line="500" w:lineRule="exact"/>
        <w:ind w:left="-13" w:leftChars="0" w:right="0" w:firstLine="643" w:firstLineChars="0"/>
        <w:jc w:val="both"/>
        <w:textAlignment w:val="auto"/>
        <w:outlineLvl w:val="9"/>
        <w:rPr>
          <w:rFonts w:hint="eastAsia" w:ascii="仿宋" w:hAnsi="仿宋" w:eastAsia="仿宋" w:cs="楷体_GB2312"/>
          <w:b/>
          <w:bCs/>
          <w:sz w:val="32"/>
          <w:szCs w:val="32"/>
          <w:highlight w:val="none"/>
          <w:lang w:eastAsia="zh-CN"/>
        </w:rPr>
      </w:pPr>
      <w:r>
        <w:rPr>
          <w:rFonts w:hint="eastAsia" w:ascii="仿宋" w:hAnsi="仿宋" w:eastAsia="仿宋" w:cs="楷体_GB2312"/>
          <w:b/>
          <w:bCs/>
          <w:sz w:val="32"/>
          <w:szCs w:val="32"/>
          <w:highlight w:val="none"/>
          <w:lang w:eastAsia="zh-CN"/>
        </w:rPr>
        <w:t>部门收支预决算情况</w:t>
      </w:r>
    </w:p>
    <w:p>
      <w:pPr>
        <w:keepNext w:val="0"/>
        <w:keepLines w:val="0"/>
        <w:pageBreakBefore w:val="0"/>
        <w:widowControl w:val="0"/>
        <w:kinsoku/>
        <w:wordWrap/>
        <w:overflowPunct/>
        <w:topLinePunct w:val="0"/>
        <w:bidi w:val="0"/>
        <w:adjustRightInd w:val="0"/>
        <w:snapToGrid w:val="0"/>
        <w:spacing w:line="500" w:lineRule="exact"/>
        <w:ind w:left="0" w:leftChars="0" w:right="0" w:firstLine="640" w:firstLineChars="200"/>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2025年预算收入6088.09万元，其中：一般公共预算收入5476.93万元，基金预算收入611.16万元，财政专户核拨收入0万元，其他来源收入0万元，上年结转0万元。2025年度决算总收入6088.09万元，其中财政拨款收入为5476.93万元，政府性基金收入611.16万元。</w:t>
      </w:r>
    </w:p>
    <w:p>
      <w:pPr>
        <w:pStyle w:val="2"/>
        <w:keepNext w:val="0"/>
        <w:keepLines w:val="0"/>
        <w:pageBreakBefore w:val="0"/>
        <w:widowControl w:val="0"/>
        <w:numPr>
          <w:ilvl w:val="0"/>
          <w:numId w:val="0"/>
        </w:numPr>
        <w:kinsoku/>
        <w:wordWrap/>
        <w:overflowPunct/>
        <w:topLinePunct w:val="0"/>
        <w:bidi w:val="0"/>
        <w:spacing w:line="500" w:lineRule="exact"/>
        <w:ind w:firstLine="640" w:firstLineChars="200"/>
        <w:rPr>
          <w:rFonts w:hint="eastAsia"/>
          <w:highlight w:val="none"/>
          <w:lang w:eastAsia="zh-CN"/>
        </w:rPr>
      </w:pPr>
      <w:r>
        <w:rPr>
          <w:rFonts w:hint="eastAsia" w:ascii="仿宋" w:hAnsi="仿宋" w:eastAsia="仿宋"/>
          <w:sz w:val="32"/>
          <w:szCs w:val="32"/>
          <w:highlight w:val="none"/>
          <w:lang w:val="en-US" w:eastAsia="zh-CN"/>
        </w:rPr>
        <w:t>2025年部门预算支出安排6088.09万元，决算总支出6088.09万元，按功能分类来看，文化旅游体育与传媒支出3036.74万元，社会保障和就业支出177.00万元，卫生健康支出386.66万元，农林水支出2228万元，其他支出571.16万元，住房保障支出36.53万元。</w:t>
      </w:r>
    </w:p>
    <w:p>
      <w:pPr>
        <w:keepNext w:val="0"/>
        <w:keepLines w:val="0"/>
        <w:pageBreakBefore w:val="0"/>
        <w:widowControl w:val="0"/>
        <w:kinsoku/>
        <w:wordWrap/>
        <w:overflowPunct/>
        <w:topLinePunct w:val="0"/>
        <w:bidi w:val="0"/>
        <w:adjustRightInd w:val="0"/>
        <w:snapToGrid w:val="0"/>
        <w:spacing w:line="500" w:lineRule="exact"/>
        <w:ind w:left="0" w:leftChars="0" w:right="0" w:firstLine="643" w:firstLineChars="200"/>
        <w:jc w:val="both"/>
        <w:textAlignment w:val="auto"/>
        <w:outlineLvl w:val="9"/>
        <w:rPr>
          <w:rFonts w:hint="eastAsia" w:ascii="仿宋" w:hAnsi="仿宋" w:eastAsia="仿宋" w:cs="楷体_GB2312"/>
          <w:b/>
          <w:bCs/>
          <w:sz w:val="32"/>
          <w:szCs w:val="32"/>
          <w:highlight w:val="none"/>
          <w:lang w:eastAsia="zh-CN"/>
        </w:rPr>
      </w:pPr>
      <w:r>
        <w:rPr>
          <w:rFonts w:hint="eastAsia" w:ascii="仿宋" w:hAnsi="仿宋" w:eastAsia="仿宋" w:cs="楷体_GB2312"/>
          <w:b/>
          <w:bCs/>
          <w:sz w:val="32"/>
          <w:szCs w:val="32"/>
          <w:highlight w:val="none"/>
          <w:lang w:eastAsia="zh-CN"/>
        </w:rPr>
        <w:t>（三）部门整体支出绩效目标、指标</w:t>
      </w:r>
    </w:p>
    <w:p>
      <w:pPr>
        <w:keepNext w:val="0"/>
        <w:keepLines w:val="0"/>
        <w:pageBreakBefore w:val="0"/>
        <w:widowControl w:val="0"/>
        <w:kinsoku/>
        <w:wordWrap/>
        <w:overflowPunct/>
        <w:topLinePunct w:val="0"/>
        <w:bidi w:val="0"/>
        <w:spacing w:line="500" w:lineRule="exact"/>
        <w:ind w:left="0" w:leftChars="0" w:firstLine="640" w:firstLineChars="200"/>
        <w:rPr>
          <w:rFonts w:hint="eastAsia" w:ascii="仿宋" w:hAnsi="仿宋" w:eastAsia="仿宋"/>
          <w:sz w:val="32"/>
          <w:szCs w:val="32"/>
          <w:highlight w:val="none"/>
          <w:lang w:val="en-US" w:eastAsia="zh-CN"/>
        </w:rPr>
      </w:pPr>
      <w:r>
        <w:rPr>
          <w:rFonts w:hint="eastAsia" w:ascii="仿宋_GB2312" w:hAnsi="仿宋_GB2312" w:eastAsia="仿宋_GB2312" w:cs="仿宋_GB2312"/>
          <w:sz w:val="32"/>
          <w:szCs w:val="32"/>
          <w:highlight w:val="none"/>
        </w:rPr>
        <w:t>贯彻执行党和国家有关文化、体育、广播电视、网络视听节目服务管理和旅游工作等方面的方针政策和法律法规；指导、协调和服务文化、体育、广播电视、旅游的发展。负责全县公共文化、体育和旅游事业发展。推动全县文化、体育、广播电视和旅游公共服务体系建设，深入实施文化惠民工程，统筹推进全县文化、体育、广播电视和旅游服务标准化、均等化。拟订全县文化事业、文化产业、广播电视领域、体育和旅游业发展规划并组织实施，推进文化、广播电视、体育和旅游融合发展，推进文化、广播电视、体育和旅游体制机制改革。管理和组织全县性重大文化、体育和旅游活动。组织实施全县广播电视公共服务重大公益工程和公益活动。监管全县重点文化、体育、广电和旅游设施建设，组织井陉文化、体育和旅游整体形象推广，促进文化产业、体育产业和旅游产业对外合作和推广；负责组织推进全域旅游工作。统筹规划全县文化产业、体育产业、广播电视产业和旅游产业。组织实施文化和旅游资源普查、挖掘、保护和开发利用工作，促进文化产业、体育产业、广播电视产业和旅游产业发展。推进全县文化、体育、广播电视和旅游科技创新发展，推进文化、体育和旅游行业信息化、标准化建设。指导、管理全县文艺事业。指导艺术创作生产，推动全县各门类艺术、各艺术品种发展。负责全县非物质文化遗产保护，推动非物质文化遗产的保护、传承、普及、弘扬和振兴。负责文化、文物、广播电视、旅游等市场综合执法；负责督查督办全县性、跨区域性大案要案，维护市场秩序。指导全县文化、广播电视和旅游市场发展。对文化、广播电视和旅游市场经营进行行业监管，推进全县文化、广播电视和旅游行业信用体系建设，依法规范文化、广播电视和旅游市场。负责统筹规划全县群众体育发展，推行全民健身计划，开展群众性体育活动，实施国家体育锻炼标准，开展国民体质监测，负责公共体育设施建设及监督管理工作。负责统筹规划全县竞技体育发展，确定全县青少年体育项目的设置和布局，指导全县青少年业余训练机构开展业余训练，建设县级青少年竞赛体系，组织协调由县级承办的重要竞技体育赛事，组织开展全县青少年反兴奋剂工作。指导体育社团工作。负责文化遗产的管理和保护，指导和管理文物、博物馆事业，组织指导文物保护抢救、考古发掘和开发利用工作。</w:t>
      </w:r>
    </w:p>
    <w:p>
      <w:pPr>
        <w:keepNext w:val="0"/>
        <w:keepLines w:val="0"/>
        <w:pageBreakBefore w:val="0"/>
        <w:widowControl w:val="0"/>
        <w:kinsoku/>
        <w:wordWrap/>
        <w:overflowPunct/>
        <w:topLinePunct w:val="0"/>
        <w:bidi w:val="0"/>
        <w:adjustRightInd w:val="0"/>
        <w:snapToGrid w:val="0"/>
        <w:spacing w:line="500" w:lineRule="exact"/>
        <w:ind w:left="0" w:leftChars="0" w:right="0" w:firstLine="640" w:firstLineChars="200"/>
        <w:jc w:val="both"/>
        <w:textAlignment w:val="auto"/>
        <w:outlineLvl w:val="9"/>
        <w:rPr>
          <w:rFonts w:ascii="黑体" w:hAnsi="黑体" w:eastAsia="黑体"/>
          <w:sz w:val="32"/>
          <w:szCs w:val="32"/>
          <w:highlight w:val="none"/>
        </w:rPr>
      </w:pPr>
      <w:r>
        <w:rPr>
          <w:rFonts w:hint="eastAsia" w:ascii="黑体" w:hAnsi="黑体" w:eastAsia="黑体"/>
          <w:sz w:val="32"/>
          <w:szCs w:val="32"/>
          <w:highlight w:val="none"/>
        </w:rPr>
        <w:t>二、自评工作</w:t>
      </w:r>
      <w:r>
        <w:rPr>
          <w:rFonts w:hint="eastAsia" w:ascii="黑体" w:hAnsi="黑体" w:eastAsia="黑体"/>
          <w:sz w:val="32"/>
          <w:szCs w:val="32"/>
          <w:highlight w:val="none"/>
          <w:lang w:eastAsia="zh-CN"/>
        </w:rPr>
        <w:t>开展</w:t>
      </w:r>
      <w:r>
        <w:rPr>
          <w:rFonts w:hint="eastAsia" w:ascii="黑体" w:hAnsi="黑体" w:eastAsia="黑体"/>
          <w:sz w:val="32"/>
          <w:szCs w:val="32"/>
          <w:highlight w:val="none"/>
        </w:rPr>
        <w:t>情况</w:t>
      </w:r>
    </w:p>
    <w:p>
      <w:pPr>
        <w:keepNext w:val="0"/>
        <w:keepLines w:val="0"/>
        <w:pageBreakBefore w:val="0"/>
        <w:widowControl w:val="0"/>
        <w:kinsoku/>
        <w:wordWrap/>
        <w:overflowPunct/>
        <w:topLinePunct w:val="0"/>
        <w:bidi w:val="0"/>
        <w:spacing w:line="500" w:lineRule="exact"/>
        <w:ind w:left="0" w:leftChars="0" w:right="0"/>
        <w:jc w:val="both"/>
        <w:textAlignment w:val="auto"/>
        <w:outlineLvl w:val="9"/>
        <w:rPr>
          <w:rFonts w:ascii="仿宋" w:hAnsi="仿宋" w:eastAsia="仿宋" w:cs="楷体_GB2312"/>
          <w:sz w:val="32"/>
          <w:szCs w:val="32"/>
          <w:highlight w:val="none"/>
        </w:rPr>
      </w:pPr>
      <w:r>
        <w:rPr>
          <w:rFonts w:hint="eastAsia" w:ascii="仿宋" w:hAnsi="仿宋" w:eastAsia="仿宋"/>
          <w:sz w:val="32"/>
          <w:szCs w:val="32"/>
          <w:highlight w:val="none"/>
        </w:rPr>
        <w:t xml:space="preserve">    </w:t>
      </w:r>
      <w:r>
        <w:rPr>
          <w:rFonts w:hint="eastAsia" w:ascii="仿宋" w:hAnsi="仿宋" w:eastAsia="仿宋" w:cs="楷体_GB2312"/>
          <w:b/>
          <w:bCs/>
          <w:sz w:val="32"/>
          <w:szCs w:val="32"/>
          <w:highlight w:val="none"/>
        </w:rPr>
        <w:t>（一）自评的组织工作</w:t>
      </w:r>
    </w:p>
    <w:p>
      <w:pPr>
        <w:keepNext w:val="0"/>
        <w:keepLines w:val="0"/>
        <w:pageBreakBefore w:val="0"/>
        <w:widowControl w:val="0"/>
        <w:numPr>
          <w:ilvl w:val="0"/>
          <w:numId w:val="0"/>
        </w:numPr>
        <w:kinsoku/>
        <w:wordWrap/>
        <w:overflowPunct/>
        <w:topLinePunct w:val="0"/>
        <w:bidi w:val="0"/>
        <w:snapToGrid/>
        <w:spacing w:line="50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根据县财政局《关于开展</w:t>
      </w:r>
      <w:r>
        <w:rPr>
          <w:rFonts w:hint="eastAsia" w:ascii="仿宋" w:hAnsi="仿宋" w:eastAsia="仿宋" w:cs="仿宋"/>
          <w:sz w:val="32"/>
          <w:szCs w:val="32"/>
          <w:highlight w:val="none"/>
          <w:lang w:val="en-US" w:eastAsia="zh-CN"/>
        </w:rPr>
        <w:t>2026年绩效自评工作的通知</w:t>
      </w:r>
      <w:r>
        <w:rPr>
          <w:rFonts w:hint="eastAsia" w:ascii="仿宋" w:hAnsi="仿宋" w:eastAsia="仿宋" w:cs="仿宋"/>
          <w:sz w:val="32"/>
          <w:szCs w:val="32"/>
          <w:highlight w:val="none"/>
          <w:lang w:eastAsia="zh-CN"/>
        </w:rPr>
        <w:t>》文件要求，我局迅速抽调相关业务部门的工作人员组成以赵建忠书记为组长的自评工作小组，开展我部门的项目绩效评价工作。</w:t>
      </w:r>
    </w:p>
    <w:p>
      <w:pPr>
        <w:keepNext w:val="0"/>
        <w:keepLines w:val="0"/>
        <w:pageBreakBefore w:val="0"/>
        <w:widowControl w:val="0"/>
        <w:numPr>
          <w:ilvl w:val="0"/>
          <w:numId w:val="3"/>
        </w:numPr>
        <w:kinsoku/>
        <w:wordWrap/>
        <w:overflowPunct/>
        <w:topLinePunct w:val="0"/>
        <w:bidi w:val="0"/>
        <w:spacing w:line="500" w:lineRule="exact"/>
        <w:ind w:left="642" w:leftChars="0" w:right="0" w:firstLine="0" w:firstLineChars="0"/>
        <w:jc w:val="both"/>
        <w:textAlignment w:val="auto"/>
        <w:outlineLvl w:val="9"/>
        <w:rPr>
          <w:rFonts w:hint="eastAsia" w:ascii="仿宋" w:hAnsi="仿宋" w:eastAsia="仿宋" w:cs="楷体_GB2312"/>
          <w:b/>
          <w:bCs/>
          <w:sz w:val="32"/>
          <w:szCs w:val="32"/>
          <w:highlight w:val="none"/>
        </w:rPr>
      </w:pPr>
      <w:r>
        <w:rPr>
          <w:rFonts w:hint="eastAsia" w:ascii="仿宋" w:hAnsi="仿宋" w:eastAsia="仿宋" w:cs="楷体_GB2312"/>
          <w:b/>
          <w:bCs/>
          <w:sz w:val="32"/>
          <w:szCs w:val="32"/>
          <w:highlight w:val="none"/>
        </w:rPr>
        <w:t>自评的方法和过程</w:t>
      </w:r>
    </w:p>
    <w:p>
      <w:pPr>
        <w:keepNext w:val="0"/>
        <w:keepLines w:val="0"/>
        <w:pageBreakBefore w:val="0"/>
        <w:widowControl w:val="0"/>
        <w:numPr>
          <w:ilvl w:val="0"/>
          <w:numId w:val="0"/>
        </w:numPr>
        <w:kinsoku/>
        <w:wordWrap/>
        <w:overflowPunct/>
        <w:topLinePunct w:val="0"/>
        <w:bidi w:val="0"/>
        <w:snapToGrid/>
        <w:spacing w:line="500" w:lineRule="exact"/>
        <w:ind w:firstLine="640" w:firstLineChars="200"/>
        <w:textAlignment w:val="auto"/>
        <w:rPr>
          <w:rFonts w:hint="eastAsia"/>
          <w:highlight w:val="none"/>
        </w:rPr>
      </w:pPr>
      <w:r>
        <w:rPr>
          <w:rFonts w:hint="eastAsia" w:ascii="仿宋" w:hAnsi="仿宋" w:eastAsia="仿宋" w:cs="仿宋"/>
          <w:sz w:val="32"/>
          <w:szCs w:val="32"/>
          <w:highlight w:val="none"/>
          <w:lang w:eastAsia="zh-CN"/>
        </w:rPr>
        <w:t>评价工作先由项目涉及的业务科室按照公平公正、科学规范的原则对项目进行自评，并按照评价标准和规范对各项指标进行计算和打分，形成上报项目自评表；对县级重点项目，先由业务科室自评，再由自评工作小组对业务科室上报的相关材料进行审查、复核和测评，最终形成上报项目自评表和自评报告。</w:t>
      </w:r>
    </w:p>
    <w:p>
      <w:pPr>
        <w:keepNext w:val="0"/>
        <w:keepLines w:val="0"/>
        <w:pageBreakBefore w:val="0"/>
        <w:widowControl w:val="0"/>
        <w:kinsoku/>
        <w:wordWrap/>
        <w:overflowPunct/>
        <w:topLinePunct w:val="0"/>
        <w:bidi w:val="0"/>
        <w:spacing w:line="500" w:lineRule="exact"/>
        <w:ind w:left="0" w:leftChars="0" w:right="0"/>
        <w:jc w:val="both"/>
        <w:textAlignment w:val="auto"/>
        <w:outlineLvl w:val="9"/>
        <w:rPr>
          <w:rFonts w:hint="eastAsia" w:ascii="黑体" w:hAnsi="黑体" w:eastAsia="黑体"/>
          <w:b/>
          <w:bCs/>
          <w:sz w:val="32"/>
          <w:szCs w:val="32"/>
          <w:highlight w:val="none"/>
          <w:lang w:eastAsia="zh-CN"/>
        </w:rPr>
      </w:pPr>
      <w:r>
        <w:rPr>
          <w:rFonts w:hint="eastAsia" w:ascii="仿宋" w:hAnsi="仿宋" w:eastAsia="仿宋" w:cs="楷体_GB2312"/>
          <w:b/>
          <w:bCs/>
          <w:sz w:val="32"/>
          <w:szCs w:val="32"/>
          <w:highlight w:val="none"/>
        </w:rPr>
        <w:t xml:space="preserve">    </w:t>
      </w:r>
      <w:r>
        <w:rPr>
          <w:rFonts w:hint="eastAsia" w:ascii="仿宋" w:hAnsi="仿宋" w:eastAsia="仿宋"/>
          <w:b/>
          <w:bCs/>
          <w:sz w:val="32"/>
          <w:szCs w:val="32"/>
          <w:highlight w:val="none"/>
        </w:rPr>
        <w:t xml:space="preserve"> </w:t>
      </w:r>
      <w:r>
        <w:rPr>
          <w:rFonts w:hint="eastAsia" w:ascii="黑体" w:hAnsi="黑体" w:eastAsia="黑体"/>
          <w:sz w:val="32"/>
          <w:szCs w:val="32"/>
          <w:highlight w:val="none"/>
        </w:rPr>
        <w:t>三、</w:t>
      </w:r>
      <w:r>
        <w:rPr>
          <w:rFonts w:hint="eastAsia" w:ascii="黑体" w:hAnsi="黑体" w:eastAsia="黑体"/>
          <w:sz w:val="32"/>
          <w:szCs w:val="32"/>
          <w:highlight w:val="none"/>
          <w:lang w:eastAsia="zh-CN"/>
        </w:rPr>
        <w:t>部门整体支出</w:t>
      </w:r>
      <w:r>
        <w:rPr>
          <w:rFonts w:hint="eastAsia" w:ascii="黑体" w:hAnsi="黑体" w:eastAsia="黑体"/>
          <w:sz w:val="32"/>
          <w:szCs w:val="32"/>
          <w:highlight w:val="none"/>
        </w:rPr>
        <w:t>绩效</w:t>
      </w:r>
      <w:r>
        <w:rPr>
          <w:rFonts w:hint="eastAsia" w:ascii="黑体" w:hAnsi="黑体" w:eastAsia="黑体"/>
          <w:sz w:val="32"/>
          <w:szCs w:val="32"/>
          <w:highlight w:val="none"/>
          <w:lang w:eastAsia="zh-CN"/>
        </w:rPr>
        <w:t>目标实现情况及指标分析</w:t>
      </w:r>
    </w:p>
    <w:p>
      <w:pPr>
        <w:keepNext w:val="0"/>
        <w:keepLines w:val="0"/>
        <w:pageBreakBefore w:val="0"/>
        <w:widowControl w:val="0"/>
        <w:numPr>
          <w:ilvl w:val="0"/>
          <w:numId w:val="4"/>
        </w:numPr>
        <w:kinsoku/>
        <w:wordWrap/>
        <w:overflowPunct/>
        <w:topLinePunct w:val="0"/>
        <w:bidi w:val="0"/>
        <w:spacing w:line="500" w:lineRule="exact"/>
        <w:ind w:left="0" w:leftChars="0" w:right="0" w:firstLine="643" w:firstLineChars="200"/>
        <w:jc w:val="both"/>
        <w:textAlignment w:val="auto"/>
        <w:outlineLvl w:val="9"/>
        <w:rPr>
          <w:rFonts w:hint="eastAsia" w:ascii="仿宋" w:hAnsi="仿宋" w:eastAsia="仿宋" w:cs="仿宋"/>
          <w:b/>
          <w:bCs/>
          <w:sz w:val="32"/>
          <w:szCs w:val="32"/>
          <w:highlight w:val="none"/>
        </w:rPr>
      </w:pPr>
      <w:r>
        <w:rPr>
          <w:rFonts w:hint="eastAsia" w:ascii="仿宋" w:hAnsi="仿宋" w:eastAsia="仿宋" w:cs="仿宋"/>
          <w:b/>
          <w:bCs/>
          <w:sz w:val="32"/>
          <w:szCs w:val="32"/>
          <w:highlight w:val="none"/>
          <w:lang w:eastAsia="zh-CN"/>
        </w:rPr>
        <w:t>总体绩效目标实现情况</w:t>
      </w:r>
    </w:p>
    <w:p>
      <w:pPr>
        <w:keepNext w:val="0"/>
        <w:keepLines w:val="0"/>
        <w:pageBreakBefore w:val="0"/>
        <w:widowControl w:val="0"/>
        <w:numPr>
          <w:ilvl w:val="0"/>
          <w:numId w:val="0"/>
        </w:numPr>
        <w:kinsoku/>
        <w:wordWrap/>
        <w:overflowPunct/>
        <w:topLinePunct w:val="0"/>
        <w:bidi w:val="0"/>
        <w:snapToGrid/>
        <w:spacing w:line="500" w:lineRule="exact"/>
        <w:ind w:firstLine="640" w:firstLineChars="200"/>
        <w:textAlignment w:val="auto"/>
        <w:rPr>
          <w:rFonts w:hint="eastAsia" w:ascii="仿宋" w:hAnsi="仿宋" w:eastAsia="仿宋" w:cs="仿宋"/>
          <w:sz w:val="32"/>
          <w:szCs w:val="32"/>
          <w:highlight w:val="none"/>
          <w:lang w:eastAsia="zh-CN"/>
        </w:rPr>
      </w:pPr>
      <w:r>
        <w:rPr>
          <w:rFonts w:hint="eastAsia" w:ascii="仿宋" w:hAnsi="仿宋" w:eastAsia="仿宋" w:cs="仿宋"/>
          <w:sz w:val="32"/>
          <w:szCs w:val="32"/>
          <w:highlight w:val="none"/>
          <w:lang w:eastAsia="zh-CN"/>
        </w:rPr>
        <w:t>投资3350万元，完成了</w:t>
      </w:r>
      <w:r>
        <w:rPr>
          <w:rFonts w:hint="eastAsia" w:ascii="仿宋" w:hAnsi="仿宋" w:eastAsia="仿宋" w:cs="仿宋"/>
          <w:sz w:val="32"/>
          <w:szCs w:val="32"/>
          <w:highlight w:val="none"/>
          <w:lang w:val="en-US" w:eastAsia="zh-CN"/>
        </w:rPr>
        <w:t>苍岩山核心景区改造提升</w:t>
      </w:r>
      <w:r>
        <w:rPr>
          <w:rFonts w:hint="eastAsia" w:ascii="仿宋" w:hAnsi="仿宋" w:eastAsia="仿宋" w:cs="仿宋"/>
          <w:sz w:val="32"/>
          <w:szCs w:val="32"/>
          <w:highlight w:val="none"/>
          <w:lang w:eastAsia="zh-CN"/>
        </w:rPr>
        <w:t>。投资</w:t>
      </w:r>
      <w:r>
        <w:rPr>
          <w:rFonts w:hint="eastAsia" w:ascii="仿宋" w:hAnsi="仿宋" w:eastAsia="仿宋" w:cs="仿宋"/>
          <w:sz w:val="32"/>
          <w:szCs w:val="32"/>
          <w:highlight w:val="none"/>
          <w:lang w:val="en-US" w:eastAsia="zh-CN"/>
        </w:rPr>
        <w:t>2900万元，完成了苍岩山景区景观亮化项目。投资27.53万元，在柿庄至锦山段制作安装了9块旅游交通指引牌、2座精神堡垒和1处景观小品；完成了苍岩山景区内的公主坟、玉皇顶以及于家石头村游客中心三处旅游厕所的验收。</w:t>
      </w:r>
      <w:r>
        <w:rPr>
          <w:rFonts w:hint="eastAsia" w:ascii="仿宋" w:hAnsi="仿宋" w:eastAsia="仿宋" w:cs="仿宋"/>
          <w:sz w:val="32"/>
          <w:szCs w:val="32"/>
          <w:highlight w:val="none"/>
          <w:lang w:eastAsia="zh-CN"/>
        </w:rPr>
        <w:t>投资</w:t>
      </w:r>
      <w:r>
        <w:rPr>
          <w:rFonts w:hint="eastAsia" w:ascii="仿宋" w:hAnsi="仿宋" w:eastAsia="仿宋" w:cs="仿宋"/>
          <w:sz w:val="32"/>
          <w:szCs w:val="32"/>
          <w:highlight w:val="none"/>
          <w:lang w:val="en-US" w:eastAsia="zh-CN"/>
        </w:rPr>
        <w:t>15</w:t>
      </w:r>
      <w:r>
        <w:rPr>
          <w:rFonts w:hint="eastAsia" w:ascii="仿宋" w:hAnsi="仿宋" w:eastAsia="仿宋" w:cs="仿宋"/>
          <w:sz w:val="32"/>
          <w:szCs w:val="32"/>
          <w:highlight w:val="none"/>
          <w:lang w:eastAsia="zh-CN"/>
        </w:rPr>
        <w:t>万元，实施了滴水岸文旅服务中心项目。投资31万元，</w:t>
      </w:r>
      <w:r>
        <w:rPr>
          <w:rFonts w:hint="eastAsia" w:ascii="仿宋" w:hAnsi="仿宋" w:eastAsia="仿宋" w:cs="仿宋"/>
          <w:sz w:val="32"/>
          <w:szCs w:val="32"/>
          <w:highlight w:val="none"/>
          <w:lang w:val="en-US" w:eastAsia="zh-CN"/>
        </w:rPr>
        <w:t>完成</w:t>
      </w:r>
      <w:r>
        <w:rPr>
          <w:rFonts w:hint="eastAsia" w:ascii="仿宋" w:hAnsi="仿宋" w:eastAsia="仿宋" w:cs="仿宋"/>
          <w:sz w:val="32"/>
          <w:szCs w:val="32"/>
          <w:highlight w:val="none"/>
          <w:lang w:eastAsia="zh-CN"/>
        </w:rPr>
        <w:t>秦皇古驿道、锦山景区实施绿化、整修等改造工程。投资</w:t>
      </w:r>
      <w:r>
        <w:rPr>
          <w:rFonts w:hint="eastAsia" w:ascii="仿宋" w:hAnsi="仿宋" w:eastAsia="仿宋" w:cs="仿宋"/>
          <w:sz w:val="32"/>
          <w:szCs w:val="32"/>
          <w:highlight w:val="none"/>
          <w:lang w:val="en-US" w:eastAsia="zh-CN"/>
        </w:rPr>
        <w:t>40万元，完成了苍岩山文旅商品展销厅建设，</w:t>
      </w:r>
      <w:r>
        <w:rPr>
          <w:rFonts w:hint="eastAsia" w:ascii="仿宋" w:hAnsi="仿宋" w:eastAsia="仿宋" w:cs="仿宋"/>
          <w:sz w:val="32"/>
          <w:szCs w:val="32"/>
          <w:highlight w:val="none"/>
          <w:lang w:eastAsia="zh-CN"/>
        </w:rPr>
        <w:t>景区生态与游览环境</w:t>
      </w:r>
      <w:r>
        <w:rPr>
          <w:rFonts w:hint="eastAsia" w:ascii="仿宋" w:hAnsi="仿宋" w:eastAsia="仿宋" w:cs="仿宋"/>
          <w:sz w:val="32"/>
          <w:szCs w:val="32"/>
          <w:highlight w:val="none"/>
          <w:lang w:val="en-US" w:eastAsia="zh-CN"/>
        </w:rPr>
        <w:t>显著</w:t>
      </w:r>
      <w:r>
        <w:rPr>
          <w:rFonts w:hint="eastAsia" w:ascii="仿宋" w:hAnsi="仿宋" w:eastAsia="仿宋" w:cs="仿宋"/>
          <w:sz w:val="32"/>
          <w:szCs w:val="32"/>
          <w:highlight w:val="none"/>
          <w:lang w:eastAsia="zh-CN"/>
        </w:rPr>
        <w:t>提升。</w:t>
      </w:r>
      <w:r>
        <w:rPr>
          <w:rFonts w:hint="eastAsia" w:ascii="仿宋" w:hAnsi="仿宋" w:eastAsia="仿宋" w:cs="仿宋"/>
          <w:sz w:val="32"/>
          <w:szCs w:val="32"/>
          <w:highlight w:val="none"/>
          <w:lang w:val="en-US" w:eastAsia="zh-CN"/>
        </w:rPr>
        <w:t>投资35万元，完成了焦实斋故居正房抢险加固工程，有效消除安全隐患。</w:t>
      </w:r>
      <w:r>
        <w:rPr>
          <w:rFonts w:hint="eastAsia" w:ascii="仿宋" w:hAnsi="仿宋" w:eastAsia="仿宋" w:cs="仿宋"/>
          <w:sz w:val="32"/>
          <w:szCs w:val="32"/>
          <w:highlight w:val="none"/>
          <w:lang w:eastAsia="zh-CN"/>
        </w:rPr>
        <w:t>完成1192处文物点复查工作和审核数据上传工作，</w:t>
      </w:r>
      <w:r>
        <w:rPr>
          <w:rFonts w:hint="eastAsia" w:ascii="仿宋" w:hAnsi="仿宋" w:eastAsia="仿宋" w:cs="仿宋"/>
          <w:sz w:val="32"/>
          <w:szCs w:val="32"/>
          <w:highlight w:val="none"/>
          <w:lang w:val="en-US" w:eastAsia="zh-CN"/>
        </w:rPr>
        <w:t>同步推进长城、太行古陉、正太铁路3项专项调查任务</w:t>
      </w:r>
      <w:r>
        <w:rPr>
          <w:rFonts w:hint="eastAsia" w:ascii="仿宋" w:hAnsi="仿宋" w:eastAsia="仿宋" w:cs="仿宋"/>
          <w:sz w:val="32"/>
          <w:szCs w:val="32"/>
          <w:highlight w:val="none"/>
          <w:lang w:eastAsia="zh-CN"/>
        </w:rPr>
        <w:t>；普查期间新发现文物点</w:t>
      </w:r>
      <w:r>
        <w:rPr>
          <w:rFonts w:hint="eastAsia" w:ascii="仿宋" w:hAnsi="仿宋" w:eastAsia="仿宋" w:cs="仿宋"/>
          <w:sz w:val="32"/>
          <w:szCs w:val="32"/>
          <w:highlight w:val="none"/>
          <w:lang w:val="en-US" w:eastAsia="zh-CN"/>
        </w:rPr>
        <w:t>136处，已全部填报系统并通过审核</w:t>
      </w:r>
      <w:r>
        <w:rPr>
          <w:rFonts w:hint="eastAsia" w:ascii="仿宋" w:hAnsi="仿宋" w:eastAsia="仿宋" w:cs="仿宋"/>
          <w:sz w:val="32"/>
          <w:szCs w:val="32"/>
          <w:highlight w:val="none"/>
          <w:lang w:eastAsia="zh-CN"/>
        </w:rPr>
        <w:t>。举办了</w:t>
      </w:r>
      <w:r>
        <w:rPr>
          <w:rFonts w:hint="eastAsia" w:ascii="仿宋" w:hAnsi="仿宋" w:eastAsia="仿宋" w:cs="仿宋"/>
          <w:sz w:val="32"/>
          <w:szCs w:val="32"/>
          <w:highlight w:val="none"/>
          <w:lang w:val="en-US" w:eastAsia="zh-CN"/>
        </w:rPr>
        <w:t>京津冀“特别火”—省会后花园·井陉非遗焰火展、</w:t>
      </w:r>
      <w:r>
        <w:rPr>
          <w:rFonts w:hint="eastAsia" w:ascii="仿宋" w:hAnsi="仿宋" w:eastAsia="仿宋" w:cs="仿宋"/>
          <w:sz w:val="32"/>
          <w:szCs w:val="32"/>
          <w:highlight w:val="none"/>
          <w:lang w:eastAsia="zh-CN"/>
        </w:rPr>
        <w:t>井陉县第29届民间艺术展演、2025年苍岩山民俗文化游、第三十二届消夏文化活动、“永远跟党走”井陉县庆“七一”专场文艺演出</w:t>
      </w:r>
      <w:r>
        <w:rPr>
          <w:rFonts w:hint="eastAsia" w:ascii="仿宋" w:hAnsi="仿宋" w:eastAsia="仿宋" w:cs="仿宋"/>
          <w:sz w:val="32"/>
          <w:szCs w:val="32"/>
          <w:highlight w:val="none"/>
          <w:lang w:val="en-US" w:eastAsia="zh-CN"/>
        </w:rPr>
        <w:t>等</w:t>
      </w:r>
      <w:r>
        <w:rPr>
          <w:rFonts w:hint="eastAsia" w:ascii="仿宋" w:hAnsi="仿宋" w:eastAsia="仿宋" w:cs="仿宋"/>
          <w:sz w:val="32"/>
          <w:szCs w:val="32"/>
          <w:highlight w:val="none"/>
          <w:lang w:eastAsia="zh-CN"/>
        </w:rPr>
        <w:t>特色文旅活动。</w:t>
      </w:r>
      <w:r>
        <w:rPr>
          <w:rFonts w:hint="eastAsia" w:ascii="仿宋" w:hAnsi="仿宋" w:eastAsia="仿宋" w:cs="仿宋"/>
          <w:sz w:val="32"/>
          <w:szCs w:val="32"/>
          <w:highlight w:val="none"/>
          <w:lang w:val="en-US" w:eastAsia="zh-CN"/>
        </w:rPr>
        <w:t>高质量</w:t>
      </w:r>
      <w:r>
        <w:rPr>
          <w:rFonts w:hint="eastAsia" w:ascii="仿宋" w:hAnsi="仿宋" w:eastAsia="仿宋" w:cs="仿宋"/>
          <w:sz w:val="32"/>
          <w:szCs w:val="32"/>
          <w:highlight w:val="none"/>
          <w:lang w:eastAsia="zh-CN"/>
        </w:rPr>
        <w:t>承办了“拉花浪漫迎春来——河北省2025非遗·爱情井陉盛典”、“河北省文化进基层惠民演出暨河北省‘四季村晚’示范展示点活动”2</w:t>
      </w:r>
      <w:r>
        <w:rPr>
          <w:rFonts w:hint="eastAsia" w:ascii="仿宋" w:hAnsi="仿宋" w:eastAsia="仿宋" w:cs="仿宋"/>
          <w:sz w:val="32"/>
          <w:szCs w:val="32"/>
          <w:highlight w:val="none"/>
          <w:lang w:val="en-US" w:eastAsia="zh-CN"/>
        </w:rPr>
        <w:t>项</w:t>
      </w:r>
      <w:r>
        <w:rPr>
          <w:rFonts w:hint="eastAsia" w:ascii="仿宋" w:hAnsi="仿宋" w:eastAsia="仿宋" w:cs="仿宋"/>
          <w:sz w:val="32"/>
          <w:szCs w:val="32"/>
          <w:highlight w:val="none"/>
          <w:lang w:eastAsia="zh-CN"/>
        </w:rPr>
        <w:t>省级品牌文旅活动。举办了2025陉马·行半程马拉松赛、消</w:t>
      </w:r>
      <w:r>
        <w:rPr>
          <w:rFonts w:hint="eastAsia" w:ascii="仿宋" w:hAnsi="仿宋" w:eastAsia="仿宋" w:cs="仿宋"/>
          <w:sz w:val="32"/>
          <w:szCs w:val="32"/>
          <w:highlight w:val="none"/>
          <w:lang w:val="en-US" w:eastAsia="zh-CN"/>
        </w:rPr>
        <w:t>夏篮球赛、五人制足球赛、</w:t>
      </w:r>
      <w:r>
        <w:rPr>
          <w:rFonts w:hint="eastAsia" w:ascii="仿宋" w:hAnsi="仿宋" w:eastAsia="仿宋" w:cs="仿宋"/>
          <w:sz w:val="32"/>
          <w:szCs w:val="32"/>
          <w:highlight w:val="none"/>
          <w:lang w:eastAsia="zh-CN"/>
        </w:rPr>
        <w:t>河北·井陉第四届友好城市乒乓球邀请赛、苍岩山</w:t>
      </w:r>
      <w:r>
        <w:rPr>
          <w:rFonts w:hint="eastAsia" w:ascii="仿宋" w:hAnsi="仿宋" w:eastAsia="仿宋" w:cs="仿宋"/>
          <w:sz w:val="32"/>
          <w:szCs w:val="32"/>
          <w:highlight w:val="none"/>
          <w:lang w:val="en-US" w:eastAsia="zh-CN"/>
        </w:rPr>
        <w:t>重机嘉年华</w:t>
      </w:r>
      <w:r>
        <w:rPr>
          <w:rFonts w:hint="eastAsia" w:ascii="仿宋" w:hAnsi="仿宋" w:eastAsia="仿宋" w:cs="仿宋"/>
          <w:sz w:val="32"/>
          <w:szCs w:val="32"/>
          <w:highlight w:val="none"/>
          <w:lang w:eastAsia="zh-CN"/>
        </w:rPr>
        <w:t>等特色体育活动</w:t>
      </w:r>
      <w:r>
        <w:rPr>
          <w:rFonts w:hint="eastAsia" w:ascii="仿宋" w:hAnsi="仿宋" w:eastAsia="仿宋" w:cs="仿宋"/>
          <w:sz w:val="32"/>
          <w:szCs w:val="32"/>
          <w:highlight w:val="none"/>
          <w:lang w:val="en-US" w:eastAsia="zh-CN"/>
        </w:rPr>
        <w:t>135</w:t>
      </w:r>
      <w:r>
        <w:rPr>
          <w:rFonts w:hint="eastAsia" w:ascii="仿宋" w:hAnsi="仿宋" w:eastAsia="仿宋" w:cs="仿宋"/>
          <w:sz w:val="32"/>
          <w:szCs w:val="32"/>
          <w:highlight w:val="none"/>
          <w:lang w:eastAsia="zh-CN"/>
        </w:rPr>
        <w:t>场次，直接参与人数达</w:t>
      </w:r>
      <w:r>
        <w:rPr>
          <w:rFonts w:hint="eastAsia" w:ascii="仿宋" w:hAnsi="仿宋" w:eastAsia="仿宋" w:cs="仿宋"/>
          <w:sz w:val="32"/>
          <w:szCs w:val="32"/>
          <w:highlight w:val="none"/>
          <w:lang w:val="en-US" w:eastAsia="zh-CN"/>
        </w:rPr>
        <w:t>22000人以上，丰富了城乡文化生活，增强了全民健康体质</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承办了全国青少年大众射箭公开赛，组织了暑期青少年体能训练公益活动，群众体育事业蓬勃发展。</w:t>
      </w:r>
      <w:r>
        <w:rPr>
          <w:rFonts w:hint="eastAsia" w:ascii="仿宋" w:hAnsi="仿宋" w:eastAsia="仿宋" w:cs="仿宋"/>
          <w:sz w:val="32"/>
          <w:szCs w:val="32"/>
          <w:highlight w:val="none"/>
          <w:lang w:eastAsia="zh-CN"/>
        </w:rPr>
        <w:t>争取资金110万元，完成了</w:t>
      </w:r>
      <w:r>
        <w:rPr>
          <w:rFonts w:hint="eastAsia" w:ascii="仿宋" w:hAnsi="仿宋" w:eastAsia="仿宋" w:cs="仿宋"/>
          <w:sz w:val="32"/>
          <w:szCs w:val="32"/>
          <w:highlight w:val="none"/>
          <w:lang w:val="en-US" w:eastAsia="zh-CN"/>
        </w:rPr>
        <w:t>南王庄乡乡镇健身工程、蒿亭村和美乡村农村健身场地、</w:t>
      </w:r>
      <w:r>
        <w:rPr>
          <w:rFonts w:hint="eastAsia" w:ascii="仿宋" w:hAnsi="仿宋" w:eastAsia="仿宋" w:cs="仿宋"/>
          <w:sz w:val="32"/>
          <w:szCs w:val="32"/>
          <w:highlight w:val="none"/>
          <w:lang w:eastAsia="zh-CN"/>
        </w:rPr>
        <w:t>龙王山足球场、龙王山体育公园</w:t>
      </w:r>
      <w:r>
        <w:rPr>
          <w:rFonts w:hint="eastAsia" w:ascii="仿宋" w:hAnsi="仿宋" w:eastAsia="仿宋" w:cs="仿宋"/>
          <w:sz w:val="32"/>
          <w:szCs w:val="32"/>
          <w:highlight w:val="none"/>
          <w:lang w:val="en-US" w:eastAsia="zh-CN"/>
        </w:rPr>
        <w:t>和</w:t>
      </w:r>
      <w:r>
        <w:rPr>
          <w:rFonts w:hint="eastAsia" w:ascii="仿宋" w:hAnsi="仿宋" w:eastAsia="仿宋" w:cs="仿宋"/>
          <w:sz w:val="32"/>
          <w:szCs w:val="32"/>
          <w:highlight w:val="none"/>
          <w:lang w:eastAsia="zh-CN"/>
        </w:rPr>
        <w:t>陉山广场篮球场等</w:t>
      </w:r>
      <w:r>
        <w:rPr>
          <w:rFonts w:hint="eastAsia" w:ascii="仿宋" w:hAnsi="仿宋" w:eastAsia="仿宋" w:cs="仿宋"/>
          <w:sz w:val="32"/>
          <w:szCs w:val="32"/>
          <w:highlight w:val="none"/>
          <w:lang w:val="en-US" w:eastAsia="zh-CN"/>
        </w:rPr>
        <w:t>8处</w:t>
      </w:r>
      <w:r>
        <w:rPr>
          <w:rFonts w:hint="eastAsia" w:ascii="仿宋" w:hAnsi="仿宋" w:eastAsia="仿宋" w:cs="仿宋"/>
          <w:sz w:val="32"/>
          <w:szCs w:val="32"/>
          <w:highlight w:val="none"/>
          <w:lang w:eastAsia="zh-CN"/>
        </w:rPr>
        <w:t>健身</w:t>
      </w:r>
      <w:r>
        <w:rPr>
          <w:rFonts w:hint="eastAsia" w:ascii="仿宋" w:hAnsi="仿宋" w:eastAsia="仿宋" w:cs="仿宋"/>
          <w:sz w:val="32"/>
          <w:szCs w:val="32"/>
          <w:highlight w:val="none"/>
          <w:lang w:val="en-US" w:eastAsia="zh-CN"/>
        </w:rPr>
        <w:t>场地的新建和提升</w:t>
      </w:r>
      <w:r>
        <w:rPr>
          <w:rFonts w:hint="eastAsia" w:ascii="仿宋" w:hAnsi="仿宋" w:eastAsia="仿宋" w:cs="仿宋"/>
          <w:sz w:val="32"/>
          <w:szCs w:val="32"/>
          <w:highlight w:val="none"/>
          <w:lang w:eastAsia="zh-CN"/>
        </w:rPr>
        <w:t>。</w:t>
      </w:r>
      <w:r>
        <w:rPr>
          <w:rFonts w:hint="eastAsia" w:ascii="仿宋" w:hAnsi="仿宋" w:eastAsia="仿宋" w:cs="仿宋"/>
          <w:sz w:val="32"/>
          <w:szCs w:val="32"/>
          <w:highlight w:val="none"/>
          <w:lang w:val="en-US" w:eastAsia="zh-CN"/>
        </w:rPr>
        <w:t>组织了“年味儿井陉”、“金秋陉游季”系列文旅活动、</w:t>
      </w:r>
      <w:r>
        <w:rPr>
          <w:rFonts w:hint="eastAsia" w:ascii="仿宋" w:hAnsi="仿宋" w:eastAsia="仿宋" w:cs="仿宋"/>
          <w:sz w:val="32"/>
          <w:szCs w:val="32"/>
          <w:highlight w:val="none"/>
          <w:lang w:eastAsia="zh-CN"/>
        </w:rPr>
        <w:t>乡村文化夜市暨“四季村晚”农民艺术团擂台赛</w:t>
      </w:r>
      <w:r>
        <w:rPr>
          <w:rFonts w:hint="eastAsia" w:ascii="仿宋" w:hAnsi="仿宋" w:eastAsia="仿宋" w:cs="仿宋"/>
          <w:sz w:val="32"/>
          <w:szCs w:val="32"/>
          <w:highlight w:val="none"/>
          <w:lang w:val="en-US" w:eastAsia="zh-CN"/>
        </w:rPr>
        <w:t>、“九九重阳”系列群众文化活动，启动了2025井陉健康文化工程，文艺作品创作征集活动正在全网有序推进；依托</w:t>
      </w:r>
      <w:r>
        <w:rPr>
          <w:rFonts w:hint="eastAsia" w:ascii="仿宋" w:hAnsi="仿宋" w:eastAsia="仿宋" w:cs="仿宋"/>
          <w:sz w:val="32"/>
          <w:szCs w:val="32"/>
          <w:highlight w:val="none"/>
          <w:lang w:eastAsia="zh-CN"/>
        </w:rPr>
        <w:t>国有院团、农民业余演出团体等，利用春节</w:t>
      </w:r>
      <w:r>
        <w:rPr>
          <w:rFonts w:hint="eastAsia" w:ascii="仿宋" w:hAnsi="仿宋" w:eastAsia="仿宋" w:cs="仿宋"/>
          <w:sz w:val="32"/>
          <w:szCs w:val="32"/>
          <w:highlight w:val="none"/>
          <w:lang w:val="en-US" w:eastAsia="zh-CN"/>
        </w:rPr>
        <w:t>及</w:t>
      </w:r>
      <w:r>
        <w:rPr>
          <w:rFonts w:hint="eastAsia" w:ascii="仿宋" w:hAnsi="仿宋" w:eastAsia="仿宋" w:cs="仿宋"/>
          <w:sz w:val="32"/>
          <w:szCs w:val="32"/>
          <w:highlight w:val="none"/>
          <w:lang w:eastAsia="zh-CN"/>
        </w:rPr>
        <w:t>民俗文化活动等节点，以戏曲、</w:t>
      </w:r>
      <w:r>
        <w:rPr>
          <w:rFonts w:hint="eastAsia" w:ascii="仿宋" w:hAnsi="仿宋" w:eastAsia="仿宋" w:cs="仿宋"/>
          <w:sz w:val="32"/>
          <w:szCs w:val="32"/>
          <w:highlight w:val="none"/>
          <w:lang w:val="en-US" w:eastAsia="zh-CN"/>
        </w:rPr>
        <w:t>综艺演出</w:t>
      </w:r>
      <w:r>
        <w:rPr>
          <w:rFonts w:hint="eastAsia" w:ascii="仿宋" w:hAnsi="仿宋" w:eastAsia="仿宋" w:cs="仿宋"/>
          <w:sz w:val="32"/>
          <w:szCs w:val="32"/>
          <w:highlight w:val="none"/>
          <w:lang w:eastAsia="zh-CN"/>
        </w:rPr>
        <w:t>等形式开展文化惠民演出</w:t>
      </w:r>
      <w:r>
        <w:rPr>
          <w:rFonts w:hint="eastAsia" w:ascii="仿宋" w:hAnsi="仿宋" w:eastAsia="仿宋" w:cs="仿宋"/>
          <w:sz w:val="32"/>
          <w:szCs w:val="32"/>
          <w:highlight w:val="none"/>
          <w:lang w:val="en-US" w:eastAsia="zh-CN"/>
        </w:rPr>
        <w:t xml:space="preserve">573 </w:t>
      </w:r>
      <w:r>
        <w:rPr>
          <w:rFonts w:hint="eastAsia" w:ascii="仿宋" w:hAnsi="仿宋" w:eastAsia="仿宋" w:cs="仿宋"/>
          <w:sz w:val="32"/>
          <w:szCs w:val="32"/>
          <w:highlight w:val="none"/>
          <w:lang w:eastAsia="zh-CN"/>
        </w:rPr>
        <w:t>场次，</w:t>
      </w:r>
      <w:r>
        <w:rPr>
          <w:rFonts w:hint="eastAsia" w:ascii="仿宋" w:hAnsi="仿宋" w:eastAsia="仿宋" w:cs="仿宋"/>
          <w:sz w:val="32"/>
          <w:szCs w:val="32"/>
          <w:highlight w:val="none"/>
          <w:lang w:val="en-US" w:eastAsia="zh-CN"/>
        </w:rPr>
        <w:t>完成井陉晋剧下乡商演45台306场。5名非遗传承人入选省级非遗代表性传承人名单，</w:t>
      </w:r>
      <w:r>
        <w:rPr>
          <w:rFonts w:hint="eastAsia" w:ascii="仿宋" w:hAnsi="仿宋" w:eastAsia="仿宋" w:cs="仿宋"/>
          <w:sz w:val="32"/>
          <w:szCs w:val="32"/>
          <w:highlight w:val="none"/>
          <w:lang w:eastAsia="zh-CN"/>
        </w:rPr>
        <w:t>井陉“缸炉烧饼”非遗项目入选市市级非遗代表性项目名录；</w:t>
      </w:r>
      <w:r>
        <w:rPr>
          <w:rFonts w:hint="eastAsia" w:ascii="仿宋" w:hAnsi="仿宋" w:eastAsia="仿宋" w:cs="仿宋"/>
          <w:sz w:val="32"/>
          <w:szCs w:val="32"/>
          <w:highlight w:val="none"/>
          <w:lang w:val="en-US" w:eastAsia="zh-CN"/>
        </w:rPr>
        <w:t>陶瓷水镇《非遗共生 五韵陶镇》入选全国非遗进景区“五好”案例；组织井陉拉花、桃林坪花脸社火等参加进景区活动12场，大型文旅推介活动5场；我县陶瓷水镇和金蔓商街非遗和旅游融合发展重点项目，代表全市在全省非遗旅游融合创新交流活动作重点推介交流。</w:t>
      </w:r>
      <w:r>
        <w:rPr>
          <w:rFonts w:hint="eastAsia" w:ascii="仿宋" w:hAnsi="仿宋" w:eastAsia="仿宋" w:cs="仿宋"/>
          <w:sz w:val="32"/>
          <w:szCs w:val="32"/>
          <w:highlight w:val="none"/>
          <w:lang w:eastAsia="zh-CN"/>
        </w:rPr>
        <w:t>启动了大型晋剧《庚子大捷》剧本创作</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lang w:eastAsia="zh-CN"/>
        </w:rPr>
        <w:t>重点复排古装戏《血战金沙滩》</w:t>
      </w:r>
      <w:r>
        <w:rPr>
          <w:rFonts w:hint="eastAsia" w:ascii="仿宋" w:hAnsi="仿宋" w:eastAsia="仿宋" w:cs="仿宋"/>
          <w:sz w:val="32"/>
          <w:szCs w:val="32"/>
          <w:highlight w:val="none"/>
          <w:lang w:val="en-US" w:eastAsia="zh-CN"/>
        </w:rPr>
        <w:t>，</w:t>
      </w:r>
      <w:r>
        <w:rPr>
          <w:rFonts w:hint="eastAsia" w:ascii="仿宋" w:hAnsi="仿宋" w:eastAsia="仿宋" w:cs="仿宋"/>
          <w:sz w:val="32"/>
          <w:szCs w:val="32"/>
          <w:highlight w:val="none"/>
          <w:lang w:eastAsia="zh-CN"/>
        </w:rPr>
        <w:t>加工</w:t>
      </w:r>
      <w:r>
        <w:rPr>
          <w:rFonts w:hint="eastAsia" w:ascii="仿宋" w:hAnsi="仿宋" w:eastAsia="仿宋" w:cs="仿宋"/>
          <w:sz w:val="32"/>
          <w:szCs w:val="32"/>
          <w:highlight w:val="none"/>
          <w:lang w:val="en-US" w:eastAsia="zh-CN"/>
        </w:rPr>
        <w:t>提升</w:t>
      </w:r>
      <w:r>
        <w:rPr>
          <w:rFonts w:hint="eastAsia" w:ascii="仿宋" w:hAnsi="仿宋" w:eastAsia="仿宋" w:cs="仿宋"/>
          <w:sz w:val="32"/>
          <w:szCs w:val="32"/>
          <w:highlight w:val="none"/>
          <w:lang w:eastAsia="zh-CN"/>
        </w:rPr>
        <w:t>现代戏《绵右渠》</w:t>
      </w:r>
      <w:r>
        <w:rPr>
          <w:rFonts w:hint="eastAsia" w:ascii="仿宋" w:hAnsi="仿宋" w:eastAsia="仿宋" w:cs="仿宋"/>
          <w:sz w:val="32"/>
          <w:szCs w:val="32"/>
          <w:highlight w:val="none"/>
          <w:lang w:val="en-US" w:eastAsia="zh-CN"/>
        </w:rPr>
        <w:t>；晋剧小戏</w:t>
      </w:r>
      <w:r>
        <w:rPr>
          <w:rFonts w:hint="eastAsia" w:ascii="仿宋" w:hAnsi="仿宋" w:eastAsia="仿宋" w:cs="仿宋"/>
          <w:sz w:val="32"/>
          <w:szCs w:val="32"/>
          <w:highlight w:val="none"/>
          <w:lang w:eastAsia="zh-CN"/>
        </w:rPr>
        <w:t>《巾帼魂》成功申报省文旅厅舞台艺术精品工程扶持项目，</w:t>
      </w:r>
      <w:r>
        <w:rPr>
          <w:rFonts w:hint="eastAsia" w:ascii="仿宋" w:hAnsi="仿宋" w:eastAsia="仿宋" w:cs="仿宋"/>
          <w:sz w:val="32"/>
          <w:szCs w:val="32"/>
          <w:highlight w:val="none"/>
          <w:lang w:val="en-US" w:eastAsia="zh-CN"/>
        </w:rPr>
        <w:t>获项目扶持</w:t>
      </w:r>
      <w:r>
        <w:rPr>
          <w:rFonts w:hint="eastAsia" w:ascii="仿宋" w:hAnsi="仿宋" w:eastAsia="仿宋" w:cs="仿宋"/>
          <w:sz w:val="32"/>
          <w:szCs w:val="32"/>
          <w:highlight w:val="none"/>
          <w:lang w:eastAsia="zh-CN"/>
        </w:rPr>
        <w:t>资金5万元。</w:t>
      </w:r>
    </w:p>
    <w:p>
      <w:pPr>
        <w:keepNext w:val="0"/>
        <w:keepLines w:val="0"/>
        <w:pageBreakBefore w:val="0"/>
        <w:widowControl w:val="0"/>
        <w:numPr>
          <w:ilvl w:val="0"/>
          <w:numId w:val="4"/>
        </w:numPr>
        <w:kinsoku/>
        <w:wordWrap/>
        <w:overflowPunct/>
        <w:topLinePunct w:val="0"/>
        <w:bidi w:val="0"/>
        <w:spacing w:line="500" w:lineRule="exact"/>
        <w:ind w:left="0" w:leftChars="0" w:right="0" w:firstLine="643" w:firstLineChars="200"/>
        <w:jc w:val="both"/>
        <w:textAlignment w:val="auto"/>
        <w:outlineLvl w:val="9"/>
        <w:rPr>
          <w:rFonts w:hint="eastAsia" w:ascii="仿宋" w:hAnsi="仿宋" w:eastAsia="仿宋" w:cs="仿宋"/>
          <w:b/>
          <w:bCs/>
          <w:sz w:val="32"/>
          <w:szCs w:val="32"/>
          <w:highlight w:val="none"/>
          <w:lang w:eastAsia="zh-CN"/>
        </w:rPr>
      </w:pPr>
      <w:r>
        <w:rPr>
          <w:rFonts w:hint="eastAsia" w:ascii="仿宋" w:hAnsi="仿宋" w:eastAsia="仿宋" w:cs="仿宋"/>
          <w:b/>
          <w:bCs/>
          <w:sz w:val="32"/>
          <w:szCs w:val="32"/>
          <w:highlight w:val="none"/>
          <w:lang w:eastAsia="zh-CN"/>
        </w:rPr>
        <w:t>分项绩效目标实现情况及指标分析</w:t>
      </w:r>
    </w:p>
    <w:p>
      <w:pPr>
        <w:pStyle w:val="14"/>
        <w:keepNext w:val="0"/>
        <w:keepLines w:val="0"/>
        <w:pageBreakBefore w:val="0"/>
        <w:widowControl w:val="0"/>
        <w:kinsoku/>
        <w:wordWrap/>
        <w:overflowPunct/>
        <w:topLinePunct w:val="0"/>
        <w:bidi w:val="0"/>
        <w:spacing w:line="500" w:lineRule="exact"/>
        <w:jc w:val="both"/>
        <w:rPr>
          <w:rFonts w:hint="eastAsia" w:ascii="仿宋" w:hAnsi="仿宋" w:eastAsia="仿宋" w:cs="仿宋"/>
          <w:sz w:val="32"/>
          <w:szCs w:val="32"/>
          <w:highlight w:val="none"/>
        </w:rPr>
      </w:pPr>
      <w:r>
        <w:rPr>
          <w:rFonts w:hint="eastAsia" w:ascii="仿宋" w:hAnsi="仿宋" w:eastAsia="仿宋" w:cs="仿宋"/>
          <w:sz w:val="32"/>
          <w:szCs w:val="32"/>
          <w:highlight w:val="none"/>
        </w:rPr>
        <w:t>1、</w:t>
      </w:r>
      <w:r>
        <w:rPr>
          <w:rFonts w:hint="eastAsia" w:ascii="仿宋" w:hAnsi="仿宋" w:eastAsia="仿宋" w:cs="仿宋"/>
          <w:sz w:val="32"/>
          <w:szCs w:val="32"/>
          <w:highlight w:val="none"/>
          <w:lang w:eastAsia="zh-CN"/>
        </w:rPr>
        <w:t>文化方面</w:t>
      </w:r>
      <w:r>
        <w:rPr>
          <w:rFonts w:hint="eastAsia" w:ascii="仿宋" w:hAnsi="仿宋" w:eastAsia="仿宋" w:cs="仿宋"/>
          <w:sz w:val="32"/>
          <w:szCs w:val="32"/>
          <w:highlight w:val="none"/>
        </w:rPr>
        <w:t>发展规划</w:t>
      </w:r>
    </w:p>
    <w:p>
      <w:pPr>
        <w:pStyle w:val="14"/>
        <w:keepNext w:val="0"/>
        <w:keepLines w:val="0"/>
        <w:pageBreakBefore w:val="0"/>
        <w:widowControl w:val="0"/>
        <w:kinsoku/>
        <w:wordWrap/>
        <w:overflowPunct/>
        <w:topLinePunct w:val="0"/>
        <w:bidi w:val="0"/>
        <w:spacing w:line="500" w:lineRule="exact"/>
        <w:ind w:left="0" w:leftChars="0" w:firstLine="640" w:firstLineChars="200"/>
        <w:jc w:val="both"/>
        <w:rPr>
          <w:rFonts w:hint="eastAsia" w:ascii="仿宋" w:hAnsi="仿宋" w:eastAsia="仿宋" w:cs="仿宋"/>
          <w:sz w:val="32"/>
          <w:szCs w:val="32"/>
          <w:highlight w:val="none"/>
        </w:rPr>
      </w:pPr>
      <w:r>
        <w:rPr>
          <w:rFonts w:hint="eastAsia" w:ascii="仿宋" w:hAnsi="仿宋" w:eastAsia="仿宋" w:cs="仿宋"/>
          <w:sz w:val="32"/>
          <w:szCs w:val="32"/>
          <w:highlight w:val="none"/>
        </w:rPr>
        <w:t>绩效目标：推进</w:t>
      </w:r>
      <w:r>
        <w:rPr>
          <w:rFonts w:hint="eastAsia" w:ascii="仿宋" w:hAnsi="仿宋" w:eastAsia="仿宋" w:cs="仿宋"/>
          <w:sz w:val="32"/>
          <w:szCs w:val="32"/>
          <w:highlight w:val="none"/>
          <w:lang w:eastAsia="zh-CN"/>
        </w:rPr>
        <w:t>公共文化服务</w:t>
      </w:r>
      <w:r>
        <w:rPr>
          <w:rFonts w:hint="eastAsia" w:ascii="仿宋" w:hAnsi="仿宋" w:eastAsia="仿宋" w:cs="仿宋"/>
          <w:sz w:val="32"/>
          <w:szCs w:val="32"/>
          <w:highlight w:val="none"/>
        </w:rPr>
        <w:t>体系建设</w:t>
      </w:r>
    </w:p>
    <w:p>
      <w:pPr>
        <w:pStyle w:val="14"/>
        <w:keepNext w:val="0"/>
        <w:keepLines w:val="0"/>
        <w:pageBreakBefore w:val="0"/>
        <w:widowControl w:val="0"/>
        <w:kinsoku/>
        <w:wordWrap/>
        <w:overflowPunct/>
        <w:topLinePunct w:val="0"/>
        <w:bidi w:val="0"/>
        <w:spacing w:line="500" w:lineRule="exact"/>
        <w:ind w:left="0" w:leftChars="0" w:firstLine="640" w:firstLineChars="200"/>
        <w:jc w:val="both"/>
        <w:rPr>
          <w:rFonts w:hint="eastAsia" w:ascii="仿宋" w:hAnsi="仿宋" w:eastAsia="仿宋" w:cs="仿宋"/>
          <w:sz w:val="32"/>
          <w:szCs w:val="32"/>
          <w:highlight w:val="none"/>
        </w:rPr>
      </w:pPr>
      <w:r>
        <w:rPr>
          <w:rFonts w:hint="eastAsia" w:ascii="仿宋" w:hAnsi="仿宋" w:eastAsia="仿宋" w:cs="仿宋"/>
          <w:sz w:val="32"/>
          <w:szCs w:val="32"/>
          <w:highlight w:val="none"/>
        </w:rPr>
        <w:t>绩效指标：项目完成率</w:t>
      </w:r>
    </w:p>
    <w:p>
      <w:pPr>
        <w:keepNext w:val="0"/>
        <w:keepLines w:val="0"/>
        <w:pageBreakBefore w:val="0"/>
        <w:widowControl w:val="0"/>
        <w:kinsoku/>
        <w:wordWrap/>
        <w:overflowPunct/>
        <w:topLinePunct w:val="0"/>
        <w:autoSpaceDE/>
        <w:autoSpaceDN/>
        <w:bidi w:val="0"/>
        <w:adjustRightInd/>
        <w:snapToGrid/>
        <w:spacing w:line="500" w:lineRule="exact"/>
        <w:ind w:left="0" w:firstLine="640" w:firstLineChars="200"/>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sz w:val="32"/>
          <w:szCs w:val="32"/>
          <w:highlight w:val="none"/>
          <w:lang w:eastAsia="zh-CN"/>
        </w:rPr>
        <w:t>完成情况：</w:t>
      </w:r>
      <w:r>
        <w:rPr>
          <w:rFonts w:hint="eastAsia" w:ascii="仿宋" w:hAnsi="仿宋" w:eastAsia="仿宋" w:cs="仿宋"/>
          <w:kern w:val="2"/>
          <w:sz w:val="32"/>
          <w:szCs w:val="32"/>
          <w:highlight w:val="none"/>
          <w:lang w:val="en-US" w:eastAsia="zh-CN" w:bidi="ar-SA"/>
        </w:rPr>
        <w:t>组织了“年味儿井陉”、“金秋陉游季”系列文旅活动、乡村文化夜市暨“四季村晚”农民艺术团擂台赛、“九九重阳”系列群众文化活动，启动了2025井陉健康文化工程，文艺作品创作征集活动正在全网有序推进；依托国有院团、农民业余演出团体等，利用春节及民俗文化活动等节点，以戏曲、综艺演出等形式开展文化惠民演出573 场次，完成井陉晋剧下乡商演45台306场。同时，5名非遗传承人入选省级非遗代表性传承人名单，井陉“缸炉烧饼”非遗项目入选市市级非遗代表性项目名录；陶瓷水镇《非遗共生 五韵陶镇》入选全国非遗进景区“五好”案例；组织井陉拉花、桃林坪花脸社火等参加进景区活动12场，大型文旅推介活动5场；我县陶瓷水镇和金蔓商街非遗和旅游融合发展重点项目，代表全市在全省非遗旅游融合创新交流活动作重点推介交流。启动了大型晋剧《庚子大捷》剧本创作，重点复排古装戏《血战金沙滩》，加工提升现代戏《绵右渠》；晋剧小戏《巾帼魂》成功申报省文旅厅舞台艺术精品工程扶持项目，获项目扶持资金5万元。综合得分100分。</w:t>
      </w:r>
    </w:p>
    <w:p>
      <w:pPr>
        <w:pStyle w:val="14"/>
        <w:keepNext w:val="0"/>
        <w:keepLines w:val="0"/>
        <w:pageBreakBefore w:val="0"/>
        <w:widowControl w:val="0"/>
        <w:kinsoku/>
        <w:wordWrap/>
        <w:overflowPunct/>
        <w:topLinePunct w:val="0"/>
        <w:bidi w:val="0"/>
        <w:spacing w:line="500" w:lineRule="exact"/>
        <w:jc w:val="both"/>
        <w:rPr>
          <w:rFonts w:hint="eastAsia" w:ascii="仿宋" w:hAnsi="仿宋" w:eastAsia="仿宋" w:cs="仿宋"/>
          <w:b w:val="0"/>
          <w:bCs w:val="0"/>
          <w:sz w:val="32"/>
          <w:szCs w:val="32"/>
          <w:highlight w:val="none"/>
        </w:rPr>
      </w:pPr>
      <w:r>
        <w:rPr>
          <w:rFonts w:hint="eastAsia" w:ascii="仿宋" w:hAnsi="仿宋" w:eastAsia="仿宋" w:cs="仿宋"/>
          <w:b w:val="0"/>
          <w:bCs w:val="0"/>
          <w:sz w:val="32"/>
          <w:szCs w:val="32"/>
          <w:highlight w:val="none"/>
        </w:rPr>
        <w:t>2、</w:t>
      </w:r>
      <w:r>
        <w:rPr>
          <w:rFonts w:hint="eastAsia" w:ascii="仿宋" w:hAnsi="仿宋" w:eastAsia="仿宋" w:cs="仿宋"/>
          <w:b w:val="0"/>
          <w:bCs w:val="0"/>
          <w:sz w:val="32"/>
          <w:szCs w:val="32"/>
          <w:highlight w:val="none"/>
          <w:lang w:eastAsia="zh-CN"/>
        </w:rPr>
        <w:t>体育方面</w:t>
      </w:r>
      <w:r>
        <w:rPr>
          <w:rFonts w:hint="eastAsia" w:ascii="仿宋" w:hAnsi="仿宋" w:eastAsia="仿宋" w:cs="仿宋"/>
          <w:b w:val="0"/>
          <w:bCs w:val="0"/>
          <w:sz w:val="32"/>
          <w:szCs w:val="32"/>
          <w:highlight w:val="none"/>
        </w:rPr>
        <w:t>发展规划</w:t>
      </w:r>
    </w:p>
    <w:p>
      <w:pPr>
        <w:pStyle w:val="14"/>
        <w:keepNext w:val="0"/>
        <w:keepLines w:val="0"/>
        <w:pageBreakBefore w:val="0"/>
        <w:widowControl w:val="0"/>
        <w:kinsoku/>
        <w:wordWrap/>
        <w:overflowPunct/>
        <w:topLinePunct w:val="0"/>
        <w:bidi w:val="0"/>
        <w:spacing w:line="500" w:lineRule="exact"/>
        <w:ind w:left="0" w:leftChars="0" w:firstLine="640" w:firstLineChars="200"/>
        <w:jc w:val="both"/>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rPr>
        <w:t>绩效目标：</w:t>
      </w:r>
      <w:r>
        <w:rPr>
          <w:rFonts w:hint="eastAsia" w:ascii="仿宋" w:hAnsi="仿宋" w:eastAsia="仿宋" w:cs="仿宋"/>
          <w:b w:val="0"/>
          <w:bCs w:val="0"/>
          <w:sz w:val="32"/>
          <w:szCs w:val="32"/>
          <w:highlight w:val="none"/>
          <w:lang w:eastAsia="zh-CN"/>
        </w:rPr>
        <w:t>推广全民健身建设</w:t>
      </w:r>
      <w:r>
        <w:rPr>
          <w:rFonts w:hint="eastAsia" w:ascii="仿宋" w:hAnsi="仿宋" w:eastAsia="仿宋" w:cs="仿宋"/>
          <w:b w:val="0"/>
          <w:bCs w:val="0"/>
          <w:sz w:val="32"/>
          <w:szCs w:val="32"/>
          <w:highlight w:val="none"/>
          <w:lang w:val="en-US" w:eastAsia="zh-CN"/>
        </w:rPr>
        <w:t>。</w:t>
      </w:r>
    </w:p>
    <w:p>
      <w:pPr>
        <w:pStyle w:val="14"/>
        <w:keepNext w:val="0"/>
        <w:keepLines w:val="0"/>
        <w:pageBreakBefore w:val="0"/>
        <w:widowControl w:val="0"/>
        <w:kinsoku/>
        <w:wordWrap/>
        <w:overflowPunct/>
        <w:topLinePunct w:val="0"/>
        <w:bidi w:val="0"/>
        <w:spacing w:line="500" w:lineRule="exact"/>
        <w:ind w:left="0" w:leftChars="0" w:firstLine="640" w:firstLineChars="200"/>
        <w:jc w:val="both"/>
        <w:rPr>
          <w:rFonts w:hint="eastAsia" w:ascii="仿宋" w:hAnsi="仿宋" w:eastAsia="仿宋" w:cs="仿宋"/>
          <w:b w:val="0"/>
          <w:bCs w:val="0"/>
          <w:sz w:val="32"/>
          <w:szCs w:val="32"/>
          <w:highlight w:val="none"/>
        </w:rPr>
      </w:pPr>
      <w:r>
        <w:rPr>
          <w:rFonts w:hint="eastAsia" w:ascii="仿宋" w:hAnsi="仿宋" w:eastAsia="仿宋" w:cs="仿宋"/>
          <w:b w:val="0"/>
          <w:bCs w:val="0"/>
          <w:sz w:val="32"/>
          <w:szCs w:val="32"/>
          <w:highlight w:val="none"/>
        </w:rPr>
        <w:t>绩效指标：</w:t>
      </w:r>
      <w:r>
        <w:rPr>
          <w:rFonts w:hint="eastAsia" w:ascii="仿宋" w:hAnsi="仿宋" w:eastAsia="仿宋" w:cs="仿宋"/>
          <w:b w:val="0"/>
          <w:bCs w:val="0"/>
          <w:sz w:val="32"/>
          <w:szCs w:val="32"/>
          <w:highlight w:val="none"/>
          <w:lang w:eastAsia="zh-CN"/>
        </w:rPr>
        <w:t>项目</w:t>
      </w:r>
      <w:r>
        <w:rPr>
          <w:rFonts w:hint="eastAsia" w:ascii="仿宋" w:hAnsi="仿宋" w:eastAsia="仿宋" w:cs="仿宋"/>
          <w:b w:val="0"/>
          <w:bCs w:val="0"/>
          <w:sz w:val="32"/>
          <w:szCs w:val="32"/>
          <w:highlight w:val="none"/>
        </w:rPr>
        <w:t>完成率</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完成情况：</w:t>
      </w:r>
      <w:r>
        <w:rPr>
          <w:rFonts w:hint="eastAsia" w:ascii="仿宋" w:hAnsi="仿宋" w:eastAsia="仿宋" w:cs="仿宋"/>
          <w:kern w:val="28"/>
          <w:sz w:val="32"/>
          <w:szCs w:val="32"/>
        </w:rPr>
        <w:t>举</w:t>
      </w:r>
      <w:r>
        <w:rPr>
          <w:rFonts w:hint="eastAsia" w:ascii="仿宋" w:hAnsi="仿宋" w:eastAsia="仿宋" w:cs="仿宋"/>
          <w:b w:val="0"/>
          <w:bCs w:val="0"/>
          <w:kern w:val="2"/>
          <w:sz w:val="32"/>
          <w:szCs w:val="32"/>
          <w:highlight w:val="none"/>
          <w:lang w:val="en-US" w:eastAsia="zh-CN" w:bidi="ar-SA"/>
        </w:rPr>
        <w:t>办了2025陉马·行半程马拉松赛、消夏篮球赛、五人制足球赛、河北·井陉第四届友好城市乒乓球邀请赛、苍岩山重机嘉年华等特色体育活动135场次，直接参与人数达22000人以上，丰富了城乡文化生活，增强了全民健康体质。承办了全国青少年大众射箭公开赛，组织了暑期青少年体能训练公益活动，群众体育事业蓬勃发展。完成了南王庄乡乡镇健身工程、蒿亭村和美乡村农村健身场地、龙王山足球场、龙王山体育公园和陉山广场篮球场等8处健身场地的新建和提升。综合得分100分。</w:t>
      </w:r>
    </w:p>
    <w:p>
      <w:pPr>
        <w:pStyle w:val="14"/>
        <w:keepNext w:val="0"/>
        <w:keepLines w:val="0"/>
        <w:pageBreakBefore w:val="0"/>
        <w:widowControl w:val="0"/>
        <w:kinsoku/>
        <w:wordWrap/>
        <w:overflowPunct/>
        <w:topLinePunct w:val="0"/>
        <w:bidi w:val="0"/>
        <w:spacing w:line="500" w:lineRule="exact"/>
        <w:jc w:val="both"/>
        <w:rPr>
          <w:rFonts w:hint="eastAsia" w:ascii="仿宋" w:hAnsi="仿宋" w:eastAsia="仿宋" w:cs="仿宋"/>
          <w:b w:val="0"/>
          <w:bCs w:val="0"/>
          <w:sz w:val="32"/>
          <w:szCs w:val="32"/>
          <w:highlight w:val="none"/>
        </w:rPr>
      </w:pPr>
      <w:r>
        <w:rPr>
          <w:rFonts w:hint="eastAsia" w:ascii="仿宋" w:hAnsi="仿宋" w:eastAsia="仿宋" w:cs="仿宋"/>
          <w:b w:val="0"/>
          <w:bCs w:val="0"/>
          <w:sz w:val="32"/>
          <w:szCs w:val="32"/>
          <w:highlight w:val="none"/>
        </w:rPr>
        <w:t>3、</w:t>
      </w:r>
      <w:r>
        <w:rPr>
          <w:rFonts w:hint="eastAsia" w:ascii="仿宋" w:hAnsi="仿宋" w:eastAsia="仿宋" w:cs="仿宋"/>
          <w:b w:val="0"/>
          <w:bCs w:val="0"/>
          <w:sz w:val="32"/>
          <w:szCs w:val="32"/>
          <w:highlight w:val="none"/>
          <w:lang w:eastAsia="zh-CN"/>
        </w:rPr>
        <w:t>文物方面</w:t>
      </w:r>
      <w:r>
        <w:rPr>
          <w:rFonts w:hint="eastAsia" w:ascii="仿宋" w:hAnsi="仿宋" w:eastAsia="仿宋" w:cs="仿宋"/>
          <w:b w:val="0"/>
          <w:bCs w:val="0"/>
          <w:sz w:val="32"/>
          <w:szCs w:val="32"/>
          <w:highlight w:val="none"/>
        </w:rPr>
        <w:t>发展规划</w:t>
      </w:r>
    </w:p>
    <w:p>
      <w:pPr>
        <w:pStyle w:val="14"/>
        <w:keepNext w:val="0"/>
        <w:keepLines w:val="0"/>
        <w:pageBreakBefore w:val="0"/>
        <w:widowControl w:val="0"/>
        <w:kinsoku/>
        <w:wordWrap/>
        <w:overflowPunct/>
        <w:topLinePunct w:val="0"/>
        <w:bidi w:val="0"/>
        <w:spacing w:line="500" w:lineRule="exact"/>
        <w:ind w:left="0" w:leftChars="0" w:firstLine="640" w:firstLineChars="200"/>
        <w:jc w:val="both"/>
        <w:rPr>
          <w:rFonts w:hint="eastAsia" w:ascii="仿宋" w:hAnsi="仿宋" w:eastAsia="仿宋" w:cs="仿宋"/>
          <w:b w:val="0"/>
          <w:bCs w:val="0"/>
          <w:sz w:val="32"/>
          <w:szCs w:val="32"/>
          <w:highlight w:val="none"/>
          <w:lang w:val="en-US" w:eastAsia="zh-CN"/>
        </w:rPr>
      </w:pPr>
      <w:r>
        <w:rPr>
          <w:rFonts w:hint="eastAsia" w:ascii="仿宋" w:hAnsi="仿宋" w:eastAsia="仿宋" w:cs="仿宋"/>
          <w:b w:val="0"/>
          <w:bCs w:val="0"/>
          <w:sz w:val="32"/>
          <w:szCs w:val="32"/>
          <w:highlight w:val="none"/>
        </w:rPr>
        <w:t>绩效目标：</w:t>
      </w:r>
      <w:r>
        <w:rPr>
          <w:rFonts w:hint="eastAsia" w:ascii="仿宋" w:hAnsi="仿宋" w:eastAsia="仿宋" w:cs="仿宋"/>
          <w:b w:val="0"/>
          <w:bCs w:val="0"/>
          <w:kern w:val="0"/>
          <w:sz w:val="32"/>
          <w:szCs w:val="32"/>
          <w:highlight w:val="none"/>
          <w:lang w:val="en-US" w:eastAsia="zh-CN" w:bidi="ar-SA"/>
        </w:rPr>
        <w:t>积</w:t>
      </w:r>
      <w:r>
        <w:rPr>
          <w:rFonts w:hint="eastAsia" w:ascii="仿宋" w:hAnsi="仿宋" w:eastAsia="仿宋" w:cs="仿宋"/>
          <w:b w:val="0"/>
          <w:bCs w:val="0"/>
          <w:sz w:val="32"/>
          <w:szCs w:val="32"/>
          <w:highlight w:val="none"/>
          <w:lang w:val="en-US" w:eastAsia="zh-CN"/>
        </w:rPr>
        <w:t>极推进文物普查和文物修缮工作。</w:t>
      </w:r>
    </w:p>
    <w:p>
      <w:pPr>
        <w:pStyle w:val="14"/>
        <w:keepNext w:val="0"/>
        <w:keepLines w:val="0"/>
        <w:pageBreakBefore w:val="0"/>
        <w:widowControl w:val="0"/>
        <w:kinsoku/>
        <w:wordWrap/>
        <w:overflowPunct/>
        <w:topLinePunct w:val="0"/>
        <w:bidi w:val="0"/>
        <w:spacing w:line="500" w:lineRule="exact"/>
        <w:ind w:left="0" w:leftChars="0" w:firstLine="640" w:firstLineChars="200"/>
        <w:jc w:val="both"/>
        <w:rPr>
          <w:rFonts w:hint="eastAsia" w:ascii="仿宋" w:hAnsi="仿宋" w:eastAsia="仿宋" w:cs="仿宋"/>
          <w:b w:val="0"/>
          <w:bCs w:val="0"/>
          <w:sz w:val="32"/>
          <w:szCs w:val="32"/>
          <w:highlight w:val="none"/>
        </w:rPr>
      </w:pPr>
      <w:r>
        <w:rPr>
          <w:rFonts w:hint="eastAsia" w:ascii="仿宋" w:hAnsi="仿宋" w:eastAsia="仿宋" w:cs="仿宋"/>
          <w:b w:val="0"/>
          <w:bCs w:val="0"/>
          <w:sz w:val="32"/>
          <w:szCs w:val="32"/>
          <w:highlight w:val="none"/>
        </w:rPr>
        <w:t>绩效指标：</w:t>
      </w:r>
      <w:r>
        <w:rPr>
          <w:rFonts w:hint="eastAsia" w:ascii="仿宋" w:hAnsi="仿宋" w:eastAsia="仿宋" w:cs="仿宋"/>
          <w:b w:val="0"/>
          <w:bCs w:val="0"/>
          <w:sz w:val="32"/>
          <w:szCs w:val="32"/>
          <w:highlight w:val="none"/>
          <w:lang w:eastAsia="zh-CN"/>
        </w:rPr>
        <w:t>项目执行</w:t>
      </w:r>
      <w:r>
        <w:rPr>
          <w:rFonts w:hint="eastAsia" w:ascii="仿宋" w:hAnsi="仿宋" w:eastAsia="仿宋" w:cs="仿宋"/>
          <w:b w:val="0"/>
          <w:bCs w:val="0"/>
          <w:sz w:val="32"/>
          <w:szCs w:val="32"/>
          <w:highlight w:val="none"/>
        </w:rPr>
        <w:t>率</w:t>
      </w: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ind w:firstLine="640" w:firstLineChars="200"/>
        <w:jc w:val="both"/>
        <w:textAlignment w:val="auto"/>
        <w:rPr>
          <w:rFonts w:hint="eastAsia" w:ascii="仿宋" w:hAnsi="仿宋" w:eastAsia="仿宋" w:cs="仿宋"/>
          <w:b w:val="0"/>
          <w:bCs w:val="0"/>
          <w:kern w:val="2"/>
          <w:sz w:val="32"/>
          <w:szCs w:val="32"/>
          <w:highlight w:val="none"/>
          <w:lang w:val="en-US" w:eastAsia="zh-CN" w:bidi="ar-SA"/>
        </w:rPr>
      </w:pPr>
      <w:r>
        <w:rPr>
          <w:rFonts w:hint="eastAsia" w:ascii="仿宋" w:hAnsi="仿宋" w:eastAsia="仿宋" w:cs="仿宋"/>
          <w:b w:val="0"/>
          <w:bCs w:val="0"/>
          <w:sz w:val="32"/>
          <w:szCs w:val="32"/>
          <w:highlight w:val="none"/>
          <w:lang w:eastAsia="zh-CN"/>
        </w:rPr>
        <w:t>完成情况：</w:t>
      </w:r>
      <w:r>
        <w:rPr>
          <w:rFonts w:hint="eastAsia" w:ascii="仿宋" w:hAnsi="仿宋" w:eastAsia="仿宋" w:cs="仿宋"/>
          <w:sz w:val="32"/>
          <w:szCs w:val="32"/>
          <w:lang w:val="en-US" w:eastAsia="zh-CN"/>
        </w:rPr>
        <w:t>完</w:t>
      </w:r>
      <w:r>
        <w:rPr>
          <w:rFonts w:hint="eastAsia" w:ascii="仿宋" w:hAnsi="仿宋" w:eastAsia="仿宋" w:cs="仿宋"/>
          <w:b w:val="0"/>
          <w:bCs w:val="0"/>
          <w:kern w:val="2"/>
          <w:sz w:val="32"/>
          <w:szCs w:val="32"/>
          <w:highlight w:val="none"/>
          <w:lang w:val="en-US" w:eastAsia="zh-CN" w:bidi="ar-SA"/>
        </w:rPr>
        <w:t>成了焦实斋故居正房抢险加固工程，有效消除安全隐患。完成1192处文物点复查工作和审核数据上传工作，同步推进长城、太行古陉、正太铁路3项专项调查任务；普查期间新发现文物点136处，已全部填报系统并通过审核。同时，实施了井陉窑遗址的修缮和安防工程、古驿道古关隘修缮、井陉旧城城墙保护加固、天长镇王家大院和彪村兴隆寺修缮等项目。综合得分100分。</w:t>
      </w:r>
    </w:p>
    <w:p>
      <w:pPr>
        <w:pStyle w:val="14"/>
        <w:keepNext w:val="0"/>
        <w:keepLines w:val="0"/>
        <w:pageBreakBefore w:val="0"/>
        <w:widowControl w:val="0"/>
        <w:kinsoku/>
        <w:wordWrap/>
        <w:overflowPunct/>
        <w:topLinePunct w:val="0"/>
        <w:bidi w:val="0"/>
        <w:spacing w:line="500" w:lineRule="exact"/>
        <w:jc w:val="both"/>
        <w:rPr>
          <w:rFonts w:hint="eastAsia" w:ascii="仿宋" w:hAnsi="仿宋" w:eastAsia="仿宋" w:cs="仿宋"/>
          <w:b w:val="0"/>
          <w:bCs w:val="0"/>
          <w:sz w:val="32"/>
          <w:szCs w:val="32"/>
          <w:highlight w:val="none"/>
        </w:rPr>
      </w:pPr>
      <w:r>
        <w:rPr>
          <w:rFonts w:hint="eastAsia" w:ascii="仿宋" w:hAnsi="仿宋" w:eastAsia="仿宋" w:cs="仿宋"/>
          <w:b w:val="0"/>
          <w:bCs w:val="0"/>
          <w:sz w:val="32"/>
          <w:szCs w:val="32"/>
          <w:highlight w:val="none"/>
        </w:rPr>
        <w:t>4、</w:t>
      </w:r>
      <w:r>
        <w:rPr>
          <w:rFonts w:hint="eastAsia" w:ascii="仿宋" w:hAnsi="仿宋" w:eastAsia="仿宋" w:cs="仿宋"/>
          <w:b w:val="0"/>
          <w:bCs w:val="0"/>
          <w:sz w:val="32"/>
          <w:szCs w:val="32"/>
          <w:highlight w:val="none"/>
          <w:lang w:eastAsia="zh-CN"/>
        </w:rPr>
        <w:t>旅游方面</w:t>
      </w:r>
      <w:r>
        <w:rPr>
          <w:rFonts w:hint="eastAsia" w:ascii="仿宋" w:hAnsi="仿宋" w:eastAsia="仿宋" w:cs="仿宋"/>
          <w:b w:val="0"/>
          <w:bCs w:val="0"/>
          <w:sz w:val="32"/>
          <w:szCs w:val="32"/>
          <w:highlight w:val="none"/>
        </w:rPr>
        <w:t>发展规划</w:t>
      </w:r>
    </w:p>
    <w:p>
      <w:pPr>
        <w:pStyle w:val="14"/>
        <w:keepNext w:val="0"/>
        <w:keepLines w:val="0"/>
        <w:pageBreakBefore w:val="0"/>
        <w:widowControl w:val="0"/>
        <w:kinsoku/>
        <w:wordWrap/>
        <w:overflowPunct/>
        <w:topLinePunct w:val="0"/>
        <w:bidi w:val="0"/>
        <w:spacing w:line="500" w:lineRule="exact"/>
        <w:ind w:left="0" w:leftChars="0" w:firstLine="640" w:firstLineChars="200"/>
        <w:jc w:val="both"/>
        <w:rPr>
          <w:rFonts w:hint="eastAsia" w:ascii="仿宋" w:hAnsi="仿宋" w:eastAsia="仿宋" w:cs="仿宋"/>
          <w:color w:val="auto"/>
          <w:sz w:val="32"/>
          <w:szCs w:val="32"/>
          <w:lang w:eastAsia="zh-CN"/>
        </w:rPr>
      </w:pPr>
      <w:r>
        <w:rPr>
          <w:rFonts w:hint="eastAsia" w:ascii="仿宋" w:hAnsi="仿宋" w:eastAsia="仿宋" w:cs="仿宋"/>
          <w:b w:val="0"/>
          <w:bCs w:val="0"/>
          <w:sz w:val="32"/>
          <w:szCs w:val="32"/>
          <w:highlight w:val="none"/>
        </w:rPr>
        <w:t>绩效目标:</w:t>
      </w:r>
      <w:r>
        <w:rPr>
          <w:rFonts w:hint="eastAsia" w:ascii="仿宋" w:hAnsi="仿宋" w:eastAsia="仿宋" w:cs="仿宋"/>
          <w:b w:val="0"/>
          <w:bCs w:val="0"/>
          <w:sz w:val="32"/>
          <w:szCs w:val="32"/>
          <w:highlight w:val="none"/>
          <w:lang w:eastAsia="zh-CN"/>
        </w:rPr>
        <w:t>全力打造</w:t>
      </w:r>
      <w:r>
        <w:rPr>
          <w:rFonts w:hint="eastAsia" w:ascii="仿宋" w:hAnsi="仿宋" w:eastAsia="仿宋" w:cs="仿宋"/>
          <w:sz w:val="32"/>
          <w:szCs w:val="32"/>
          <w:lang w:val="en-US" w:eastAsia="zh-CN"/>
        </w:rPr>
        <w:t>景区景观亮化工作</w:t>
      </w:r>
      <w:r>
        <w:rPr>
          <w:rFonts w:hint="eastAsia" w:ascii="仿宋" w:hAnsi="仿宋" w:eastAsia="仿宋" w:cs="仿宋"/>
          <w:color w:val="auto"/>
          <w:sz w:val="32"/>
          <w:szCs w:val="32"/>
          <w:lang w:eastAsia="zh-CN"/>
        </w:rPr>
        <w:t>。</w:t>
      </w:r>
    </w:p>
    <w:p>
      <w:pPr>
        <w:pStyle w:val="14"/>
        <w:keepNext w:val="0"/>
        <w:keepLines w:val="0"/>
        <w:pageBreakBefore w:val="0"/>
        <w:widowControl w:val="0"/>
        <w:kinsoku/>
        <w:wordWrap/>
        <w:overflowPunct/>
        <w:topLinePunct w:val="0"/>
        <w:bidi w:val="0"/>
        <w:spacing w:line="500" w:lineRule="exact"/>
        <w:ind w:left="0" w:leftChars="0" w:firstLine="640" w:firstLineChars="200"/>
        <w:jc w:val="both"/>
        <w:rPr>
          <w:rFonts w:hint="eastAsia" w:ascii="仿宋" w:hAnsi="仿宋" w:eastAsia="仿宋" w:cs="仿宋"/>
          <w:sz w:val="32"/>
          <w:szCs w:val="32"/>
          <w:highlight w:val="none"/>
        </w:rPr>
      </w:pPr>
      <w:r>
        <w:rPr>
          <w:rFonts w:hint="eastAsia" w:ascii="仿宋" w:hAnsi="仿宋" w:eastAsia="仿宋" w:cs="仿宋"/>
          <w:sz w:val="32"/>
          <w:szCs w:val="32"/>
          <w:highlight w:val="none"/>
        </w:rPr>
        <w:t>绩效指标：</w:t>
      </w:r>
      <w:r>
        <w:rPr>
          <w:rFonts w:hint="eastAsia" w:ascii="仿宋" w:hAnsi="仿宋" w:eastAsia="仿宋" w:cs="仿宋"/>
          <w:sz w:val="32"/>
          <w:szCs w:val="32"/>
          <w:highlight w:val="none"/>
          <w:lang w:eastAsia="zh-CN"/>
        </w:rPr>
        <w:t>项目</w:t>
      </w:r>
      <w:r>
        <w:rPr>
          <w:rFonts w:hint="eastAsia" w:ascii="仿宋" w:hAnsi="仿宋" w:eastAsia="仿宋" w:cs="仿宋"/>
          <w:sz w:val="32"/>
          <w:szCs w:val="32"/>
          <w:highlight w:val="none"/>
        </w:rPr>
        <w:t>完成率</w:t>
      </w:r>
    </w:p>
    <w:p>
      <w:pPr>
        <w:pStyle w:val="3"/>
        <w:keepNext w:val="0"/>
        <w:keepLines w:val="0"/>
        <w:pageBreakBefore w:val="0"/>
        <w:widowControl w:val="0"/>
        <w:kinsoku/>
        <w:wordWrap/>
        <w:overflowPunct/>
        <w:topLinePunct w:val="0"/>
        <w:bidi w:val="0"/>
        <w:spacing w:before="0" w:beforeAutospacing="0" w:after="0" w:afterAutospacing="0" w:line="500" w:lineRule="exact"/>
        <w:ind w:firstLine="640" w:firstLineChars="200"/>
        <w:jc w:val="both"/>
        <w:textAlignment w:val="baseline"/>
        <w:rPr>
          <w:rFonts w:hint="eastAsia" w:ascii="仿宋" w:hAnsi="仿宋" w:eastAsia="仿宋" w:cs="仿宋"/>
          <w:b w:val="0"/>
          <w:bCs w:val="0"/>
          <w:highlight w:val="none"/>
          <w:lang w:val="en-US" w:eastAsia="zh-CN"/>
        </w:rPr>
      </w:pPr>
      <w:r>
        <w:rPr>
          <w:rFonts w:hint="eastAsia" w:ascii="仿宋" w:hAnsi="仿宋" w:eastAsia="仿宋" w:cs="仿宋"/>
          <w:sz w:val="32"/>
          <w:szCs w:val="32"/>
          <w:highlight w:val="none"/>
          <w:lang w:eastAsia="zh-CN"/>
        </w:rPr>
        <w:t>完成情况：</w:t>
      </w:r>
      <w:r>
        <w:rPr>
          <w:rFonts w:hint="eastAsia" w:ascii="仿宋" w:hAnsi="仿宋" w:eastAsia="仿宋" w:cs="仿宋"/>
          <w:sz w:val="32"/>
          <w:szCs w:val="32"/>
        </w:rPr>
        <w:t>完成了</w:t>
      </w:r>
      <w:r>
        <w:rPr>
          <w:rFonts w:hint="eastAsia" w:ascii="仿宋" w:hAnsi="仿宋" w:eastAsia="仿宋" w:cs="仿宋"/>
          <w:sz w:val="32"/>
          <w:szCs w:val="32"/>
          <w:lang w:val="en-US" w:eastAsia="zh-CN"/>
        </w:rPr>
        <w:t>苍岩山核心景区景观亮化改造提升</w:t>
      </w:r>
      <w:r>
        <w:rPr>
          <w:rFonts w:hint="eastAsia" w:ascii="仿宋" w:hAnsi="仿宋" w:eastAsia="仿宋" w:cs="仿宋"/>
          <w:sz w:val="32"/>
          <w:szCs w:val="32"/>
          <w:lang w:eastAsia="zh-CN"/>
        </w:rPr>
        <w:t>。</w:t>
      </w:r>
      <w:r>
        <w:rPr>
          <w:rFonts w:hint="eastAsia" w:ascii="仿宋" w:hAnsi="仿宋" w:eastAsia="仿宋" w:cs="仿宋"/>
          <w:sz w:val="32"/>
          <w:szCs w:val="32"/>
          <w:highlight w:val="none"/>
          <w:lang w:val="en-US" w:eastAsia="zh-CN"/>
        </w:rPr>
        <w:t>在柿庄至锦山段制作安装了9块旅游交通指引牌、2座精神堡垒和1处景观小品；完成了苍岩山景区内的公主坟、玉皇顶以及于家石头村游客中心三处旅游厕所的验收。</w:t>
      </w:r>
      <w:r>
        <w:rPr>
          <w:rFonts w:hint="eastAsia" w:ascii="仿宋" w:hAnsi="仿宋" w:eastAsia="仿宋" w:cs="仿宋"/>
          <w:sz w:val="32"/>
          <w:szCs w:val="32"/>
        </w:rPr>
        <w:t>实施了滴水岸</w:t>
      </w:r>
      <w:r>
        <w:rPr>
          <w:rFonts w:hint="eastAsia" w:ascii="仿宋" w:hAnsi="仿宋" w:eastAsia="仿宋" w:cs="仿宋"/>
          <w:sz w:val="32"/>
          <w:szCs w:val="32"/>
          <w:lang w:eastAsia="zh-CN"/>
        </w:rPr>
        <w:t>文旅</w:t>
      </w:r>
      <w:r>
        <w:rPr>
          <w:rFonts w:hint="eastAsia" w:ascii="仿宋" w:hAnsi="仿宋" w:eastAsia="仿宋" w:cs="仿宋"/>
          <w:sz w:val="32"/>
          <w:szCs w:val="32"/>
        </w:rPr>
        <w:t>服务中心</w:t>
      </w:r>
      <w:r>
        <w:rPr>
          <w:rFonts w:hint="eastAsia" w:ascii="仿宋" w:hAnsi="仿宋" w:eastAsia="仿宋" w:cs="仿宋"/>
          <w:sz w:val="32"/>
          <w:szCs w:val="32"/>
          <w:lang w:eastAsia="zh-CN"/>
        </w:rPr>
        <w:t>项目</w:t>
      </w:r>
      <w:r>
        <w:rPr>
          <w:rFonts w:hint="eastAsia" w:ascii="仿宋" w:hAnsi="仿宋" w:eastAsia="仿宋" w:cs="仿宋"/>
          <w:sz w:val="32"/>
          <w:szCs w:val="32"/>
        </w:rPr>
        <w:t>。</w:t>
      </w:r>
      <w:r>
        <w:rPr>
          <w:rFonts w:hint="eastAsia" w:ascii="仿宋" w:hAnsi="仿宋" w:eastAsia="仿宋" w:cs="仿宋"/>
          <w:sz w:val="32"/>
          <w:szCs w:val="32"/>
          <w:lang w:val="en-US" w:eastAsia="zh-CN"/>
        </w:rPr>
        <w:t>完成</w:t>
      </w:r>
      <w:r>
        <w:rPr>
          <w:rFonts w:hint="eastAsia" w:ascii="仿宋" w:hAnsi="仿宋" w:eastAsia="仿宋" w:cs="仿宋"/>
          <w:sz w:val="32"/>
          <w:szCs w:val="32"/>
        </w:rPr>
        <w:t>秦皇古驿道、锦山景区实施绿化、整修等改造工程</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完成了苍岩山文旅商品展销厅建设，</w:t>
      </w:r>
      <w:r>
        <w:rPr>
          <w:rFonts w:hint="eastAsia" w:ascii="仿宋" w:hAnsi="仿宋" w:eastAsia="仿宋" w:cs="仿宋"/>
          <w:sz w:val="32"/>
          <w:szCs w:val="32"/>
        </w:rPr>
        <w:t>景区生态与游览环境</w:t>
      </w:r>
      <w:r>
        <w:rPr>
          <w:rFonts w:hint="eastAsia" w:ascii="仿宋" w:hAnsi="仿宋" w:eastAsia="仿宋" w:cs="仿宋"/>
          <w:sz w:val="32"/>
          <w:szCs w:val="32"/>
          <w:lang w:val="en-US" w:eastAsia="zh-CN"/>
        </w:rPr>
        <w:t>显著</w:t>
      </w:r>
      <w:r>
        <w:rPr>
          <w:rFonts w:hint="eastAsia" w:ascii="仿宋" w:hAnsi="仿宋" w:eastAsia="仿宋" w:cs="仿宋"/>
          <w:sz w:val="32"/>
          <w:szCs w:val="32"/>
        </w:rPr>
        <w:t>提升。</w:t>
      </w:r>
      <w:r>
        <w:rPr>
          <w:rFonts w:hint="eastAsia" w:ascii="仿宋" w:hAnsi="仿宋" w:eastAsia="仿宋" w:cs="仿宋"/>
          <w:b w:val="0"/>
          <w:bCs w:val="0"/>
          <w:i w:val="0"/>
          <w:spacing w:val="0"/>
          <w:w w:val="100"/>
          <w:kern w:val="2"/>
          <w:sz w:val="32"/>
          <w:szCs w:val="32"/>
          <w:highlight w:val="none"/>
          <w:lang w:val="en-US" w:eastAsia="zh-CN" w:bidi="ar-SA"/>
        </w:rPr>
        <w:t>综合得分100分。</w:t>
      </w:r>
    </w:p>
    <w:p>
      <w:pPr>
        <w:keepNext w:val="0"/>
        <w:keepLines w:val="0"/>
        <w:pageBreakBefore w:val="0"/>
        <w:widowControl w:val="0"/>
        <w:kinsoku/>
        <w:wordWrap/>
        <w:overflowPunct/>
        <w:topLinePunct w:val="0"/>
        <w:bidi w:val="0"/>
        <w:spacing w:line="500" w:lineRule="exact"/>
        <w:ind w:left="0" w:leftChars="0" w:right="0" w:firstLine="640" w:firstLineChars="200"/>
        <w:jc w:val="both"/>
        <w:textAlignment w:val="auto"/>
        <w:outlineLvl w:val="9"/>
        <w:rPr>
          <w:rFonts w:ascii="黑体" w:hAnsi="黑体" w:eastAsia="黑体"/>
          <w:sz w:val="32"/>
          <w:szCs w:val="32"/>
          <w:highlight w:val="none"/>
        </w:rPr>
      </w:pPr>
      <w:r>
        <w:rPr>
          <w:rFonts w:hint="eastAsia" w:ascii="黑体" w:hAnsi="黑体" w:eastAsia="黑体"/>
          <w:sz w:val="32"/>
          <w:szCs w:val="32"/>
          <w:highlight w:val="none"/>
        </w:rPr>
        <w:t>四、评价结论和评价等级</w:t>
      </w:r>
    </w:p>
    <w:p>
      <w:pPr>
        <w:keepNext w:val="0"/>
        <w:keepLines w:val="0"/>
        <w:pageBreakBefore w:val="0"/>
        <w:widowControl w:val="0"/>
        <w:kinsoku/>
        <w:wordWrap/>
        <w:overflowPunct/>
        <w:topLinePunct w:val="0"/>
        <w:bidi w:val="0"/>
        <w:spacing w:line="500" w:lineRule="exact"/>
        <w:ind w:left="0" w:leftChars="0" w:right="0" w:firstLine="640" w:firstLineChars="200"/>
        <w:jc w:val="both"/>
        <w:textAlignment w:val="auto"/>
        <w:outlineLvl w:val="9"/>
        <w:rPr>
          <w:rFonts w:hint="eastAsia" w:ascii="仿宋" w:hAnsi="仿宋" w:eastAsia="仿宋"/>
          <w:sz w:val="32"/>
          <w:szCs w:val="32"/>
          <w:highlight w:val="none"/>
        </w:rPr>
      </w:pPr>
      <w:r>
        <w:rPr>
          <w:rFonts w:hint="eastAsia" w:ascii="仿宋" w:hAnsi="仿宋" w:eastAsia="仿宋"/>
          <w:sz w:val="32"/>
          <w:szCs w:val="32"/>
          <w:highlight w:val="none"/>
        </w:rPr>
        <w:t>根据</w:t>
      </w:r>
      <w:r>
        <w:rPr>
          <w:rFonts w:hint="eastAsia" w:ascii="仿宋" w:hAnsi="仿宋" w:eastAsia="仿宋"/>
          <w:sz w:val="32"/>
          <w:szCs w:val="32"/>
          <w:highlight w:val="none"/>
          <w:lang w:eastAsia="zh-CN"/>
        </w:rPr>
        <w:t>部门职责定位和各项工作履职情况进行综合评价</w:t>
      </w:r>
      <w:r>
        <w:rPr>
          <w:rFonts w:hint="eastAsia" w:ascii="仿宋" w:hAnsi="仿宋" w:eastAsia="仿宋"/>
          <w:sz w:val="32"/>
          <w:szCs w:val="32"/>
          <w:highlight w:val="none"/>
        </w:rPr>
        <w:t>，给出总得分</w:t>
      </w:r>
      <w:r>
        <w:rPr>
          <w:rFonts w:hint="eastAsia" w:ascii="仿宋" w:hAnsi="仿宋" w:eastAsia="仿宋"/>
          <w:color w:val="auto"/>
          <w:sz w:val="32"/>
          <w:szCs w:val="32"/>
          <w:highlight w:val="none"/>
          <w:lang w:val="en-US" w:eastAsia="zh-CN"/>
        </w:rPr>
        <w:t>100</w:t>
      </w:r>
      <w:r>
        <w:rPr>
          <w:rFonts w:hint="eastAsia" w:ascii="仿宋" w:hAnsi="仿宋" w:eastAsia="仿宋"/>
          <w:sz w:val="32"/>
          <w:szCs w:val="32"/>
          <w:highlight w:val="none"/>
          <w:lang w:val="en-US" w:eastAsia="zh-CN"/>
        </w:rPr>
        <w:t>分</w:t>
      </w:r>
      <w:r>
        <w:rPr>
          <w:rFonts w:hint="eastAsia" w:ascii="仿宋" w:hAnsi="仿宋" w:eastAsia="仿宋"/>
          <w:sz w:val="32"/>
          <w:szCs w:val="32"/>
          <w:highlight w:val="none"/>
        </w:rPr>
        <w:t>，得出综合绩效评价</w:t>
      </w:r>
      <w:r>
        <w:rPr>
          <w:rFonts w:hint="eastAsia" w:ascii="仿宋" w:hAnsi="仿宋" w:eastAsia="仿宋"/>
          <w:sz w:val="32"/>
          <w:szCs w:val="32"/>
          <w:highlight w:val="none"/>
          <w:lang w:val="en-US" w:eastAsia="zh-CN"/>
        </w:rPr>
        <w:t>为优秀</w:t>
      </w:r>
      <w:r>
        <w:rPr>
          <w:rFonts w:hint="eastAsia" w:ascii="仿宋" w:hAnsi="仿宋" w:eastAsia="仿宋"/>
          <w:sz w:val="32"/>
          <w:szCs w:val="32"/>
          <w:highlight w:val="none"/>
        </w:rPr>
        <w:t>。</w:t>
      </w:r>
    </w:p>
    <w:p>
      <w:pPr>
        <w:keepNext w:val="0"/>
        <w:keepLines w:val="0"/>
        <w:pageBreakBefore w:val="0"/>
        <w:widowControl w:val="0"/>
        <w:kinsoku/>
        <w:wordWrap/>
        <w:overflowPunct/>
        <w:topLinePunct w:val="0"/>
        <w:bidi w:val="0"/>
        <w:spacing w:line="500" w:lineRule="exact"/>
        <w:ind w:left="0" w:leftChars="0" w:right="0" w:firstLine="640" w:firstLineChars="200"/>
        <w:jc w:val="both"/>
        <w:textAlignment w:val="auto"/>
        <w:outlineLvl w:val="9"/>
        <w:rPr>
          <w:rFonts w:ascii="黑体" w:hAnsi="黑体" w:eastAsia="黑体"/>
          <w:sz w:val="32"/>
          <w:szCs w:val="32"/>
          <w:highlight w:val="none"/>
        </w:rPr>
      </w:pPr>
      <w:r>
        <w:rPr>
          <w:rFonts w:hint="eastAsia" w:ascii="黑体" w:hAnsi="黑体" w:eastAsia="黑体"/>
          <w:sz w:val="32"/>
          <w:szCs w:val="32"/>
          <w:highlight w:val="none"/>
        </w:rPr>
        <w:t>五、存在的问题及改进措施</w:t>
      </w:r>
    </w:p>
    <w:p>
      <w:pPr>
        <w:keepNext w:val="0"/>
        <w:keepLines w:val="0"/>
        <w:pageBreakBefore w:val="0"/>
        <w:widowControl w:val="0"/>
        <w:kinsoku/>
        <w:wordWrap/>
        <w:overflowPunct/>
        <w:topLinePunct w:val="0"/>
        <w:bidi w:val="0"/>
        <w:spacing w:line="500" w:lineRule="exact"/>
        <w:ind w:left="0" w:leftChars="0" w:right="0" w:firstLine="643" w:firstLineChars="200"/>
        <w:jc w:val="both"/>
        <w:textAlignment w:val="auto"/>
        <w:outlineLvl w:val="9"/>
        <w:rPr>
          <w:rFonts w:hint="eastAsia" w:ascii="仿宋" w:hAnsi="仿宋" w:eastAsia="仿宋"/>
          <w:b/>
          <w:bCs/>
          <w:sz w:val="32"/>
          <w:szCs w:val="32"/>
          <w:highlight w:val="none"/>
        </w:rPr>
      </w:pPr>
      <w:r>
        <w:rPr>
          <w:rFonts w:hint="eastAsia" w:ascii="仿宋" w:hAnsi="仿宋" w:eastAsia="仿宋"/>
          <w:b/>
          <w:bCs/>
          <w:sz w:val="32"/>
          <w:szCs w:val="32"/>
          <w:highlight w:val="none"/>
        </w:rPr>
        <w:t>（一）存在的主要问题</w:t>
      </w:r>
    </w:p>
    <w:p>
      <w:pPr>
        <w:keepNext w:val="0"/>
        <w:keepLines w:val="0"/>
        <w:pageBreakBefore w:val="0"/>
        <w:widowControl w:val="0"/>
        <w:kinsoku/>
        <w:wordWrap/>
        <w:overflowPunct/>
        <w:topLinePunct w:val="0"/>
        <w:bidi w:val="0"/>
        <w:spacing w:line="500" w:lineRule="exact"/>
        <w:ind w:left="0" w:leftChars="0" w:right="0" w:firstLine="640" w:firstLineChars="200"/>
        <w:jc w:val="both"/>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通过绩效自评，我部门发现：</w:t>
      </w:r>
    </w:p>
    <w:p>
      <w:pPr>
        <w:keepNext w:val="0"/>
        <w:keepLines w:val="0"/>
        <w:pageBreakBefore w:val="0"/>
        <w:widowControl w:val="0"/>
        <w:kinsoku/>
        <w:wordWrap/>
        <w:overflowPunct/>
        <w:topLinePunct w:val="0"/>
        <w:bidi w:val="0"/>
        <w:spacing w:line="500" w:lineRule="exact"/>
        <w:ind w:left="0" w:leftChars="0" w:right="0" w:firstLine="640" w:firstLineChars="200"/>
        <w:jc w:val="both"/>
        <w:textAlignment w:val="auto"/>
        <w:outlineLvl w:val="9"/>
        <w:rPr>
          <w:rFonts w:hint="eastAsia" w:ascii="仿宋" w:hAnsi="仿宋" w:eastAsia="仿宋"/>
          <w:sz w:val="32"/>
          <w:szCs w:val="32"/>
          <w:highlight w:val="none"/>
          <w:lang w:val="en-US" w:eastAsia="zh-CN"/>
        </w:rPr>
      </w:pPr>
      <w:r>
        <w:rPr>
          <w:rFonts w:hint="eastAsia" w:ascii="仿宋" w:hAnsi="仿宋" w:eastAsia="仿宋"/>
          <w:sz w:val="32"/>
          <w:szCs w:val="32"/>
          <w:highlight w:val="none"/>
          <w:lang w:val="en-US" w:eastAsia="zh-CN"/>
        </w:rPr>
        <w:t>1、个别项目绩效目标设置不太合理。</w:t>
      </w:r>
    </w:p>
    <w:p>
      <w:pPr>
        <w:keepNext w:val="0"/>
        <w:keepLines w:val="0"/>
        <w:pageBreakBefore w:val="0"/>
        <w:widowControl w:val="0"/>
        <w:kinsoku/>
        <w:wordWrap/>
        <w:overflowPunct/>
        <w:topLinePunct w:val="0"/>
        <w:bidi w:val="0"/>
        <w:spacing w:line="500" w:lineRule="exact"/>
        <w:ind w:left="0" w:leftChars="0" w:right="0" w:firstLine="640" w:firstLineChars="200"/>
        <w:jc w:val="both"/>
        <w:textAlignment w:val="auto"/>
        <w:outlineLvl w:val="9"/>
        <w:rPr>
          <w:rFonts w:hint="eastAsia" w:ascii="仿宋" w:hAnsi="仿宋" w:eastAsia="仿宋"/>
          <w:sz w:val="32"/>
          <w:szCs w:val="32"/>
          <w:highlight w:val="none"/>
          <w:lang w:eastAsia="zh-CN"/>
        </w:rPr>
      </w:pPr>
      <w:r>
        <w:rPr>
          <w:rFonts w:hint="eastAsia" w:ascii="仿宋" w:hAnsi="仿宋" w:eastAsia="仿宋"/>
          <w:sz w:val="32"/>
          <w:szCs w:val="32"/>
          <w:highlight w:val="none"/>
          <w:lang w:val="en-US" w:eastAsia="zh-CN"/>
        </w:rPr>
        <w:t>2、我部门部分人员对绩效管理工作认识不足。</w:t>
      </w:r>
    </w:p>
    <w:p>
      <w:pPr>
        <w:keepNext w:val="0"/>
        <w:keepLines w:val="0"/>
        <w:pageBreakBefore w:val="0"/>
        <w:widowControl w:val="0"/>
        <w:kinsoku/>
        <w:wordWrap/>
        <w:overflowPunct/>
        <w:topLinePunct w:val="0"/>
        <w:bidi w:val="0"/>
        <w:spacing w:line="500" w:lineRule="exact"/>
        <w:ind w:left="0" w:leftChars="0" w:right="0" w:firstLine="643" w:firstLineChars="200"/>
        <w:jc w:val="both"/>
        <w:textAlignment w:val="auto"/>
        <w:outlineLvl w:val="9"/>
        <w:rPr>
          <w:rFonts w:hint="eastAsia" w:ascii="仿宋" w:hAnsi="仿宋" w:eastAsia="仿宋"/>
          <w:b/>
          <w:bCs/>
          <w:sz w:val="32"/>
          <w:szCs w:val="32"/>
          <w:highlight w:val="none"/>
        </w:rPr>
      </w:pPr>
      <w:r>
        <w:rPr>
          <w:rFonts w:hint="eastAsia" w:ascii="仿宋" w:hAnsi="仿宋" w:eastAsia="仿宋"/>
          <w:b/>
          <w:bCs/>
          <w:sz w:val="32"/>
          <w:szCs w:val="32"/>
          <w:highlight w:val="none"/>
        </w:rPr>
        <w:t>（二）针对问题提出具体的改进措施或建议</w:t>
      </w:r>
    </w:p>
    <w:p>
      <w:pPr>
        <w:keepNext w:val="0"/>
        <w:keepLines w:val="0"/>
        <w:pageBreakBefore w:val="0"/>
        <w:widowControl w:val="0"/>
        <w:kinsoku/>
        <w:wordWrap/>
        <w:overflowPunct/>
        <w:topLinePunct w:val="0"/>
        <w:autoSpaceDE/>
        <w:autoSpaceDN/>
        <w:bidi w:val="0"/>
        <w:adjustRightInd/>
        <w:spacing w:line="500" w:lineRule="exact"/>
        <w:ind w:firstLine="640" w:firstLineChars="200"/>
        <w:jc w:val="both"/>
        <w:textAlignment w:val="auto"/>
        <w:rPr>
          <w:rFonts w:hint="eastAsia" w:ascii="仿宋" w:hAnsi="仿宋" w:eastAsia="仿宋" w:cs="仿宋"/>
          <w:b w:val="0"/>
          <w:bCs/>
          <w:color w:val="000000"/>
          <w:kern w:val="0"/>
          <w:sz w:val="32"/>
          <w:szCs w:val="32"/>
          <w:highlight w:val="none"/>
          <w:lang w:val="en-US" w:eastAsia="zh-CN" w:bidi="ar"/>
        </w:rPr>
      </w:pPr>
      <w:r>
        <w:rPr>
          <w:rFonts w:hint="eastAsia" w:ascii="仿宋" w:hAnsi="仿宋" w:eastAsia="仿宋" w:cs="仿宋"/>
          <w:b w:val="0"/>
          <w:bCs/>
          <w:color w:val="000000"/>
          <w:kern w:val="0"/>
          <w:sz w:val="32"/>
          <w:szCs w:val="32"/>
          <w:highlight w:val="none"/>
          <w:lang w:val="en-US" w:eastAsia="zh-CN" w:bidi="ar"/>
        </w:rPr>
        <w:t>1、我单位将强化项目资金预算编制管理，克服运用一些公用指标，针对不同项目设置个性化、实效化指标，使绩效管理更加合理化。</w:t>
      </w:r>
    </w:p>
    <w:p>
      <w:pPr>
        <w:keepNext w:val="0"/>
        <w:keepLines w:val="0"/>
        <w:pageBreakBefore w:val="0"/>
        <w:widowControl w:val="0"/>
        <w:numPr>
          <w:ilvl w:val="0"/>
          <w:numId w:val="0"/>
        </w:numPr>
        <w:kinsoku/>
        <w:wordWrap/>
        <w:overflowPunct/>
        <w:topLinePunct w:val="0"/>
        <w:autoSpaceDE/>
        <w:autoSpaceDN/>
        <w:bidi w:val="0"/>
        <w:adjustRightInd/>
        <w:spacing w:line="500" w:lineRule="exact"/>
        <w:ind w:firstLine="640" w:firstLineChars="200"/>
        <w:jc w:val="both"/>
        <w:textAlignment w:val="auto"/>
        <w:rPr>
          <w:highlight w:val="none"/>
        </w:rPr>
      </w:pPr>
      <w:r>
        <w:rPr>
          <w:rFonts w:hint="eastAsia" w:ascii="仿宋" w:hAnsi="仿宋" w:eastAsia="仿宋" w:cs="仿宋"/>
          <w:b w:val="0"/>
          <w:bCs/>
          <w:color w:val="000000"/>
          <w:kern w:val="0"/>
          <w:sz w:val="32"/>
          <w:szCs w:val="32"/>
          <w:highlight w:val="none"/>
          <w:lang w:val="en-US" w:eastAsia="zh-CN" w:bidi="ar"/>
        </w:rPr>
        <w:t>2、下一步将加大绩效管理宣传力度，使单位内部各部门人员都参与进来，提高大家对绩效自评的认识。</w:t>
      </w:r>
    </w:p>
    <w:p>
      <w:pPr>
        <w:keepNext w:val="0"/>
        <w:keepLines w:val="0"/>
        <w:pageBreakBefore w:val="0"/>
        <w:widowControl w:val="0"/>
        <w:kinsoku/>
        <w:wordWrap/>
        <w:overflowPunct/>
        <w:topLinePunct w:val="0"/>
        <w:bidi w:val="0"/>
        <w:adjustRightInd w:val="0"/>
        <w:snapToGrid w:val="0"/>
        <w:spacing w:line="500" w:lineRule="exact"/>
        <w:ind w:firstLine="640" w:firstLineChars="200"/>
        <w:rPr>
          <w:rFonts w:ascii="黑体" w:hAnsi="黑体" w:eastAsia="黑体"/>
          <w:sz w:val="32"/>
          <w:szCs w:val="32"/>
        </w:rPr>
      </w:pPr>
      <w:r>
        <w:rPr>
          <w:rFonts w:hint="eastAsia" w:ascii="黑体" w:hAnsi="黑体" w:eastAsia="黑体"/>
          <w:sz w:val="32"/>
          <w:szCs w:val="32"/>
        </w:rPr>
        <w:t>六、评价工作组人员名单</w:t>
      </w:r>
    </w:p>
    <w:tbl>
      <w:tblPr>
        <w:tblStyle w:val="9"/>
        <w:tblW w:w="934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32"/>
        <w:gridCol w:w="3150"/>
        <w:gridCol w:w="2620"/>
        <w:gridCol w:w="23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姓名</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工作单位</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职务</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center"/>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val="en-US" w:eastAsia="zh-CN"/>
              </w:rPr>
              <w:t>赵建忠</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default" w:ascii="仿宋" w:hAnsi="仿宋" w:eastAsia="仿宋" w:cs="仿宋"/>
                <w:sz w:val="32"/>
                <w:szCs w:val="32"/>
                <w:vertAlign w:val="baseline"/>
                <w:lang w:val="en-US" w:eastAsia="zh-CN"/>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党组书记</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王雪梅</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局长</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李志军</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三级主任科员</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李志英</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综合执法队队长</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张</w:t>
            </w:r>
            <w:r>
              <w:rPr>
                <w:rFonts w:hint="eastAsia" w:ascii="仿宋" w:hAnsi="仿宋" w:eastAsia="仿宋" w:cs="仿宋"/>
                <w:sz w:val="32"/>
                <w:szCs w:val="32"/>
                <w:vertAlign w:val="baseline"/>
                <w:lang w:val="en-US" w:eastAsia="zh-CN"/>
              </w:rPr>
              <w:t xml:space="preserve">  </w:t>
            </w:r>
            <w:r>
              <w:rPr>
                <w:rFonts w:hint="eastAsia" w:ascii="仿宋" w:hAnsi="仿宋" w:eastAsia="仿宋" w:cs="仿宋"/>
                <w:sz w:val="32"/>
                <w:szCs w:val="32"/>
                <w:vertAlign w:val="baseline"/>
                <w:lang w:eastAsia="zh-CN"/>
              </w:rPr>
              <w:t>磊</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办公室主任</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武</w:t>
            </w:r>
            <w:r>
              <w:rPr>
                <w:rFonts w:hint="eastAsia" w:ascii="仿宋" w:hAnsi="仿宋" w:eastAsia="仿宋" w:cs="仿宋"/>
                <w:sz w:val="32"/>
                <w:szCs w:val="32"/>
                <w:vertAlign w:val="baseline"/>
                <w:lang w:val="en-US" w:eastAsia="zh-CN"/>
              </w:rPr>
              <w:t xml:space="preserve">  </w:t>
            </w:r>
            <w:r>
              <w:rPr>
                <w:rFonts w:hint="eastAsia" w:ascii="仿宋" w:hAnsi="仿宋" w:eastAsia="仿宋" w:cs="仿宋"/>
                <w:sz w:val="32"/>
                <w:szCs w:val="32"/>
                <w:vertAlign w:val="baseline"/>
                <w:lang w:eastAsia="zh-CN"/>
              </w:rPr>
              <w:t>强</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财务股股长</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梁永刚</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文化股股长</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val="en-US" w:eastAsia="zh-CN"/>
              </w:rPr>
              <w:t>李国霞</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规划股股长</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曹利明</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kern w:val="2"/>
                <w:sz w:val="32"/>
                <w:szCs w:val="32"/>
                <w:vertAlign w:val="baseline"/>
                <w:lang w:val="en-US" w:eastAsia="zh-CN" w:bidi="ar-SA"/>
              </w:rPr>
            </w:pPr>
            <w:r>
              <w:rPr>
                <w:rFonts w:hint="eastAsia" w:ascii="仿宋" w:hAnsi="仿宋" w:eastAsia="仿宋" w:cs="仿宋"/>
                <w:sz w:val="32"/>
                <w:szCs w:val="32"/>
                <w:vertAlign w:val="baseline"/>
                <w:lang w:eastAsia="zh-CN"/>
              </w:rPr>
              <w:t>体育股股长</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张丽江</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规划股股长</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exact"/>
        </w:trPr>
        <w:tc>
          <w:tcPr>
            <w:tcW w:w="1232"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武建文</w:t>
            </w:r>
          </w:p>
        </w:tc>
        <w:tc>
          <w:tcPr>
            <w:tcW w:w="315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井陉县文旅局</w:t>
            </w:r>
          </w:p>
        </w:tc>
        <w:tc>
          <w:tcPr>
            <w:tcW w:w="2620"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lang w:eastAsia="zh-CN"/>
              </w:rPr>
            </w:pPr>
            <w:r>
              <w:rPr>
                <w:rFonts w:hint="eastAsia" w:ascii="仿宋" w:hAnsi="仿宋" w:eastAsia="仿宋" w:cs="仿宋"/>
                <w:sz w:val="32"/>
                <w:szCs w:val="32"/>
                <w:vertAlign w:val="baseline"/>
                <w:lang w:eastAsia="zh-CN"/>
              </w:rPr>
              <w:t>法规股股长</w:t>
            </w:r>
          </w:p>
        </w:tc>
        <w:tc>
          <w:tcPr>
            <w:tcW w:w="2345" w:type="dxa"/>
            <w:vAlign w:val="top"/>
          </w:tcPr>
          <w:p>
            <w:pPr>
              <w:keepNext w:val="0"/>
              <w:keepLines w:val="0"/>
              <w:pageBreakBefore w:val="0"/>
              <w:widowControl w:val="0"/>
              <w:kinsoku/>
              <w:wordWrap/>
              <w:overflowPunct/>
              <w:topLinePunct w:val="0"/>
              <w:autoSpaceDE w:val="0"/>
              <w:autoSpaceDN w:val="0"/>
              <w:bidi w:val="0"/>
              <w:adjustRightInd w:val="0"/>
              <w:snapToGrid/>
              <w:spacing w:line="500" w:lineRule="exact"/>
              <w:jc w:val="both"/>
              <w:textAlignment w:val="auto"/>
              <w:rPr>
                <w:rFonts w:hint="eastAsia" w:ascii="仿宋" w:hAnsi="仿宋" w:eastAsia="仿宋" w:cs="仿宋"/>
                <w:sz w:val="32"/>
                <w:szCs w:val="32"/>
                <w:vertAlign w:val="baseline"/>
              </w:rPr>
            </w:pPr>
          </w:p>
        </w:tc>
      </w:tr>
    </w:tbl>
    <w:p>
      <w:pPr>
        <w:keepNext w:val="0"/>
        <w:keepLines w:val="0"/>
        <w:pageBreakBefore w:val="0"/>
        <w:widowControl w:val="0"/>
        <w:kinsoku/>
        <w:wordWrap/>
        <w:overflowPunct/>
        <w:topLinePunct w:val="0"/>
        <w:bidi w:val="0"/>
        <w:spacing w:line="500" w:lineRule="exact"/>
        <w:ind w:left="0" w:leftChars="0" w:right="0"/>
        <w:jc w:val="both"/>
        <w:textAlignment w:val="auto"/>
        <w:outlineLvl w:val="9"/>
        <w:rPr>
          <w:rFonts w:ascii="仿宋" w:hAnsi="仿宋" w:eastAsia="仿宋"/>
          <w:highlight w:val="none"/>
        </w:rPr>
      </w:pPr>
      <w:bookmarkStart w:id="0" w:name="_GoBack"/>
      <w:bookmarkEnd w:id="0"/>
    </w:p>
    <w:p>
      <w:pPr>
        <w:keepNext w:val="0"/>
        <w:keepLines w:val="0"/>
        <w:pageBreakBefore w:val="0"/>
        <w:widowControl w:val="0"/>
        <w:kinsoku/>
        <w:wordWrap/>
        <w:overflowPunct/>
        <w:topLinePunct w:val="0"/>
        <w:bidi w:val="0"/>
        <w:spacing w:line="500" w:lineRule="exact"/>
        <w:rPr>
          <w:rFonts w:ascii="仿宋" w:hAnsi="仿宋" w:eastAsia="仿宋"/>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仿宋_GB2312">
    <w:panose1 w:val="02010609030101010101"/>
    <w:charset w:val="86"/>
    <w:family w:val="auto"/>
    <w:pitch w:val="default"/>
    <w:sig w:usb0="00000001" w:usb1="080E0000" w:usb2="00000000" w:usb3="00000000" w:csb0="00040000"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华文楷体">
    <w:altName w:val="楷体_GB2312"/>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rPr>
        <w:rFonts w:ascii="楷体" w:hAnsi="楷体" w:eastAsia="楷体"/>
      </w:rPr>
    </w:lvl>
  </w:abstractNum>
  <w:abstractNum w:abstractNumId="2">
    <w:nsid w:val="7776B61D"/>
    <w:multiLevelType w:val="singleLevel"/>
    <w:tmpl w:val="7776B61D"/>
    <w:lvl w:ilvl="0" w:tentative="0">
      <w:start w:val="2"/>
      <w:numFmt w:val="chineseCounting"/>
      <w:suff w:val="nothing"/>
      <w:lvlText w:val="（%1）"/>
      <w:lvlJc w:val="left"/>
      <w:pPr>
        <w:ind w:left="-13"/>
      </w:pPr>
      <w:rPr>
        <w:rFonts w:hint="eastAsia"/>
      </w:rPr>
    </w:lvl>
  </w:abstractNum>
  <w:abstractNum w:abstractNumId="3">
    <w:nsid w:val="7C33898D"/>
    <w:multiLevelType w:val="singleLevel"/>
    <w:tmpl w:val="7C33898D"/>
    <w:lvl w:ilvl="0" w:tentative="0">
      <w:start w:val="1"/>
      <w:numFmt w:val="chineseCounting"/>
      <w:suff w:val="nothing"/>
      <w:lvlText w:val="（%1）"/>
      <w:lvlJc w:val="left"/>
      <w:pPr>
        <w:ind w:left="-10"/>
      </w:pPr>
      <w:rPr>
        <w:rFonts w:hint="eastAsia"/>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NotTrackMove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EBD2122"/>
    <w:rsid w:val="000B0260"/>
    <w:rsid w:val="007E6C1F"/>
    <w:rsid w:val="00956A93"/>
    <w:rsid w:val="009E575C"/>
    <w:rsid w:val="00AF167E"/>
    <w:rsid w:val="00AF566A"/>
    <w:rsid w:val="00B478EA"/>
    <w:rsid w:val="00B6553A"/>
    <w:rsid w:val="00BC6576"/>
    <w:rsid w:val="00CE06BA"/>
    <w:rsid w:val="00F441CC"/>
    <w:rsid w:val="01B104CA"/>
    <w:rsid w:val="02106AB0"/>
    <w:rsid w:val="02B43A28"/>
    <w:rsid w:val="046F331E"/>
    <w:rsid w:val="07956271"/>
    <w:rsid w:val="09721397"/>
    <w:rsid w:val="0BB63BED"/>
    <w:rsid w:val="0EB97A43"/>
    <w:rsid w:val="0EBD2122"/>
    <w:rsid w:val="0F214EAE"/>
    <w:rsid w:val="0F2F12D1"/>
    <w:rsid w:val="11B71E6A"/>
    <w:rsid w:val="144B521C"/>
    <w:rsid w:val="1AAF0063"/>
    <w:rsid w:val="1BE140DE"/>
    <w:rsid w:val="20170C03"/>
    <w:rsid w:val="248C197D"/>
    <w:rsid w:val="252959AF"/>
    <w:rsid w:val="277A6671"/>
    <w:rsid w:val="292D35B7"/>
    <w:rsid w:val="31151E97"/>
    <w:rsid w:val="33EB6CFF"/>
    <w:rsid w:val="35A12947"/>
    <w:rsid w:val="37387040"/>
    <w:rsid w:val="3B0548E0"/>
    <w:rsid w:val="3B625C0A"/>
    <w:rsid w:val="3CEE1963"/>
    <w:rsid w:val="436B78D3"/>
    <w:rsid w:val="43DE187C"/>
    <w:rsid w:val="48B60C1B"/>
    <w:rsid w:val="4C9C27FE"/>
    <w:rsid w:val="512260B4"/>
    <w:rsid w:val="52BD6ACB"/>
    <w:rsid w:val="54142EE0"/>
    <w:rsid w:val="55537534"/>
    <w:rsid w:val="561A74F1"/>
    <w:rsid w:val="597244E8"/>
    <w:rsid w:val="5EB71C30"/>
    <w:rsid w:val="66AF0CE5"/>
    <w:rsid w:val="6AA27932"/>
    <w:rsid w:val="6AC537CF"/>
    <w:rsid w:val="6E5B14A6"/>
    <w:rsid w:val="711B255E"/>
    <w:rsid w:val="7BB51E06"/>
    <w:rsid w:val="7C387F7C"/>
    <w:rsid w:val="7E047CBF"/>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Plain Text"/>
    <w:basedOn w:val="1"/>
    <w:qFormat/>
    <w:uiPriority w:val="0"/>
    <w:rPr>
      <w:rFonts w:ascii="宋体" w:hAnsi="Courier New" w:cs="Times New Roman"/>
    </w:rPr>
  </w:style>
  <w:style w:type="paragraph" w:styleId="3">
    <w:name w:val="toa heading"/>
    <w:basedOn w:val="1"/>
    <w:next w:val="1"/>
    <w:qFormat/>
    <w:uiPriority w:val="0"/>
    <w:pPr>
      <w:spacing w:before="120"/>
    </w:pPr>
    <w:rPr>
      <w:rFonts w:ascii="Cambria" w:hAnsi="Cambria" w:cs="Times New Roman"/>
      <w:sz w:val="24"/>
    </w:rPr>
  </w:style>
  <w:style w:type="paragraph" w:styleId="4">
    <w:name w:val="Body Text Indent"/>
    <w:basedOn w:val="1"/>
    <w:qFormat/>
    <w:uiPriority w:val="0"/>
    <w:pPr>
      <w:ind w:firstLine="358" w:firstLineChars="128"/>
    </w:pPr>
    <w:rPr>
      <w:rFonts w:eastAsia="仿宋_GB2312"/>
      <w:sz w:val="28"/>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7">
    <w:name w:val="Body Text First Indent 2"/>
    <w:basedOn w:val="4"/>
    <w:qFormat/>
    <w:uiPriority w:val="0"/>
    <w:pPr>
      <w:ind w:firstLine="420" w:firstLineChars="200"/>
    </w:p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100</Words>
  <Characters>570</Characters>
  <Lines>4</Lines>
  <Paragraphs>1</Paragraphs>
  <TotalTime>0</TotalTime>
  <ScaleCrop>false</ScaleCrop>
  <LinksUpToDate>false</LinksUpToDate>
  <CharactersWithSpaces>669</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2024-03-06T07:40:00Z</cp:lastPrinted>
  <dcterms:modified xsi:type="dcterms:W3CDTF">2026-04-09T00:39:14Z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807859DDDB204D7484EDDFBB4E9D1D2E</vt:lpwstr>
  </property>
</Properties>
</file>