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72FC0E">
      <w:pPr>
        <w:adjustRightInd w:val="0"/>
        <w:snapToGrid w:val="0"/>
        <w:spacing w:line="560" w:lineRule="exact"/>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562322AD">
      <w:pPr>
        <w:spacing w:line="560" w:lineRule="exact"/>
        <w:jc w:val="center"/>
        <w:rPr>
          <w:rFonts w:ascii="宋体" w:hAnsi="宋体" w:cs="宋体"/>
          <w:b/>
          <w:bCs/>
          <w:sz w:val="44"/>
          <w:szCs w:val="44"/>
        </w:rPr>
      </w:pPr>
    </w:p>
    <w:p w14:paraId="12604B17">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井陉县数据和政务服务局</w:t>
      </w:r>
      <w:r>
        <w:rPr>
          <w:rFonts w:hint="eastAsia" w:ascii="宋体" w:hAnsi="宋体" w:cs="宋体"/>
          <w:b/>
          <w:bCs/>
          <w:sz w:val="44"/>
          <w:szCs w:val="44"/>
        </w:rPr>
        <w:t>部门</w:t>
      </w:r>
    </w:p>
    <w:p w14:paraId="787CB24D">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29E9ED0C">
      <w:pPr>
        <w:keepNext w:val="0"/>
        <w:keepLines w:val="0"/>
        <w:pageBreakBefore w:val="0"/>
        <w:widowControl w:val="0"/>
        <w:kinsoku/>
        <w:wordWrap/>
        <w:overflowPunct/>
        <w:topLinePunct w:val="0"/>
        <w:autoSpaceDE/>
        <w:autoSpaceDN/>
        <w:bidi w:val="0"/>
        <w:adjustRightInd w:val="0"/>
        <w:snapToGrid w:val="0"/>
        <w:spacing w:before="157" w:beforeLines="50" w:line="560" w:lineRule="exact"/>
        <w:ind w:firstLine="640" w:firstLineChars="200"/>
        <w:textAlignment w:val="auto"/>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井陉县数据和政务服务局</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27F825A7">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2C35FBD8">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66988F9B">
      <w:pPr>
        <w:widowControl w:val="0"/>
        <w:wordWrap/>
        <w:adjustRightInd w:val="0"/>
        <w:snapToGrid w:val="0"/>
        <w:spacing w:line="560" w:lineRule="exact"/>
        <w:ind w:left="0" w:leftChars="0" w:right="0" w:firstLine="640" w:firstLineChars="200"/>
        <w:jc w:val="both"/>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1、部门职能</w:t>
      </w:r>
    </w:p>
    <w:p w14:paraId="1B417C46">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一）贯彻执行国家、省、市有关电子政务、智慧城市、政务服务和数据资源管理的方针政策和法律法规，统筹推进数字井陉、数字经济、数字社会、数字政府规划和建设，拟订全县数据资源管理发展规划、年度计划、政策措施和评价体系并组织实施。</w:t>
      </w:r>
    </w:p>
    <w:p w14:paraId="60086AA5">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（二）贯彻落实国家和地方数据技术标准；研究制定我县数据资源采集、存储、使用、开放、共享等标准规范并监督实施。</w:t>
      </w:r>
    </w:p>
    <w:p w14:paraId="3909DD0C">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（三）负责“互联网+政务服务”工作的规划及有关项目建设工作。</w:t>
      </w:r>
    </w:p>
    <w:p w14:paraId="5CDD567D">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（四）拟订全县政务数据和公共数据资源的目录制定、归集管理、整理利用、共享开放管理办法并组织实施。</w:t>
      </w:r>
    </w:p>
    <w:p w14:paraId="0B13C9CE">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（五）负责县电子政务组织推动工作。</w:t>
      </w:r>
    </w:p>
    <w:p w14:paraId="3903D1D4">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（六）负责全县数据资源、政务信息化领域的对外交流合作。</w:t>
      </w:r>
    </w:p>
    <w:p w14:paraId="710B7057">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（七）负责指导全县经济社会各领域的数据资源开发利用工作。</w:t>
      </w:r>
    </w:p>
    <w:p w14:paraId="7EFF2CC3">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（八）负责全县数据资源安全保障体系建设。</w:t>
      </w:r>
    </w:p>
    <w:p w14:paraId="2107384E">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九）贯彻落实党中央、国务院和省委、省政府，市委、市政府，县委、县政府关于推进政府职能转变和“放管服”改革、行政审批制度改革、政务服务管理、公共资源交易管理、社会信用体系建设有关方针政策和法律法规。承担县政府推进政府职能转变和“放管服”改革协调小组办公室的日常工作。</w:t>
      </w:r>
    </w:p>
    <w:p w14:paraId="00625FE5">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（十）负责规范全县行政审批行为，创新和完善相关工作体制机制。推进简政放权，清理和规范各类行政许可等管理事项；承担县行政审批制度改革领导小组办公室日常工作。</w:t>
      </w:r>
    </w:p>
    <w:p w14:paraId="43C787AC">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（十一）负责公共资源交易监督管理工作。</w:t>
      </w:r>
    </w:p>
    <w:p w14:paraId="4B39541C">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（十二）负责投资项目、商事登记、市场服务、文教体卫、社会事务、住建交通、生态环境、安全生产、农林畜水、经贸商务、城乡管理等方面行政审批事项的办理及相关行政性收费，并承担相应的法律责任。</w:t>
      </w:r>
    </w:p>
    <w:p w14:paraId="5DAA2941">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（十三）负责协调派驻部门行政审批事项的办理工作，规范、管理和监督派驻部门行政审批行为。</w:t>
      </w:r>
    </w:p>
    <w:p w14:paraId="44039DF6">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（十四）负责对行政审批、政务服务事项流程进行规范和优化，推进审批服务便民化、标准化建设。</w:t>
      </w:r>
    </w:p>
    <w:p w14:paraId="0182EE13">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十五）会同有关部门，做好行政审批、政务服务、公共资源交易监督、政务服务平台建设，推行政务服务事项网上办理，形成管理机构、实体大厅、网上平台“三位一体”的政务服务管理模式；推行全县电子证照库建设。</w:t>
      </w:r>
    </w:p>
    <w:p w14:paraId="008D61A3">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（十六）负责全县社会信用体系建设。</w:t>
      </w:r>
    </w:p>
    <w:p w14:paraId="2406AC49">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（十七）负责对全县行政审批、政务服务行为进行监督检查，对窗口工作人员进行日常管理、教育培训和检查考核。</w:t>
      </w:r>
    </w:p>
    <w:p w14:paraId="5BE10959">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（十八）负责县直部门已划转行政许可事项涉及的现场勘验、审图、联合验收等工作。</w:t>
      </w:r>
    </w:p>
    <w:p w14:paraId="18A2DA18">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（十九）负责行政审批信息化工作。</w:t>
      </w:r>
    </w:p>
    <w:p w14:paraId="14889011">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（二十）完成县委、县政府交办的其他任务。</w:t>
      </w:r>
    </w:p>
    <w:p w14:paraId="39AF1FD0">
      <w:pPr>
        <w:keepNext w:val="0"/>
        <w:keepLines w:val="0"/>
        <w:pageBreakBefore w:val="0"/>
        <w:widowControl w:val="0"/>
        <w:numPr>
          <w:ilvl w:val="0"/>
          <w:numId w:val="1"/>
        </w:numPr>
        <w:kinsoku/>
        <w:wordWrap/>
        <w:overflowPunct/>
        <w:topLinePunct w:val="0"/>
        <w:autoSpaceDE/>
        <w:autoSpaceDN/>
        <w:bidi w:val="0"/>
        <w:adjustRightInd w:val="0"/>
        <w:snapToGrid w:val="0"/>
        <w:spacing w:after="157" w:afterLines="50" w:line="560" w:lineRule="exact"/>
        <w:ind w:left="0" w:leftChars="0" w:right="0" w:firstLine="640"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组织机构</w:t>
      </w:r>
    </w:p>
    <w:p w14:paraId="6489EC1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 w:hAnsi="仿宋" w:eastAsia="仿宋"/>
          <w:sz w:val="32"/>
          <w:szCs w:val="32"/>
          <w:lang w:val="en-US" w:eastAsia="zh-CN"/>
        </w:rPr>
      </w:pPr>
      <w:r>
        <w:rPr>
          <w:rFonts w:hint="eastAsia" w:ascii="仿宋" w:hAnsi="仿宋" w:eastAsia="仿宋" w:cs="仿宋"/>
          <w:sz w:val="32"/>
        </w:rPr>
        <w:t>部门机构设置情况</w:t>
      </w:r>
    </w:p>
    <w:tbl>
      <w:tblPr>
        <w:tblStyle w:val="10"/>
        <w:tblpPr w:leftFromText="180" w:rightFromText="180" w:vertAnchor="text" w:horzAnchor="page" w:tblpX="1658" w:tblpY="510"/>
        <w:tblOverlap w:val="never"/>
        <w:tblW w:w="9223"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679"/>
        <w:gridCol w:w="1308"/>
        <w:gridCol w:w="1500"/>
        <w:gridCol w:w="2736"/>
      </w:tblGrid>
      <w:tr w14:paraId="28ED2E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7" w:hRule="atLeast"/>
        </w:trPr>
        <w:tc>
          <w:tcPr>
            <w:tcW w:w="3679" w:type="dxa"/>
            <w:vAlign w:val="center"/>
          </w:tcPr>
          <w:p w14:paraId="04086979">
            <w:pPr>
              <w:keepNext w:val="0"/>
              <w:keepLines w:val="0"/>
              <w:pageBreakBefore w:val="0"/>
              <w:widowControl w:val="0"/>
              <w:kinsoku/>
              <w:wordWrap/>
              <w:overflowPunct/>
              <w:topLinePunct w:val="0"/>
              <w:autoSpaceDE/>
              <w:autoSpaceDN/>
              <w:bidi w:val="0"/>
              <w:adjustRightInd/>
              <w:snapToGrid w:val="0"/>
              <w:spacing w:line="240" w:lineRule="auto"/>
              <w:ind w:right="0" w:firstLine="0" w:firstLineChars="0"/>
              <w:jc w:val="both"/>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单</w:t>
            </w:r>
            <w:r>
              <w:rPr>
                <w:rFonts w:hint="eastAsia" w:ascii="仿宋" w:hAnsi="仿宋" w:eastAsia="仿宋" w:cs="仿宋"/>
                <w:b/>
                <w:bCs/>
                <w:sz w:val="28"/>
                <w:szCs w:val="28"/>
                <w:lang w:val="en-US" w:eastAsia="zh-CN"/>
              </w:rPr>
              <w:t xml:space="preserve"> </w:t>
            </w:r>
            <w:r>
              <w:rPr>
                <w:rFonts w:hint="eastAsia" w:ascii="仿宋" w:hAnsi="仿宋" w:eastAsia="仿宋" w:cs="仿宋"/>
                <w:b/>
                <w:bCs/>
                <w:sz w:val="28"/>
                <w:szCs w:val="28"/>
              </w:rPr>
              <w:t>位</w:t>
            </w:r>
            <w:r>
              <w:rPr>
                <w:rFonts w:hint="eastAsia" w:ascii="仿宋" w:hAnsi="仿宋" w:eastAsia="仿宋" w:cs="仿宋"/>
                <w:b/>
                <w:bCs/>
                <w:sz w:val="28"/>
                <w:szCs w:val="28"/>
                <w:lang w:val="en-US" w:eastAsia="zh-CN"/>
              </w:rPr>
              <w:t xml:space="preserve"> </w:t>
            </w:r>
            <w:r>
              <w:rPr>
                <w:rFonts w:hint="eastAsia" w:ascii="仿宋" w:hAnsi="仿宋" w:eastAsia="仿宋" w:cs="仿宋"/>
                <w:b/>
                <w:bCs/>
                <w:sz w:val="28"/>
                <w:szCs w:val="28"/>
              </w:rPr>
              <w:t>名</w:t>
            </w:r>
            <w:r>
              <w:rPr>
                <w:rFonts w:hint="eastAsia" w:ascii="仿宋" w:hAnsi="仿宋" w:eastAsia="仿宋" w:cs="仿宋"/>
                <w:b/>
                <w:bCs/>
                <w:sz w:val="28"/>
                <w:szCs w:val="28"/>
                <w:lang w:val="en-US" w:eastAsia="zh-CN"/>
              </w:rPr>
              <w:t xml:space="preserve"> </w:t>
            </w:r>
            <w:r>
              <w:rPr>
                <w:rFonts w:hint="eastAsia" w:ascii="仿宋" w:hAnsi="仿宋" w:eastAsia="仿宋" w:cs="仿宋"/>
                <w:b/>
                <w:bCs/>
                <w:sz w:val="28"/>
                <w:szCs w:val="28"/>
              </w:rPr>
              <w:t>称</w:t>
            </w:r>
          </w:p>
        </w:tc>
        <w:tc>
          <w:tcPr>
            <w:tcW w:w="1308" w:type="dxa"/>
            <w:vAlign w:val="center"/>
          </w:tcPr>
          <w:p w14:paraId="3DFF9EFE">
            <w:pPr>
              <w:keepNext w:val="0"/>
              <w:keepLines w:val="0"/>
              <w:pageBreakBefore w:val="0"/>
              <w:widowControl w:val="0"/>
              <w:kinsoku/>
              <w:wordWrap/>
              <w:overflowPunct/>
              <w:topLinePunct w:val="0"/>
              <w:autoSpaceDE/>
              <w:autoSpaceDN/>
              <w:bidi w:val="0"/>
              <w:adjustRightInd/>
              <w:snapToGrid w:val="0"/>
              <w:spacing w:line="240" w:lineRule="auto"/>
              <w:ind w:left="0" w:leftChars="0" w:right="0" w:firstLine="0" w:firstLineChars="0"/>
              <w:jc w:val="both"/>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单位性质</w:t>
            </w:r>
          </w:p>
        </w:tc>
        <w:tc>
          <w:tcPr>
            <w:tcW w:w="1500" w:type="dxa"/>
            <w:vAlign w:val="center"/>
          </w:tcPr>
          <w:p w14:paraId="60459643">
            <w:pPr>
              <w:keepNext w:val="0"/>
              <w:keepLines w:val="0"/>
              <w:pageBreakBefore w:val="0"/>
              <w:widowControl w:val="0"/>
              <w:kinsoku/>
              <w:wordWrap/>
              <w:overflowPunct/>
              <w:topLinePunct w:val="0"/>
              <w:autoSpaceDE/>
              <w:autoSpaceDN/>
              <w:bidi w:val="0"/>
              <w:adjustRightInd/>
              <w:snapToGrid w:val="0"/>
              <w:spacing w:line="240" w:lineRule="auto"/>
              <w:ind w:right="0" w:firstLine="0" w:firstLineChars="0"/>
              <w:jc w:val="left"/>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单位规格</w:t>
            </w:r>
          </w:p>
        </w:tc>
        <w:tc>
          <w:tcPr>
            <w:tcW w:w="2736" w:type="dxa"/>
            <w:vAlign w:val="center"/>
          </w:tcPr>
          <w:p w14:paraId="272621F5">
            <w:pPr>
              <w:keepNext w:val="0"/>
              <w:keepLines w:val="0"/>
              <w:pageBreakBefore w:val="0"/>
              <w:widowControl w:val="0"/>
              <w:kinsoku/>
              <w:wordWrap/>
              <w:overflowPunct/>
              <w:topLinePunct w:val="0"/>
              <w:autoSpaceDE/>
              <w:autoSpaceDN/>
              <w:bidi w:val="0"/>
              <w:adjustRightInd/>
              <w:snapToGrid w:val="0"/>
              <w:spacing w:line="500" w:lineRule="exact"/>
              <w:ind w:right="0" w:firstLine="281" w:firstLineChars="100"/>
              <w:jc w:val="left"/>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经费形式</w:t>
            </w:r>
          </w:p>
        </w:tc>
      </w:tr>
      <w:tr w14:paraId="27D96E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6" w:hRule="atLeast"/>
        </w:trPr>
        <w:tc>
          <w:tcPr>
            <w:tcW w:w="3679" w:type="dxa"/>
            <w:vAlign w:val="center"/>
          </w:tcPr>
          <w:p w14:paraId="3D3EB5D5">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outlineLvl w:val="9"/>
              <w:rPr>
                <w:rFonts w:hint="eastAsia" w:ascii="仿宋" w:hAnsi="仿宋" w:eastAsia="仿宋" w:cs="仿宋"/>
                <w:sz w:val="24"/>
                <w:szCs w:val="24"/>
                <w:lang w:eastAsia="zh-CN"/>
              </w:rPr>
            </w:pPr>
            <w:r>
              <w:rPr>
                <w:rFonts w:hint="eastAsia" w:ascii="仿宋" w:hAnsi="仿宋" w:eastAsia="仿宋" w:cs="仿宋"/>
                <w:sz w:val="24"/>
                <w:szCs w:val="24"/>
              </w:rPr>
              <w:t>井陉县</w:t>
            </w:r>
            <w:r>
              <w:rPr>
                <w:rFonts w:hint="eastAsia" w:ascii="仿宋" w:hAnsi="仿宋" w:eastAsia="仿宋" w:cs="仿宋"/>
                <w:sz w:val="24"/>
                <w:szCs w:val="24"/>
                <w:lang w:val="en-US" w:eastAsia="zh-CN"/>
              </w:rPr>
              <w:t>数据和政务服务</w:t>
            </w:r>
            <w:r>
              <w:rPr>
                <w:rFonts w:hint="eastAsia" w:ascii="仿宋" w:hAnsi="仿宋" w:eastAsia="仿宋" w:cs="仿宋"/>
                <w:sz w:val="24"/>
                <w:szCs w:val="24"/>
              </w:rPr>
              <w:t>局</w:t>
            </w:r>
            <w:r>
              <w:rPr>
                <w:rFonts w:hint="eastAsia" w:ascii="仿宋" w:hAnsi="仿宋" w:eastAsia="仿宋" w:cs="仿宋"/>
                <w:sz w:val="24"/>
                <w:szCs w:val="24"/>
                <w:lang w:eastAsia="zh-CN"/>
              </w:rPr>
              <w:t>（</w:t>
            </w:r>
            <w:r>
              <w:rPr>
                <w:rFonts w:hint="eastAsia" w:ascii="仿宋" w:hAnsi="仿宋" w:eastAsia="仿宋" w:cs="仿宋"/>
                <w:sz w:val="24"/>
                <w:szCs w:val="24"/>
                <w:lang w:val="en-US" w:eastAsia="zh-CN"/>
              </w:rPr>
              <w:t>本级</w:t>
            </w:r>
            <w:r>
              <w:rPr>
                <w:rFonts w:hint="eastAsia" w:ascii="仿宋" w:hAnsi="仿宋" w:eastAsia="仿宋" w:cs="仿宋"/>
                <w:sz w:val="24"/>
                <w:szCs w:val="24"/>
                <w:lang w:eastAsia="zh-CN"/>
              </w:rPr>
              <w:t>）</w:t>
            </w:r>
          </w:p>
        </w:tc>
        <w:tc>
          <w:tcPr>
            <w:tcW w:w="1308" w:type="dxa"/>
            <w:vAlign w:val="center"/>
          </w:tcPr>
          <w:p w14:paraId="6200D18E">
            <w:pPr>
              <w:keepNext w:val="0"/>
              <w:keepLines w:val="0"/>
              <w:pageBreakBefore w:val="0"/>
              <w:widowControl w:val="0"/>
              <w:kinsoku/>
              <w:wordWrap/>
              <w:overflowPunct/>
              <w:topLinePunct w:val="0"/>
              <w:autoSpaceDE/>
              <w:autoSpaceDN/>
              <w:bidi w:val="0"/>
              <w:adjustRightInd/>
              <w:snapToGrid w:val="0"/>
              <w:spacing w:line="240" w:lineRule="auto"/>
              <w:ind w:left="0" w:leftChars="0" w:right="0" w:firstLine="240" w:firstLineChars="100"/>
              <w:jc w:val="both"/>
              <w:textAlignment w:val="auto"/>
              <w:outlineLvl w:val="9"/>
              <w:rPr>
                <w:rFonts w:hint="eastAsia" w:ascii="仿宋" w:hAnsi="仿宋" w:eastAsia="仿宋" w:cs="仿宋"/>
                <w:sz w:val="24"/>
                <w:szCs w:val="24"/>
              </w:rPr>
            </w:pPr>
            <w:r>
              <w:rPr>
                <w:rFonts w:hint="eastAsia" w:ascii="仿宋" w:hAnsi="仿宋" w:eastAsia="仿宋" w:cs="仿宋"/>
                <w:sz w:val="24"/>
                <w:szCs w:val="24"/>
              </w:rPr>
              <w:t>行政</w:t>
            </w:r>
          </w:p>
        </w:tc>
        <w:tc>
          <w:tcPr>
            <w:tcW w:w="1500" w:type="dxa"/>
            <w:vAlign w:val="center"/>
          </w:tcPr>
          <w:p w14:paraId="51D33485">
            <w:pPr>
              <w:keepNext w:val="0"/>
              <w:keepLines w:val="0"/>
              <w:pageBreakBefore w:val="0"/>
              <w:widowControl w:val="0"/>
              <w:kinsoku/>
              <w:wordWrap/>
              <w:overflowPunct/>
              <w:topLinePunct w:val="0"/>
              <w:autoSpaceDE/>
              <w:autoSpaceDN/>
              <w:bidi w:val="0"/>
              <w:adjustRightInd/>
              <w:snapToGrid w:val="0"/>
              <w:spacing w:line="500" w:lineRule="exact"/>
              <w:ind w:right="0" w:firstLine="240" w:firstLineChars="100"/>
              <w:jc w:val="left"/>
              <w:textAlignment w:val="auto"/>
              <w:outlineLvl w:val="9"/>
              <w:rPr>
                <w:rFonts w:hint="eastAsia" w:ascii="仿宋" w:hAnsi="仿宋" w:eastAsia="仿宋" w:cs="仿宋"/>
                <w:sz w:val="24"/>
                <w:szCs w:val="24"/>
              </w:rPr>
            </w:pPr>
            <w:r>
              <w:rPr>
                <w:rFonts w:hint="eastAsia" w:ascii="仿宋" w:hAnsi="仿宋" w:eastAsia="仿宋" w:cs="仿宋"/>
                <w:sz w:val="24"/>
                <w:szCs w:val="24"/>
              </w:rPr>
              <w:t>正</w:t>
            </w:r>
            <w:r>
              <w:rPr>
                <w:rFonts w:hint="eastAsia" w:ascii="仿宋" w:hAnsi="仿宋" w:eastAsia="仿宋" w:cs="仿宋"/>
                <w:sz w:val="24"/>
                <w:szCs w:val="24"/>
                <w:lang w:val="en-US" w:eastAsia="zh-CN"/>
              </w:rPr>
              <w:t>科</w:t>
            </w:r>
            <w:r>
              <w:rPr>
                <w:rFonts w:hint="eastAsia" w:ascii="仿宋" w:hAnsi="仿宋" w:eastAsia="仿宋" w:cs="仿宋"/>
                <w:sz w:val="24"/>
                <w:szCs w:val="24"/>
              </w:rPr>
              <w:t>级</w:t>
            </w:r>
          </w:p>
        </w:tc>
        <w:tc>
          <w:tcPr>
            <w:tcW w:w="2736" w:type="dxa"/>
            <w:vAlign w:val="center"/>
          </w:tcPr>
          <w:p w14:paraId="05D23F57">
            <w:pPr>
              <w:keepNext w:val="0"/>
              <w:keepLines w:val="0"/>
              <w:pageBreakBefore w:val="0"/>
              <w:widowControl w:val="0"/>
              <w:kinsoku/>
              <w:wordWrap/>
              <w:overflowPunct/>
              <w:topLinePunct w:val="0"/>
              <w:autoSpaceDE/>
              <w:autoSpaceDN/>
              <w:bidi w:val="0"/>
              <w:adjustRightInd/>
              <w:snapToGrid w:val="0"/>
              <w:spacing w:line="500" w:lineRule="exact"/>
              <w:ind w:right="0" w:firstLine="240" w:firstLineChars="100"/>
              <w:jc w:val="left"/>
              <w:textAlignment w:val="auto"/>
              <w:outlineLvl w:val="9"/>
              <w:rPr>
                <w:rFonts w:hint="eastAsia" w:ascii="仿宋" w:hAnsi="仿宋" w:eastAsia="仿宋" w:cs="仿宋"/>
                <w:sz w:val="24"/>
                <w:szCs w:val="24"/>
              </w:rPr>
            </w:pPr>
            <w:r>
              <w:rPr>
                <w:rFonts w:hint="eastAsia" w:ascii="仿宋" w:hAnsi="仿宋" w:eastAsia="仿宋" w:cs="仿宋"/>
                <w:sz w:val="24"/>
                <w:szCs w:val="24"/>
              </w:rPr>
              <w:t>财政拨款</w:t>
            </w:r>
          </w:p>
        </w:tc>
      </w:tr>
      <w:tr w14:paraId="27B62C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3679" w:type="dxa"/>
            <w:vAlign w:val="center"/>
          </w:tcPr>
          <w:p w14:paraId="390CED7D">
            <w:pPr>
              <w:keepNext w:val="0"/>
              <w:keepLines w:val="0"/>
              <w:pageBreakBefore w:val="0"/>
              <w:widowControl w:val="0"/>
              <w:kinsoku/>
              <w:wordWrap/>
              <w:overflowPunct/>
              <w:topLinePunct w:val="0"/>
              <w:autoSpaceDE/>
              <w:autoSpaceDN/>
              <w:bidi w:val="0"/>
              <w:adjustRightInd/>
              <w:snapToGrid w:val="0"/>
              <w:spacing w:line="500" w:lineRule="exact"/>
              <w:ind w:right="0"/>
              <w:jc w:val="left"/>
              <w:textAlignment w:val="auto"/>
              <w:outlineLvl w:val="9"/>
              <w:rPr>
                <w:rFonts w:hint="eastAsia" w:ascii="仿宋" w:hAnsi="仿宋" w:eastAsia="仿宋" w:cs="仿宋"/>
                <w:sz w:val="24"/>
                <w:szCs w:val="24"/>
              </w:rPr>
            </w:pPr>
            <w:r>
              <w:rPr>
                <w:rFonts w:hint="eastAsia" w:ascii="仿宋" w:hAnsi="仿宋" w:eastAsia="仿宋" w:cs="仿宋"/>
                <w:sz w:val="24"/>
                <w:szCs w:val="24"/>
              </w:rPr>
              <w:t>井陉县行政审批服务中心</w:t>
            </w:r>
          </w:p>
        </w:tc>
        <w:tc>
          <w:tcPr>
            <w:tcW w:w="1308" w:type="dxa"/>
            <w:vAlign w:val="center"/>
          </w:tcPr>
          <w:p w14:paraId="5E5C6B83">
            <w:pPr>
              <w:keepNext w:val="0"/>
              <w:keepLines w:val="0"/>
              <w:pageBreakBefore w:val="0"/>
              <w:widowControl w:val="0"/>
              <w:kinsoku/>
              <w:wordWrap/>
              <w:overflowPunct/>
              <w:topLinePunct w:val="0"/>
              <w:autoSpaceDE/>
              <w:autoSpaceDN/>
              <w:bidi w:val="0"/>
              <w:adjustRightInd/>
              <w:snapToGrid w:val="0"/>
              <w:spacing w:line="500" w:lineRule="exact"/>
              <w:ind w:right="0" w:firstLine="240" w:firstLineChars="100"/>
              <w:jc w:val="left"/>
              <w:textAlignment w:val="auto"/>
              <w:outlineLvl w:val="9"/>
              <w:rPr>
                <w:rFonts w:hint="eastAsia" w:ascii="仿宋" w:hAnsi="仿宋" w:eastAsia="仿宋" w:cs="仿宋"/>
                <w:sz w:val="24"/>
                <w:szCs w:val="24"/>
              </w:rPr>
            </w:pPr>
            <w:r>
              <w:rPr>
                <w:rFonts w:hint="eastAsia" w:ascii="仿宋" w:hAnsi="仿宋" w:eastAsia="仿宋" w:cs="仿宋"/>
                <w:sz w:val="24"/>
                <w:szCs w:val="24"/>
                <w:lang w:val="en-US" w:eastAsia="zh-CN"/>
              </w:rPr>
              <w:t>全额</w:t>
            </w:r>
            <w:r>
              <w:rPr>
                <w:rFonts w:hint="eastAsia" w:ascii="仿宋" w:hAnsi="仿宋" w:eastAsia="仿宋" w:cs="仿宋"/>
                <w:sz w:val="24"/>
                <w:szCs w:val="24"/>
              </w:rPr>
              <w:t>事业</w:t>
            </w:r>
          </w:p>
        </w:tc>
        <w:tc>
          <w:tcPr>
            <w:tcW w:w="1500" w:type="dxa"/>
            <w:vAlign w:val="center"/>
          </w:tcPr>
          <w:p w14:paraId="49593DC8">
            <w:pPr>
              <w:keepNext w:val="0"/>
              <w:keepLines w:val="0"/>
              <w:pageBreakBefore w:val="0"/>
              <w:widowControl w:val="0"/>
              <w:kinsoku/>
              <w:wordWrap/>
              <w:overflowPunct/>
              <w:topLinePunct w:val="0"/>
              <w:autoSpaceDE/>
              <w:autoSpaceDN/>
              <w:bidi w:val="0"/>
              <w:adjustRightInd/>
              <w:snapToGrid w:val="0"/>
              <w:spacing w:line="500" w:lineRule="exact"/>
              <w:ind w:right="0" w:firstLine="240" w:firstLineChars="100"/>
              <w:jc w:val="left"/>
              <w:textAlignment w:val="auto"/>
              <w:outlineLvl w:val="9"/>
              <w:rPr>
                <w:rFonts w:hint="eastAsia" w:ascii="仿宋" w:hAnsi="仿宋" w:eastAsia="仿宋" w:cs="仿宋"/>
                <w:sz w:val="24"/>
                <w:szCs w:val="24"/>
              </w:rPr>
            </w:pPr>
            <w:r>
              <w:rPr>
                <w:rFonts w:hint="eastAsia" w:ascii="仿宋" w:hAnsi="仿宋" w:eastAsia="仿宋" w:cs="仿宋"/>
                <w:sz w:val="24"/>
                <w:szCs w:val="24"/>
                <w:lang w:val="en-US" w:eastAsia="zh-CN"/>
              </w:rPr>
              <w:t>股级</w:t>
            </w:r>
          </w:p>
        </w:tc>
        <w:tc>
          <w:tcPr>
            <w:tcW w:w="2736" w:type="dxa"/>
            <w:vAlign w:val="center"/>
          </w:tcPr>
          <w:p w14:paraId="17D113E0">
            <w:pPr>
              <w:keepNext w:val="0"/>
              <w:keepLines w:val="0"/>
              <w:pageBreakBefore w:val="0"/>
              <w:widowControl w:val="0"/>
              <w:kinsoku/>
              <w:wordWrap/>
              <w:overflowPunct/>
              <w:topLinePunct w:val="0"/>
              <w:autoSpaceDE/>
              <w:autoSpaceDN/>
              <w:bidi w:val="0"/>
              <w:adjustRightInd/>
              <w:snapToGrid w:val="0"/>
              <w:spacing w:line="500" w:lineRule="exact"/>
              <w:ind w:right="0" w:firstLine="240" w:firstLineChars="100"/>
              <w:jc w:val="left"/>
              <w:textAlignment w:val="auto"/>
              <w:outlineLvl w:val="9"/>
              <w:rPr>
                <w:rFonts w:hint="eastAsia" w:ascii="仿宋" w:hAnsi="仿宋" w:eastAsia="仿宋" w:cs="仿宋"/>
                <w:sz w:val="24"/>
                <w:szCs w:val="24"/>
              </w:rPr>
            </w:pPr>
            <w:r>
              <w:rPr>
                <w:rFonts w:hint="eastAsia" w:ascii="仿宋" w:hAnsi="仿宋" w:eastAsia="仿宋" w:cs="仿宋"/>
                <w:sz w:val="24"/>
                <w:szCs w:val="24"/>
              </w:rPr>
              <w:t>财政性资金基本保证</w:t>
            </w:r>
          </w:p>
        </w:tc>
      </w:tr>
      <w:tr w14:paraId="4F927C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3679" w:type="dxa"/>
            <w:vAlign w:val="center"/>
          </w:tcPr>
          <w:p w14:paraId="30D423AB">
            <w:pPr>
              <w:keepNext w:val="0"/>
              <w:keepLines w:val="0"/>
              <w:pageBreakBefore w:val="0"/>
              <w:widowControl w:val="0"/>
              <w:kinsoku/>
              <w:wordWrap/>
              <w:overflowPunct/>
              <w:topLinePunct w:val="0"/>
              <w:autoSpaceDE/>
              <w:autoSpaceDN/>
              <w:bidi w:val="0"/>
              <w:adjustRightInd/>
              <w:snapToGrid w:val="0"/>
              <w:spacing w:line="500" w:lineRule="exact"/>
              <w:ind w:right="0"/>
              <w:jc w:val="left"/>
              <w:textAlignment w:val="auto"/>
              <w:outlineLvl w:val="9"/>
              <w:rPr>
                <w:rFonts w:hint="eastAsia" w:ascii="仿宋" w:hAnsi="仿宋" w:eastAsia="仿宋" w:cs="仿宋"/>
                <w:sz w:val="24"/>
                <w:szCs w:val="24"/>
              </w:rPr>
            </w:pPr>
            <w:r>
              <w:rPr>
                <w:rFonts w:hint="eastAsia" w:ascii="仿宋" w:hAnsi="仿宋" w:eastAsia="仿宋" w:cs="仿宋"/>
                <w:sz w:val="24"/>
                <w:szCs w:val="24"/>
              </w:rPr>
              <w:t>井陉县公共资源交易中心</w:t>
            </w:r>
          </w:p>
        </w:tc>
        <w:tc>
          <w:tcPr>
            <w:tcW w:w="1308" w:type="dxa"/>
            <w:vAlign w:val="center"/>
          </w:tcPr>
          <w:p w14:paraId="08FB979A">
            <w:pPr>
              <w:keepNext w:val="0"/>
              <w:keepLines w:val="0"/>
              <w:pageBreakBefore w:val="0"/>
              <w:widowControl w:val="0"/>
              <w:kinsoku/>
              <w:wordWrap/>
              <w:overflowPunct/>
              <w:topLinePunct w:val="0"/>
              <w:autoSpaceDE/>
              <w:autoSpaceDN/>
              <w:bidi w:val="0"/>
              <w:adjustRightInd/>
              <w:snapToGrid w:val="0"/>
              <w:spacing w:line="500" w:lineRule="exact"/>
              <w:ind w:right="0" w:firstLine="240" w:firstLineChars="100"/>
              <w:jc w:val="left"/>
              <w:textAlignment w:val="auto"/>
              <w:outlineLvl w:val="9"/>
              <w:rPr>
                <w:rFonts w:hint="eastAsia" w:ascii="仿宋" w:hAnsi="仿宋" w:eastAsia="仿宋" w:cs="仿宋"/>
                <w:sz w:val="24"/>
                <w:szCs w:val="24"/>
              </w:rPr>
            </w:pPr>
            <w:r>
              <w:rPr>
                <w:rFonts w:hint="eastAsia" w:ascii="仿宋" w:hAnsi="仿宋" w:eastAsia="仿宋" w:cs="仿宋"/>
                <w:sz w:val="24"/>
                <w:szCs w:val="24"/>
                <w:lang w:val="en-US" w:eastAsia="zh-CN"/>
              </w:rPr>
              <w:t>全额</w:t>
            </w:r>
            <w:r>
              <w:rPr>
                <w:rFonts w:hint="eastAsia" w:ascii="仿宋" w:hAnsi="仿宋" w:eastAsia="仿宋" w:cs="仿宋"/>
                <w:sz w:val="24"/>
                <w:szCs w:val="24"/>
              </w:rPr>
              <w:t>事业</w:t>
            </w:r>
          </w:p>
        </w:tc>
        <w:tc>
          <w:tcPr>
            <w:tcW w:w="1500" w:type="dxa"/>
            <w:vAlign w:val="center"/>
          </w:tcPr>
          <w:p w14:paraId="25D1767D">
            <w:pPr>
              <w:keepNext w:val="0"/>
              <w:keepLines w:val="0"/>
              <w:pageBreakBefore w:val="0"/>
              <w:widowControl w:val="0"/>
              <w:kinsoku/>
              <w:wordWrap/>
              <w:overflowPunct/>
              <w:topLinePunct w:val="0"/>
              <w:autoSpaceDE/>
              <w:autoSpaceDN/>
              <w:bidi w:val="0"/>
              <w:adjustRightInd/>
              <w:snapToGrid w:val="0"/>
              <w:spacing w:line="500" w:lineRule="exact"/>
              <w:ind w:right="0" w:firstLine="240" w:firstLineChars="100"/>
              <w:jc w:val="left"/>
              <w:textAlignment w:val="auto"/>
              <w:outlineLvl w:val="9"/>
              <w:rPr>
                <w:rFonts w:hint="eastAsia" w:ascii="仿宋" w:hAnsi="仿宋" w:eastAsia="仿宋" w:cs="仿宋"/>
                <w:sz w:val="24"/>
                <w:szCs w:val="24"/>
              </w:rPr>
            </w:pPr>
            <w:r>
              <w:rPr>
                <w:rFonts w:hint="eastAsia" w:ascii="仿宋" w:hAnsi="仿宋" w:eastAsia="仿宋" w:cs="仿宋"/>
                <w:sz w:val="24"/>
                <w:szCs w:val="24"/>
                <w:lang w:val="en-US" w:eastAsia="zh-CN"/>
              </w:rPr>
              <w:t>股级</w:t>
            </w:r>
          </w:p>
        </w:tc>
        <w:tc>
          <w:tcPr>
            <w:tcW w:w="2736" w:type="dxa"/>
            <w:vAlign w:val="center"/>
          </w:tcPr>
          <w:p w14:paraId="1A3365FA">
            <w:pPr>
              <w:keepNext w:val="0"/>
              <w:keepLines w:val="0"/>
              <w:pageBreakBefore w:val="0"/>
              <w:widowControl w:val="0"/>
              <w:kinsoku/>
              <w:wordWrap/>
              <w:overflowPunct/>
              <w:topLinePunct w:val="0"/>
              <w:autoSpaceDE/>
              <w:autoSpaceDN/>
              <w:bidi w:val="0"/>
              <w:adjustRightInd/>
              <w:snapToGrid w:val="0"/>
              <w:spacing w:line="500" w:lineRule="exact"/>
              <w:ind w:right="0" w:firstLine="240" w:firstLineChars="100"/>
              <w:jc w:val="left"/>
              <w:textAlignment w:val="auto"/>
              <w:outlineLvl w:val="9"/>
              <w:rPr>
                <w:rFonts w:hint="eastAsia" w:ascii="仿宋" w:hAnsi="仿宋" w:eastAsia="仿宋" w:cs="仿宋"/>
                <w:sz w:val="24"/>
                <w:szCs w:val="24"/>
              </w:rPr>
            </w:pPr>
            <w:r>
              <w:rPr>
                <w:rFonts w:hint="eastAsia" w:ascii="仿宋" w:hAnsi="仿宋" w:eastAsia="仿宋" w:cs="仿宋"/>
                <w:sz w:val="24"/>
                <w:szCs w:val="24"/>
              </w:rPr>
              <w:t>财政性资金基本保证</w:t>
            </w:r>
          </w:p>
        </w:tc>
      </w:tr>
    </w:tbl>
    <w:p w14:paraId="4B0AE459">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2025年末，在职人数井陉县数据和政务服务局本级16人，井陉县行政审批服务中心17人，井陉县公共资源交易中心6人。</w:t>
      </w:r>
    </w:p>
    <w:p w14:paraId="03C47E2D">
      <w:pPr>
        <w:snapToGrid w:val="0"/>
        <w:spacing w:line="52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3、资产情况</w:t>
      </w:r>
    </w:p>
    <w:p w14:paraId="2BEED956">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 w:hAnsi="仿宋" w:eastAsia="仿宋" w:cs="仿宋"/>
          <w:color w:val="auto"/>
          <w:kern w:val="2"/>
          <w:sz w:val="32"/>
          <w:szCs w:val="32"/>
          <w:highlight w:val="none"/>
          <w:lang w:val="en-US" w:eastAsia="zh-CN" w:bidi="ar-SA"/>
        </w:rPr>
      </w:pPr>
      <w:r>
        <w:rPr>
          <w:rFonts w:hint="eastAsia" w:ascii="仿宋" w:hAnsi="仿宋" w:eastAsia="仿宋" w:cs="仿宋"/>
          <w:color w:val="auto"/>
          <w:kern w:val="2"/>
          <w:sz w:val="32"/>
          <w:szCs w:val="32"/>
          <w:highlight w:val="none"/>
          <w:lang w:val="en-US" w:eastAsia="zh-CN" w:bidi="ar-SA"/>
        </w:rPr>
        <w:t>截至2025年12月31日，部门总资产原值339.86万元，其中固定资产原值208.54万元（含公务用车1辆），累计折旧116.57万元，固定资产净值91.96万元；无形资产131.32万元，累计摊销6.99万元，无形资产净值124.33万元。</w:t>
      </w:r>
    </w:p>
    <w:p w14:paraId="58952E26">
      <w:pPr>
        <w:numPr>
          <w:ilvl w:val="0"/>
          <w:numId w:val="0"/>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w:t>
      </w:r>
      <w:r>
        <w:rPr>
          <w:rFonts w:hint="eastAsia" w:ascii="楷体" w:hAnsi="楷体" w:eastAsia="楷体" w:cs="楷体_GB2312"/>
          <w:bCs/>
          <w:sz w:val="32"/>
          <w:szCs w:val="32"/>
          <w:lang w:val="en-US" w:eastAsia="zh-CN"/>
        </w:rPr>
        <w:t>二</w:t>
      </w:r>
      <w:r>
        <w:rPr>
          <w:rFonts w:hint="eastAsia" w:ascii="楷体" w:hAnsi="楷体" w:eastAsia="楷体" w:cs="楷体_GB2312"/>
          <w:bCs/>
          <w:sz w:val="32"/>
          <w:szCs w:val="32"/>
        </w:rPr>
        <w:t>）部门收支预决算情况</w:t>
      </w:r>
    </w:p>
    <w:p w14:paraId="7C49C68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1、收入支出预算安排情况：</w:t>
      </w:r>
    </w:p>
    <w:p w14:paraId="4D7EFF13">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2025年度预算收入778.1万元，其中：一般公共预算收入778.1万元，基金预算收入0万元，财政专户核拨收入0万元，其他来源收入0万元，上年结转0万元。2025年度决算总收入1157.62万元，其中财政拨款收入为1107.62万元，政府性基金收入50万元。</w:t>
      </w:r>
    </w:p>
    <w:p w14:paraId="1F7E933C">
      <w:pPr>
        <w:pStyle w:val="5"/>
        <w:numPr>
          <w:ilvl w:val="0"/>
          <w:numId w:val="0"/>
        </w:numPr>
        <w:ind w:firstLine="640" w:firstLineChars="200"/>
      </w:pPr>
      <w:r>
        <w:rPr>
          <w:rFonts w:hint="eastAsia" w:ascii="仿宋" w:hAnsi="仿宋" w:eastAsia="仿宋"/>
          <w:sz w:val="32"/>
          <w:szCs w:val="32"/>
          <w:lang w:val="en-US" w:eastAsia="zh-CN"/>
        </w:rPr>
        <w:t>2025年部门预算支出安排778.1万元，决算总支出1157.62万元，按功能分类来看，一般公共服务支出959.73万元，科学技术支出30万元，社会保障和就业支出54.95万元，卫生健康支出21.7万元，住房保障支出41.24万元，其他支出50万元。</w:t>
      </w:r>
    </w:p>
    <w:p w14:paraId="4C200BF7">
      <w:pPr>
        <w:numPr>
          <w:ilvl w:val="0"/>
          <w:numId w:val="2"/>
        </w:numPr>
        <w:adjustRightInd w:val="0"/>
        <w:snapToGrid w:val="0"/>
        <w:spacing w:line="560" w:lineRule="exact"/>
        <w:ind w:firstLine="640" w:firstLineChars="200"/>
        <w:rPr>
          <w:rFonts w:hint="eastAsia" w:ascii="楷体" w:hAnsi="楷体" w:eastAsia="楷体" w:cs="楷体_GB2312"/>
          <w:bCs/>
          <w:color w:val="000000" w:themeColor="text1"/>
          <w:sz w:val="32"/>
          <w:szCs w:val="32"/>
          <w14:textFill>
            <w14:solidFill>
              <w14:schemeClr w14:val="tx1"/>
            </w14:solidFill>
          </w14:textFill>
        </w:rPr>
      </w:pPr>
      <w:r>
        <w:rPr>
          <w:rFonts w:hint="eastAsia" w:ascii="楷体" w:hAnsi="楷体" w:eastAsia="楷体" w:cs="楷体_GB2312"/>
          <w:bCs/>
          <w:color w:val="000000" w:themeColor="text1"/>
          <w:sz w:val="32"/>
          <w:szCs w:val="32"/>
          <w14:textFill>
            <w14:solidFill>
              <w14:schemeClr w14:val="tx1"/>
            </w14:solidFill>
          </w14:textFill>
        </w:rPr>
        <w:t>部门整体支出绩效目标、指标</w:t>
      </w:r>
    </w:p>
    <w:p w14:paraId="2AFD5D08">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1.政策落实方面</w:t>
      </w:r>
    </w:p>
    <w:p w14:paraId="6EF111E1">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绩效目标:包括贯彻国家、省、市有关电子政务、智慧城市、政务服务和数据资源管理以及行政审批制度改革方面的方针政策和法律法规，制定数据和政务服务局各项规章制度和管理办法，并组织实施。</w:t>
      </w:r>
    </w:p>
    <w:p w14:paraId="6C120C3D">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绩效指标：行政审批制度改革效率，行政审批局各项规章制度的制定和执行情况。</w:t>
      </w:r>
    </w:p>
    <w:p w14:paraId="6808AC14">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2.业务工作执行方面</w:t>
      </w:r>
    </w:p>
    <w:p w14:paraId="68C01186">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绩效目标:负责县电子政务组织推动工作；负责投资项目、商事登记、市场服务、文教体卫、社会事务、住建交通、生态环境、安全生产、农林畜水、经贸商务、城乡管理等方面的行政审批相关事项，以及相关工作体系、体制机制创新和完善工作，并承担相应的法律责任。 </w:t>
      </w:r>
    </w:p>
    <w:p w14:paraId="3B15857F">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绩效指标：各业务科室每月业务量统计，办事人员业务技能考核。</w:t>
      </w:r>
    </w:p>
    <w:p w14:paraId="2EBC6659">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3.办事流程规范方面</w:t>
      </w:r>
    </w:p>
    <w:p w14:paraId="182FDC3E">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绩效目标：办事流程绩效目标:负责按照规定程序对行政审批事项进行要件审核、技术认证、社会听证、现场踏勘工作，对符合规定条件的行政审批事项进行批准、签章、发文或发件，并将办理结果在规定时限内告知申请人。</w:t>
      </w:r>
    </w:p>
    <w:p w14:paraId="4749D8AC">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绩效指标：严格遵守审批流程，公开行政许可事项服务指南并及时更新；同时做好外出勘验工作。</w:t>
      </w:r>
    </w:p>
    <w:p w14:paraId="270E75E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4.审批流程方面</w:t>
      </w:r>
    </w:p>
    <w:p w14:paraId="61A9B3F6">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绩效目标：优化流程绩效目标:负责规范行政审批行为，对行政审批事项进流程再造，优化环节，压缩时限，提高效率，并依法全面公开行政审批信息。</w:t>
      </w:r>
    </w:p>
    <w:p w14:paraId="3E11C151">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绩效指标：办事流程规范化，推动大厅自动标准化建设。</w:t>
      </w:r>
    </w:p>
    <w:p w14:paraId="7AA1108F">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5.工作协调方面</w:t>
      </w:r>
    </w:p>
    <w:p w14:paraId="792E45EE">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绩效目标:负责及时向各职能部门推送行政审批事项情况，协调解决审批事项办理中的各类问题。</w:t>
      </w:r>
    </w:p>
    <w:p w14:paraId="2BB8AB8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绩效指标：严格按照法律法规处理审批环节遇到的问题，强化业务培训，做好防范措施。</w:t>
      </w:r>
    </w:p>
    <w:p w14:paraId="68F8500F">
      <w:pPr>
        <w:widowControl w:val="0"/>
        <w:wordWrap/>
        <w:adjustRightInd w:val="0"/>
        <w:snapToGrid w:val="0"/>
        <w:spacing w:line="560" w:lineRule="exact"/>
        <w:ind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6.便民体系方面</w:t>
      </w:r>
    </w:p>
    <w:p w14:paraId="2132049A">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绩效目标：负责行政审批平台、信息化、各级便民服务体系的建设、指导和推动工作。</w:t>
      </w:r>
    </w:p>
    <w:p w14:paraId="344162F4">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绩效指标：做到人员设备、流程制度、工作环境等配备齐全。实现企业注册全程电子化。</w:t>
      </w:r>
    </w:p>
    <w:p w14:paraId="005D4675">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7.内部人员管理方面</w:t>
      </w:r>
    </w:p>
    <w:p w14:paraId="53DD38EA">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绩效目标:负责本部门工作人员的教育、培训、管理和绩效考核。</w:t>
      </w:r>
    </w:p>
    <w:p w14:paraId="54FCDEE6">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绩效指标：负责垂直、双重管理及其他部门派驻政务服务中心的窗口人员及其行政审批事项的规范、管理和监督。</w:t>
      </w:r>
    </w:p>
    <w:p w14:paraId="0D0088CC">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8.管理目录清单方面</w:t>
      </w:r>
    </w:p>
    <w:p w14:paraId="68F82252">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绩效目标：负责对本部门行政审批事项实行目录管理动态调整。</w:t>
      </w:r>
    </w:p>
    <w:p w14:paraId="4EFF3BAF">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绩效指标：及时更新目录清单，与上级保持一致。</w:t>
      </w:r>
    </w:p>
    <w:p w14:paraId="74CE251B">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9.公共资源交易方面</w:t>
      </w:r>
    </w:p>
    <w:p w14:paraId="4184B6BF">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绩效目标:监督和指导公共资源交易中心收集发布各种交易信息，为各类交易提供服务场所，维护交易秩序。</w:t>
      </w:r>
    </w:p>
    <w:p w14:paraId="70380BBF">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绩效指标：工作完成率。</w:t>
      </w:r>
    </w:p>
    <w:p w14:paraId="0CC4A5BB">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10.互联网+政务服务方面</w:t>
      </w:r>
    </w:p>
    <w:p w14:paraId="0B1722B7">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绩效目标:加大技术人员配备和硬件投资力度，按上级“互联网+政务服务“实施方案要求和部署，搞好省政务服务平台的运行。  </w:t>
      </w:r>
    </w:p>
    <w:p w14:paraId="10D0FB23">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绩效指标： 逐步推进服务事项网上办理，推进网上政务服务向边远乡镇延伸，逐步实现“互联网+政务服务”基层全覆盖。</w:t>
      </w:r>
    </w:p>
    <w:p w14:paraId="0295515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45F2B186">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7955FE21">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根据《井陉县财政局关于开展2026年绩效自评工作的通知》（井财监[2026]1号）文件后要求，我局迅速抽调相关业务部门工作人员，成立由局长为组长、分管局长为副组长</w:t>
      </w:r>
      <w:bookmarkStart w:id="0" w:name="_GoBack"/>
      <w:bookmarkEnd w:id="0"/>
      <w:r>
        <w:rPr>
          <w:rFonts w:hint="eastAsia" w:ascii="仿宋" w:hAnsi="仿宋" w:eastAsia="仿宋"/>
          <w:sz w:val="32"/>
          <w:szCs w:val="32"/>
          <w:lang w:val="en-US" w:eastAsia="zh-CN"/>
        </w:rPr>
        <w:t>的绩效自评小组，召开专题会议，传达文件精神，开展我部门的绩效自评工作。</w:t>
      </w:r>
    </w:p>
    <w:p w14:paraId="1F22412A">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4515B1CE">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黑体"/>
          <w:color w:val="FF0000"/>
          <w:kern w:val="2"/>
          <w:sz w:val="32"/>
          <w:szCs w:val="32"/>
          <w:lang w:val="en-US" w:eastAsia="zh-CN" w:bidi="ar-SA"/>
        </w:rPr>
      </w:pPr>
      <w:r>
        <w:rPr>
          <w:rFonts w:hint="eastAsia" w:ascii="仿宋" w:hAnsi="仿宋" w:eastAsia="仿宋"/>
          <w:sz w:val="32"/>
          <w:szCs w:val="32"/>
          <w:lang w:val="en-US" w:eastAsia="zh-CN"/>
        </w:rPr>
        <w:t>项目涉及的相关业务科室按照公平公正、科学规范的原则对井陉县数据和政务服务局2025年劳务派遣人员支出、井陉县数政局政务服务中心标准化建设经费（第三批）、政务服务体系综合管理经费、政务服务中心综合业务经费、井陉县数政局偿还政府拖欠企业账款项目（第三批）、公共资源交易中心“双盲”改革场所提升、更换暖气管道及维修、办公场所租赁费、交易平台综合业务经费9个项目进行自评，分别从数量指标、质量指标、时效指标、预算执行率、社会效益指标、满意度指标等方面进行计算和打分，形成上报自评表；对重点项目，先由业务科室自评，再由自评工作小组对业务科室上报的相关材料进行审核、复核、测评，最终形上报项目自评表和自评报告。</w:t>
      </w:r>
    </w:p>
    <w:p w14:paraId="4DD9AB10">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109EAD38">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68C66AB3">
      <w:pPr>
        <w:pStyle w:val="2"/>
        <w:keepNext w:val="0"/>
        <w:keepLines w:val="0"/>
        <w:pageBreakBefore w:val="0"/>
        <w:widowControl w:val="0"/>
        <w:kinsoku/>
        <w:wordWrap/>
        <w:overflowPunct/>
        <w:topLinePunct w:val="0"/>
        <w:bidi w:val="0"/>
        <w:adjustRightInd w:val="0"/>
        <w:snapToGrid w:val="0"/>
        <w:spacing w:after="0" w:line="560" w:lineRule="exact"/>
        <w:ind w:firstLine="640" w:firstLineChars="200"/>
        <w:jc w:val="left"/>
        <w:textAlignment w:val="auto"/>
        <w:rPr>
          <w:rFonts w:hint="eastAsia" w:ascii="仿宋" w:hAnsi="仿宋" w:eastAsia="仿宋" w:cs="黑体"/>
          <w:color w:val="auto"/>
          <w:kern w:val="2"/>
          <w:sz w:val="32"/>
          <w:szCs w:val="32"/>
          <w:lang w:val="en-US" w:eastAsia="zh-CN" w:bidi="ar-SA"/>
        </w:rPr>
      </w:pPr>
      <w:r>
        <w:rPr>
          <w:rFonts w:hint="eastAsia" w:ascii="方正仿宋简体" w:hAnsi="方正仿宋简体" w:eastAsia="方正仿宋简体" w:cs="方正仿宋简体"/>
          <w:color w:val="auto"/>
          <w:kern w:val="0"/>
          <w:sz w:val="32"/>
          <w:szCs w:val="32"/>
          <w:lang w:val="en-US" w:eastAsia="zh-CN" w:bidi="ar-SA"/>
        </w:rPr>
        <w:t>2</w:t>
      </w:r>
      <w:r>
        <w:rPr>
          <w:rFonts w:hint="eastAsia" w:ascii="仿宋" w:hAnsi="仿宋" w:eastAsia="仿宋" w:cs="黑体"/>
          <w:color w:val="auto"/>
          <w:kern w:val="2"/>
          <w:sz w:val="32"/>
          <w:szCs w:val="32"/>
          <w:lang w:val="en-US" w:eastAsia="zh-CN" w:bidi="ar-SA"/>
        </w:rPr>
        <w:t>025年，在县委、县政府的坚强领导下，局党组坚持以习近平新时代中国特色社会主义思想为指导，全面落实国家、省、市决策部署，紧密围绕全县中心工作，团结带领全体干部职工，锐意进取、实干担当，全力推动数据赋能、政务提效、服务升级，圆满完成各项工作任务。荣获“全省公共资源交易优质服务平台”称号，并在全市数据发展大会上作典型发言，为全县高质量发展贡献了坚实的数政力量。</w:t>
      </w:r>
    </w:p>
    <w:p w14:paraId="3721A842">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47D12F58">
      <w:pPr>
        <w:pStyle w:val="13"/>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(1)政策落实方面</w:t>
      </w:r>
    </w:p>
    <w:p w14:paraId="70F6EBEA">
      <w:pPr>
        <w:pStyle w:val="13"/>
        <w:ind w:left="0" w:leftChars="0"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绩效目标:包括贯彻国家、省、市有关电子政务、智慧城市、政务服务和数据资源管理以及行政审批制度改革方面的方针政策和法律法规，制定数据和政务服务局各项规章制度和管理办法，并组织实施。</w:t>
      </w:r>
    </w:p>
    <w:p w14:paraId="10E6AA9A">
      <w:pPr>
        <w:pStyle w:val="13"/>
        <w:ind w:left="0" w:leftChars="0"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绩效指标：行政审批制度改革效率，行政审批局各项规章制度的制定和执行情况。</w:t>
      </w:r>
    </w:p>
    <w:p w14:paraId="65E72076">
      <w:pPr>
        <w:pStyle w:val="13"/>
        <w:ind w:left="0" w:leftChars="0"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完成情况：本年度严格贯彻落实国家、省、市关于电子政务、智慧城市、政务服务、数据资源管理及行政审批制度改革的各项方针政策与法律法规，全面对标上级工作要求，结合数据和政务服务局职能定位，高质量完成各项制度建设与落地实施任务，绩效目标100%达成。</w:t>
      </w:r>
    </w:p>
    <w:p w14:paraId="117321A6">
      <w:pPr>
        <w:pStyle w:val="13"/>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综合得分：100分。</w:t>
      </w:r>
    </w:p>
    <w:p w14:paraId="62E3CBDF">
      <w:pPr>
        <w:pStyle w:val="13"/>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(2)业务工作执行方面</w:t>
      </w:r>
    </w:p>
    <w:p w14:paraId="2F4D914B">
      <w:pPr>
        <w:pStyle w:val="13"/>
        <w:ind w:left="0" w:leftChars="0"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 xml:space="preserve">绩效目标:负责县电子政务组织推动工作；负责投资项目、商事登记、市场服务、文教体卫、社会事务、住建交通、生态环境、安全生产、农林畜水、经贸商务、城乡管理等方面的行政审批相关事项，以及相关工作体系、体制机制创新和完善工作，并承担相应的法律责任。 </w:t>
      </w:r>
    </w:p>
    <w:p w14:paraId="6A9C88B2">
      <w:pPr>
        <w:pStyle w:val="13"/>
        <w:ind w:left="0" w:leftChars="0"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 各业务科室每月业务量统计，办事人员业务技能考核。</w:t>
      </w:r>
    </w:p>
    <w:p w14:paraId="10F29911">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left"/>
        <w:textAlignment w:val="auto"/>
        <w:rPr>
          <w:rFonts w:hint="eastAsia" w:ascii="方正楷体简体" w:hAnsi="方正楷体简体" w:eastAsia="方正楷体简体" w:cs="方正楷体简体"/>
          <w:b/>
          <w:bCs/>
          <w:sz w:val="32"/>
          <w:szCs w:val="32"/>
        </w:rPr>
      </w:pPr>
      <w:r>
        <w:rPr>
          <w:rFonts w:hint="eastAsia" w:ascii="仿宋" w:hAnsi="仿宋" w:eastAsia="仿宋" w:cs="黑体"/>
          <w:kern w:val="2"/>
          <w:sz w:val="32"/>
          <w:szCs w:val="32"/>
          <w:lang w:val="en-US" w:eastAsia="zh-CN" w:bidi="ar-SA"/>
        </w:rPr>
        <w:t>完成情况：</w:t>
      </w:r>
      <w:r>
        <w:rPr>
          <w:rFonts w:hint="eastAsia" w:ascii="仿宋" w:hAnsi="仿宋" w:eastAsia="仿宋" w:cs="仿宋"/>
          <w:sz w:val="32"/>
          <w:szCs w:val="32"/>
          <w:lang w:val="en-US" w:eastAsia="zh-CN"/>
        </w:rPr>
        <w:t>共办理各类投资项目560个，总投资额达189.34亿元，助力17个专项债券项目、6个中央预算内资金项目、4个以工代赈项目顺利入库；办理企业设立登记702户、变更登记1141户、注销登记398户，免费刻制印章681套；</w:t>
      </w:r>
      <w:r>
        <w:rPr>
          <w:rFonts w:hint="eastAsia" w:ascii="方正仿宋简体" w:hAnsi="方正仿宋简体" w:eastAsia="方正仿宋简体" w:cs="方正仿宋简体"/>
          <w:sz w:val="32"/>
          <w:szCs w:val="32"/>
          <w:lang w:val="en-US" w:eastAsia="zh-CN"/>
        </w:rPr>
        <w:t>医疗机构执业登记361件、护士注册437件、医师注册231件、公共场所卫生许可111件、教师资格确认457人、特种设备使用登记812件、特种设备作业人员资格认定287件、</w:t>
      </w:r>
      <w:r>
        <w:rPr>
          <w:rFonts w:hint="eastAsia" w:ascii="仿宋" w:hAnsi="仿宋" w:eastAsia="仿宋" w:cs="仿宋"/>
          <w:sz w:val="32"/>
          <w:szCs w:val="32"/>
          <w:lang w:val="en-US" w:eastAsia="zh-CN"/>
        </w:rPr>
        <w:t>高效完成施工许可17件、人防审批4件、竣工备案53件，发放“温馨提示卡”1000余份；</w:t>
      </w:r>
      <w:r>
        <w:rPr>
          <w:rFonts w:hint="eastAsia" w:ascii="方正仿宋简体" w:hAnsi="方正仿宋简体" w:eastAsia="方正仿宋简体" w:cs="方正仿宋简体"/>
          <w:sz w:val="32"/>
          <w:szCs w:val="32"/>
          <w:lang w:val="en-US" w:eastAsia="zh-CN"/>
        </w:rPr>
        <w:t>道路货物运输经营许可392件、道路客货运车辆营运证配发3952件、危险化学品经营许可37件、一般建设项目环评报告表审批26件、排污许可业务112件、林木采伐许可证核发124件。</w:t>
      </w:r>
      <w:r>
        <w:rPr>
          <w:rFonts w:hint="eastAsia" w:ascii="仿宋" w:hAnsi="仿宋" w:eastAsia="仿宋" w:cs="仿宋"/>
          <w:sz w:val="32"/>
          <w:szCs w:val="32"/>
          <w:lang w:val="en-US" w:eastAsia="zh-CN"/>
        </w:rPr>
        <w:t>摸清7个自建系统单位公共数据存储总量达907.46TB。组织86家企业参与数据资源填报，其中国家平台审核通过56家，为数据要素市场化配置奠定基础，目前已登记公共数据资源735条；全年实施“双盲”评审+远程异地评标项目169宗，依法必须招标项目“双盲”评审覆盖率达到100%，有效提升了评标的公正性和独立性。2025年，</w:t>
      </w:r>
      <w:r>
        <w:rPr>
          <w:rFonts w:hint="eastAsia" w:ascii="方正仿宋简体" w:hAnsi="方正仿宋简体" w:eastAsia="方正仿宋简体" w:cs="方正仿宋简体"/>
          <w:sz w:val="32"/>
          <w:szCs w:val="32"/>
          <w:lang w:val="en-US" w:eastAsia="zh-CN"/>
        </w:rPr>
        <w:t>我局承担173项审批服务事项，全年共办结各类业务1万多件。</w:t>
      </w:r>
      <w:r>
        <w:rPr>
          <w:rFonts w:hint="eastAsia" w:ascii="方正仿宋简体" w:hAnsi="方正仿宋简体" w:eastAsia="方正仿宋简体" w:cs="方正仿宋简体"/>
          <w:sz w:val="32"/>
          <w:szCs w:val="32"/>
        </w:rPr>
        <w:t>全年大厅接待服务企业群众超过30万人次，现场办结率和群众满意度显著提高。</w:t>
      </w:r>
    </w:p>
    <w:p w14:paraId="2E76CE9C">
      <w:pPr>
        <w:pStyle w:val="8"/>
        <w:keepNext w:val="0"/>
        <w:keepLines w:val="0"/>
        <w:pageBreakBefore w:val="0"/>
        <w:widowControl/>
        <w:kinsoku/>
        <w:wordWrap/>
        <w:overflowPunct/>
        <w:topLinePunct w:val="0"/>
        <w:autoSpaceDE/>
        <w:autoSpaceDN/>
        <w:bidi w:val="0"/>
        <w:snapToGrid/>
        <w:spacing w:before="0" w:beforeAutospacing="0" w:after="0" w:afterAutospacing="0" w:line="540" w:lineRule="exact"/>
        <w:ind w:right="120" w:firstLine="672" w:firstLineChars="200"/>
        <w:jc w:val="both"/>
        <w:textAlignment w:val="baseline"/>
        <w:rPr>
          <w:rFonts w:hint="eastAsia" w:ascii="仿宋" w:hAnsi="仿宋" w:eastAsia="仿宋" w:cs="仿宋"/>
          <w:color w:val="000000"/>
          <w:sz w:val="32"/>
          <w:szCs w:val="32"/>
          <w:lang w:eastAsia="zh-CN"/>
        </w:rPr>
      </w:pPr>
      <w:r>
        <w:rPr>
          <w:rFonts w:hint="eastAsia" w:ascii="仿宋" w:hAnsi="仿宋" w:eastAsia="仿宋" w:cs="仿宋"/>
          <w:b w:val="0"/>
          <w:i w:val="0"/>
          <w:color w:val="222222"/>
          <w:spacing w:val="8"/>
          <w:w w:val="100"/>
          <w:kern w:val="0"/>
          <w:sz w:val="32"/>
          <w:szCs w:val="32"/>
          <w:lang w:val="en-US" w:eastAsia="zh-CN" w:bidi="ar"/>
        </w:rPr>
        <w:t>综合得分100分。</w:t>
      </w:r>
    </w:p>
    <w:p w14:paraId="384219D9">
      <w:pPr>
        <w:pStyle w:val="13"/>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(3)办事流程规范方面</w:t>
      </w:r>
    </w:p>
    <w:p w14:paraId="57D625CD">
      <w:pPr>
        <w:pStyle w:val="13"/>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办事流程绩效目标:负责按照规定程序对行政审批事项进行要件审核、技术认证、社会听证、现场踏勘工作，对符合规定条件的行政审批事项进行批准、签章、发文或发件，并将办理结果在规定时限内告知申请人。</w:t>
      </w:r>
    </w:p>
    <w:p w14:paraId="2A049384">
      <w:pPr>
        <w:pStyle w:val="13"/>
        <w:ind w:left="0" w:leftChars="0"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绩效指标：严格遵守审批流程，公开行政许可事项服务指南并及时更新；同时做好外出勘验工作。</w:t>
      </w:r>
    </w:p>
    <w:p w14:paraId="5F119B46">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left"/>
        <w:textAlignment w:val="auto"/>
        <w:rPr>
          <w:rFonts w:hint="eastAsia" w:ascii="方正仿宋简体" w:hAnsi="方正仿宋简体" w:eastAsia="方正仿宋简体" w:cs="方正仿宋简体"/>
          <w:color w:val="FF0000"/>
          <w:sz w:val="32"/>
          <w:szCs w:val="32"/>
        </w:rPr>
      </w:pPr>
      <w:r>
        <w:rPr>
          <w:rFonts w:hint="eastAsia" w:ascii="仿宋" w:hAnsi="仿宋" w:eastAsia="仿宋" w:cs="黑体"/>
          <w:kern w:val="2"/>
          <w:sz w:val="32"/>
          <w:szCs w:val="32"/>
          <w:lang w:val="en-US" w:eastAsia="zh-CN" w:bidi="ar-SA"/>
        </w:rPr>
        <w:t>完成情况：业务办理严格遵守受理-审核-审批的办事流程，并在规定时限内将办理结果告知申请人。行政许可事项一次性告知单及服务指南及时更新。我局7个业务科室47项事项涉及勘验，勘验科严格按照各事项的现场勘验要求进行外出踏勘工作，全年办理164件，及时完成勘验任务。</w:t>
      </w:r>
    </w:p>
    <w:p w14:paraId="1517EEDB">
      <w:pPr>
        <w:pStyle w:val="8"/>
        <w:keepNext w:val="0"/>
        <w:keepLines w:val="0"/>
        <w:pageBreakBefore w:val="0"/>
        <w:widowControl/>
        <w:kinsoku/>
        <w:wordWrap/>
        <w:overflowPunct/>
        <w:topLinePunct w:val="0"/>
        <w:autoSpaceDE/>
        <w:autoSpaceDN/>
        <w:bidi w:val="0"/>
        <w:snapToGrid/>
        <w:spacing w:before="0" w:beforeAutospacing="0" w:after="0" w:afterAutospacing="0" w:line="540" w:lineRule="exact"/>
        <w:ind w:right="120" w:firstLine="672" w:firstLineChars="200"/>
        <w:jc w:val="both"/>
        <w:textAlignment w:val="baseline"/>
        <w:rPr>
          <w:rFonts w:hint="default" w:ascii="方正仿宋简体" w:hAnsi="方正仿宋简体" w:eastAsia="方正仿宋简体" w:cs="方正仿宋简体"/>
          <w:sz w:val="32"/>
          <w:szCs w:val="32"/>
          <w:lang w:val="en-US" w:eastAsia="zh-CN"/>
        </w:rPr>
      </w:pPr>
      <w:r>
        <w:rPr>
          <w:rFonts w:hint="eastAsia" w:ascii="仿宋" w:hAnsi="仿宋" w:eastAsia="仿宋" w:cs="仿宋"/>
          <w:b w:val="0"/>
          <w:i w:val="0"/>
          <w:color w:val="222222"/>
          <w:spacing w:val="8"/>
          <w:w w:val="100"/>
          <w:kern w:val="0"/>
          <w:sz w:val="32"/>
          <w:szCs w:val="32"/>
          <w:lang w:val="en-US" w:eastAsia="zh-CN" w:bidi="ar"/>
        </w:rPr>
        <w:t>综合得分100分。</w:t>
      </w:r>
    </w:p>
    <w:p w14:paraId="46F6A2EE">
      <w:pPr>
        <w:pStyle w:val="13"/>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(4)审批流程方面</w:t>
      </w:r>
    </w:p>
    <w:p w14:paraId="0EEBF534">
      <w:pPr>
        <w:pStyle w:val="13"/>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绩效目标：优化流程绩效目标:负责规范行政审批行为，对行政审批事项进流程再造，优化环节，压缩时限，提高效率，并依法全面公开行政审批信息。</w:t>
      </w:r>
    </w:p>
    <w:p w14:paraId="1FC37C78">
      <w:pPr>
        <w:pStyle w:val="13"/>
        <w:ind w:left="0" w:leftChars="0"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绩效指标：办事流程规范化，推动大厅自动标准化建设。</w:t>
      </w:r>
    </w:p>
    <w:p w14:paraId="36B6D67E">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left"/>
        <w:textAlignment w:val="auto"/>
        <w:rPr>
          <w:rFonts w:hint="eastAsia" w:ascii="方正仿宋简体" w:hAnsi="方正仿宋简体" w:eastAsia="方正仿宋简体" w:cs="方正仿宋简体"/>
          <w:sz w:val="32"/>
          <w:szCs w:val="32"/>
        </w:rPr>
      </w:pPr>
      <w:r>
        <w:rPr>
          <w:rFonts w:hint="eastAsia" w:ascii="仿宋" w:hAnsi="仿宋" w:eastAsia="仿宋" w:cs="黑体"/>
          <w:kern w:val="2"/>
          <w:sz w:val="32"/>
          <w:szCs w:val="32"/>
          <w:lang w:val="en-US" w:eastAsia="zh-CN" w:bidi="ar-SA"/>
        </w:rPr>
        <w:t>完成情况：</w:t>
      </w:r>
      <w:r>
        <w:rPr>
          <w:rFonts w:hint="eastAsia" w:ascii="方正仿宋简体" w:hAnsi="方正仿宋简体" w:eastAsia="方正仿宋简体" w:cs="方正仿宋简体"/>
          <w:sz w:val="32"/>
          <w:szCs w:val="32"/>
        </w:rPr>
        <w:t>建立“点对点、一对一”项目包联帮办机制，主动靠前服务，全程跟踪指导，全年召开项目调度会120余次，开展上门服务</w:t>
      </w:r>
      <w:r>
        <w:rPr>
          <w:rFonts w:hint="eastAsia" w:ascii="方正仿宋简体" w:hAnsi="方正仿宋简体" w:eastAsia="方正仿宋简体" w:cs="方正仿宋简体"/>
          <w:sz w:val="32"/>
          <w:szCs w:val="32"/>
          <w:lang w:val="en-US" w:eastAsia="zh-CN"/>
        </w:rPr>
        <w:t>20</w:t>
      </w:r>
      <w:r>
        <w:rPr>
          <w:rFonts w:hint="eastAsia" w:ascii="方正仿宋简体" w:hAnsi="方正仿宋简体" w:eastAsia="方正仿宋简体" w:cs="方正仿宋简体"/>
          <w:sz w:val="32"/>
          <w:szCs w:val="32"/>
        </w:rPr>
        <w:t>0余次，及时协调解决项目推进中的堵点难点问题。持续压缩办理时限、简化办事环节、精简申请材料。依托行政效能监督平台，加强对办件时限的实时监控和预警督办，建立投诉举报快速响应和闭环处理机制，坚决杜绝超期办件。</w:t>
      </w:r>
    </w:p>
    <w:p w14:paraId="538379E5">
      <w:pPr>
        <w:pStyle w:val="8"/>
        <w:keepNext w:val="0"/>
        <w:keepLines w:val="0"/>
        <w:pageBreakBefore w:val="0"/>
        <w:widowControl/>
        <w:kinsoku/>
        <w:wordWrap/>
        <w:overflowPunct/>
        <w:topLinePunct w:val="0"/>
        <w:autoSpaceDE/>
        <w:autoSpaceDN/>
        <w:bidi w:val="0"/>
        <w:snapToGrid/>
        <w:spacing w:before="0" w:beforeAutospacing="0" w:after="0" w:afterAutospacing="0" w:line="540" w:lineRule="exact"/>
        <w:ind w:right="120" w:firstLine="672" w:firstLineChars="200"/>
        <w:jc w:val="both"/>
        <w:textAlignment w:val="baseline"/>
        <w:rPr>
          <w:rFonts w:hint="default" w:ascii="方正仿宋简体" w:hAnsi="方正仿宋简体" w:eastAsia="方正仿宋简体" w:cs="方正仿宋简体"/>
          <w:sz w:val="32"/>
          <w:szCs w:val="32"/>
          <w:lang w:val="en-US" w:eastAsia="zh-CN"/>
        </w:rPr>
      </w:pPr>
      <w:r>
        <w:rPr>
          <w:rFonts w:hint="eastAsia" w:ascii="仿宋" w:hAnsi="仿宋" w:eastAsia="仿宋" w:cs="仿宋"/>
          <w:b w:val="0"/>
          <w:i w:val="0"/>
          <w:color w:val="222222"/>
          <w:spacing w:val="8"/>
          <w:w w:val="100"/>
          <w:kern w:val="0"/>
          <w:sz w:val="32"/>
          <w:szCs w:val="32"/>
          <w:lang w:val="en-US" w:eastAsia="zh-CN" w:bidi="ar"/>
        </w:rPr>
        <w:t>综合得分100分。</w:t>
      </w:r>
    </w:p>
    <w:p w14:paraId="46078D0D">
      <w:pPr>
        <w:pStyle w:val="13"/>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(5）工作协调方面</w:t>
      </w:r>
    </w:p>
    <w:p w14:paraId="22DBF753">
      <w:pPr>
        <w:pStyle w:val="13"/>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绩效目标:负责及时向各职能部门推送行政审批事项情况，协调解决审批事项办理中的各类问题。</w:t>
      </w:r>
    </w:p>
    <w:p w14:paraId="54980807">
      <w:pPr>
        <w:pStyle w:val="13"/>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绩效指标：严格按照法律法规处理审批环节遇到的问题，强化业务培训，做好防范措施。</w:t>
      </w:r>
    </w:p>
    <w:p w14:paraId="57758711">
      <w:pPr>
        <w:keepNext w:val="0"/>
        <w:keepLines w:val="0"/>
        <w:pageBreakBefore w:val="0"/>
        <w:widowControl w:val="0"/>
        <w:kinsoku/>
        <w:wordWrap/>
        <w:overflowPunct/>
        <w:topLinePunct w:val="0"/>
        <w:bidi w:val="0"/>
        <w:adjustRightInd w:val="0"/>
        <w:snapToGrid w:val="0"/>
        <w:spacing w:line="560" w:lineRule="exact"/>
        <w:ind w:firstLine="640" w:firstLineChars="200"/>
        <w:jc w:val="left"/>
        <w:textAlignment w:val="auto"/>
        <w:rPr>
          <w:rFonts w:hint="eastAsia" w:ascii="方正仿宋简体" w:hAnsi="方正仿宋简体" w:eastAsia="方正仿宋简体" w:cs="方正仿宋简体"/>
          <w:sz w:val="32"/>
          <w:szCs w:val="32"/>
        </w:rPr>
      </w:pPr>
      <w:r>
        <w:rPr>
          <w:rFonts w:hint="eastAsia" w:ascii="仿宋" w:hAnsi="仿宋" w:eastAsia="仿宋" w:cs="黑体"/>
          <w:kern w:val="2"/>
          <w:sz w:val="32"/>
          <w:szCs w:val="32"/>
          <w:lang w:val="en-US" w:eastAsia="zh-CN" w:bidi="ar-SA"/>
        </w:rPr>
        <w:t>完成情况：办结审批事项及时向职能部门推送行政审批事项情况，同时加强业务交流，疑难事项联合职能部门共同办理。</w:t>
      </w:r>
      <w:r>
        <w:rPr>
          <w:rFonts w:hint="eastAsia" w:ascii="方正仿宋简体" w:hAnsi="方正仿宋简体" w:eastAsia="方正仿宋简体" w:cs="方正仿宋简体"/>
          <w:sz w:val="32"/>
          <w:szCs w:val="32"/>
        </w:rPr>
        <w:t>全年组织乡镇综合服务中心人员集中培训</w:t>
      </w:r>
      <w:r>
        <w:rPr>
          <w:rFonts w:hint="eastAsia" w:ascii="方正仿宋简体" w:hAnsi="方正仿宋简体" w:eastAsia="方正仿宋简体" w:cs="方正仿宋简体"/>
          <w:sz w:val="32"/>
          <w:szCs w:val="32"/>
          <w:lang w:val="en-US" w:eastAsia="zh-CN"/>
        </w:rPr>
        <w:t>4</w:t>
      </w:r>
      <w:r>
        <w:rPr>
          <w:rFonts w:hint="eastAsia" w:ascii="方正仿宋简体" w:hAnsi="方正仿宋简体" w:eastAsia="方正仿宋简体" w:cs="方正仿宋简体"/>
          <w:sz w:val="32"/>
          <w:szCs w:val="32"/>
        </w:rPr>
        <w:t>次、跟班学习</w:t>
      </w:r>
      <w:r>
        <w:rPr>
          <w:rFonts w:hint="eastAsia" w:ascii="方正仿宋简体" w:hAnsi="方正仿宋简体" w:eastAsia="方正仿宋简体" w:cs="方正仿宋简体"/>
          <w:sz w:val="32"/>
          <w:szCs w:val="32"/>
          <w:lang w:val="en-US" w:eastAsia="zh-CN"/>
        </w:rPr>
        <w:t>6</w:t>
      </w:r>
      <w:r>
        <w:rPr>
          <w:rFonts w:hint="eastAsia" w:ascii="方正仿宋简体" w:hAnsi="方正仿宋简体" w:eastAsia="方正仿宋简体" w:cs="方正仿宋简体"/>
          <w:sz w:val="32"/>
          <w:szCs w:val="32"/>
        </w:rPr>
        <w:t>期，通过电话、实地等方式进行业务指导</w:t>
      </w:r>
      <w:r>
        <w:rPr>
          <w:rFonts w:hint="eastAsia" w:ascii="方正仿宋简体" w:hAnsi="方正仿宋简体" w:eastAsia="方正仿宋简体" w:cs="方正仿宋简体"/>
          <w:sz w:val="32"/>
          <w:szCs w:val="32"/>
          <w:lang w:val="en-US" w:eastAsia="zh-CN"/>
        </w:rPr>
        <w:t>7</w:t>
      </w:r>
      <w:r>
        <w:rPr>
          <w:rFonts w:hint="eastAsia" w:ascii="方正仿宋简体" w:hAnsi="方正仿宋简体" w:eastAsia="方正仿宋简体" w:cs="方正仿宋简体"/>
          <w:sz w:val="32"/>
          <w:szCs w:val="32"/>
        </w:rPr>
        <w:t>0余次</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全年组织信用修复培训12次，指导85家企业修复行政处罚记录125条，助力企业重塑信用。每月开展诚信主题宣传活动，推动诚信文化进社区、进企业、进校园等“六进”活动。全年组织宣传活动12次，发放资料8500余份</w:t>
      </w:r>
      <w:r>
        <w:rPr>
          <w:rFonts w:hint="eastAsia" w:ascii="方正仿宋简体" w:hAnsi="方正仿宋简体" w:eastAsia="方正仿宋简体" w:cs="方正仿宋简体"/>
          <w:sz w:val="32"/>
          <w:szCs w:val="32"/>
          <w:lang w:eastAsia="zh-CN"/>
        </w:rPr>
        <w:t>。</w:t>
      </w:r>
    </w:p>
    <w:p w14:paraId="7C730CEB">
      <w:pPr>
        <w:pStyle w:val="8"/>
        <w:keepNext w:val="0"/>
        <w:keepLines w:val="0"/>
        <w:pageBreakBefore w:val="0"/>
        <w:widowControl/>
        <w:kinsoku/>
        <w:wordWrap/>
        <w:overflowPunct/>
        <w:topLinePunct w:val="0"/>
        <w:autoSpaceDE/>
        <w:autoSpaceDN/>
        <w:bidi w:val="0"/>
        <w:snapToGrid/>
        <w:spacing w:before="0" w:beforeAutospacing="0" w:after="0" w:afterAutospacing="0" w:line="540" w:lineRule="exact"/>
        <w:ind w:right="120" w:firstLine="672" w:firstLineChars="200"/>
        <w:jc w:val="both"/>
        <w:textAlignment w:val="baseline"/>
        <w:rPr>
          <w:rFonts w:hint="default" w:ascii="方正仿宋简体" w:hAnsi="方正仿宋简体" w:eastAsia="方正仿宋简体" w:cs="方正仿宋简体"/>
          <w:sz w:val="32"/>
          <w:szCs w:val="32"/>
          <w:lang w:val="en-US" w:eastAsia="zh-CN"/>
        </w:rPr>
      </w:pPr>
      <w:r>
        <w:rPr>
          <w:rFonts w:hint="eastAsia" w:ascii="仿宋" w:hAnsi="仿宋" w:eastAsia="仿宋" w:cs="仿宋"/>
          <w:b w:val="0"/>
          <w:i w:val="0"/>
          <w:color w:val="222222"/>
          <w:spacing w:val="8"/>
          <w:w w:val="100"/>
          <w:kern w:val="0"/>
          <w:sz w:val="32"/>
          <w:szCs w:val="32"/>
          <w:lang w:val="en-US" w:eastAsia="zh-CN" w:bidi="ar"/>
        </w:rPr>
        <w:t>综合得分100分。</w:t>
      </w:r>
    </w:p>
    <w:p w14:paraId="6BFD6A7F">
      <w:pPr>
        <w:pStyle w:val="13"/>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（6）便民体系方面</w:t>
      </w:r>
    </w:p>
    <w:p w14:paraId="3C67ABBB">
      <w:pPr>
        <w:pStyle w:val="13"/>
        <w:ind w:left="0" w:leftChars="0"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绩效目标：负责行政审批平台、信息化、各级便民服务体系的建设、指导和推动工作。</w:t>
      </w:r>
    </w:p>
    <w:p w14:paraId="06AF0148">
      <w:pPr>
        <w:pStyle w:val="13"/>
        <w:ind w:left="0" w:leftChars="0"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绩效指标：做到人员设备、流程制度、工作环境等配备齐全。实现企业注册全程电子化。</w:t>
      </w:r>
    </w:p>
    <w:p w14:paraId="2608B05E">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left"/>
        <w:textAlignment w:val="auto"/>
        <w:rPr>
          <w:rFonts w:hint="eastAsia" w:ascii="方正仿宋简体" w:hAnsi="方正仿宋简体" w:eastAsia="方正仿宋简体" w:cs="方正仿宋简体"/>
          <w:sz w:val="32"/>
          <w:szCs w:val="32"/>
        </w:rPr>
      </w:pPr>
      <w:r>
        <w:rPr>
          <w:rFonts w:hint="eastAsia" w:ascii="仿宋" w:hAnsi="仿宋" w:eastAsia="仿宋" w:cs="黑体"/>
          <w:kern w:val="2"/>
          <w:sz w:val="32"/>
          <w:szCs w:val="32"/>
          <w:lang w:val="en-US" w:eastAsia="zh-CN" w:bidi="ar-SA"/>
        </w:rPr>
        <w:t>完成情况：</w:t>
      </w:r>
      <w:r>
        <w:rPr>
          <w:rFonts w:hint="eastAsia" w:ascii="方正仿宋简体" w:hAnsi="方正仿宋简体" w:eastAsia="方正仿宋简体" w:cs="方正仿宋简体"/>
          <w:sz w:val="32"/>
          <w:szCs w:val="32"/>
        </w:rPr>
        <w:t>根据办事流量动态调整窗口设置，更新完善大厅导引标识。升级无障碍通道、卫生间等设施，</w:t>
      </w:r>
      <w:r>
        <w:rPr>
          <w:rFonts w:hint="eastAsia" w:ascii="方正仿宋简体" w:hAnsi="方正仿宋简体" w:eastAsia="方正仿宋简体" w:cs="方正仿宋简体"/>
          <w:sz w:val="32"/>
          <w:szCs w:val="32"/>
          <w:lang w:eastAsia="zh-CN"/>
        </w:rPr>
        <w:t>完善</w:t>
      </w:r>
      <w:r>
        <w:rPr>
          <w:rFonts w:hint="eastAsia" w:ascii="方正仿宋简体" w:hAnsi="方正仿宋简体" w:eastAsia="方正仿宋简体" w:cs="方正仿宋简体"/>
          <w:sz w:val="32"/>
          <w:szCs w:val="32"/>
        </w:rPr>
        <w:t>配备智能叫号系统和“好差评”评价器，营造友好、便捷、高效的办事环境。全年大厅累计办理各类事项90874件，接待服务企业群众超过30万人次，现场办结率和群众满意度显著提高。在</w:t>
      </w:r>
      <w:r>
        <w:rPr>
          <w:rFonts w:hint="eastAsia" w:ascii="方正仿宋简体" w:hAnsi="方正仿宋简体" w:eastAsia="方正仿宋简体" w:cs="方正仿宋简体"/>
          <w:sz w:val="32"/>
          <w:szCs w:val="32"/>
          <w:lang w:eastAsia="zh-CN"/>
        </w:rPr>
        <w:t>大厅</w:t>
      </w:r>
      <w:r>
        <w:rPr>
          <w:rFonts w:hint="eastAsia" w:ascii="方正仿宋简体" w:hAnsi="方正仿宋简体" w:eastAsia="方正仿宋简体" w:cs="方正仿宋简体"/>
          <w:sz w:val="32"/>
          <w:szCs w:val="32"/>
        </w:rPr>
        <w:t>设置“高效办成一件事”专区和专窗，各进驻部门设立套餐专窗，提供收件、咨询、帮办代办服务。全年通过“一件事”套餐办理业务8466件，大幅节约了企业和群众的办事成本与时间，数字赋能政务服务的效应日益凸显。</w:t>
      </w:r>
    </w:p>
    <w:p w14:paraId="6DA8CC0F">
      <w:pPr>
        <w:pStyle w:val="8"/>
        <w:keepNext w:val="0"/>
        <w:keepLines w:val="0"/>
        <w:pageBreakBefore w:val="0"/>
        <w:widowControl/>
        <w:kinsoku/>
        <w:wordWrap/>
        <w:overflowPunct/>
        <w:topLinePunct w:val="0"/>
        <w:autoSpaceDE/>
        <w:autoSpaceDN/>
        <w:bidi w:val="0"/>
        <w:snapToGrid/>
        <w:spacing w:before="0" w:beforeAutospacing="0" w:after="0" w:afterAutospacing="0" w:line="540" w:lineRule="exact"/>
        <w:ind w:right="120" w:firstLine="672" w:firstLineChars="200"/>
        <w:jc w:val="both"/>
        <w:textAlignment w:val="baseline"/>
        <w:rPr>
          <w:rFonts w:hint="default" w:ascii="方正仿宋简体" w:hAnsi="方正仿宋简体" w:eastAsia="方正仿宋简体" w:cs="方正仿宋简体"/>
          <w:sz w:val="32"/>
          <w:szCs w:val="32"/>
          <w:lang w:val="en-US" w:eastAsia="zh-CN"/>
        </w:rPr>
      </w:pPr>
      <w:r>
        <w:rPr>
          <w:rFonts w:hint="eastAsia" w:ascii="仿宋" w:hAnsi="仿宋" w:eastAsia="仿宋" w:cs="仿宋"/>
          <w:b w:val="0"/>
          <w:i w:val="0"/>
          <w:color w:val="222222"/>
          <w:spacing w:val="8"/>
          <w:w w:val="100"/>
          <w:kern w:val="0"/>
          <w:sz w:val="32"/>
          <w:szCs w:val="32"/>
          <w:lang w:val="en-US" w:eastAsia="zh-CN" w:bidi="ar"/>
        </w:rPr>
        <w:t>综合得分100分。</w:t>
      </w:r>
    </w:p>
    <w:p w14:paraId="2D422686">
      <w:pPr>
        <w:pStyle w:val="13"/>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（7）内部人员管理方面</w:t>
      </w:r>
    </w:p>
    <w:p w14:paraId="3E4E1F41">
      <w:pPr>
        <w:pStyle w:val="13"/>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绩效目标:负责本部门工作人员的教育、培训、管理和绩效考核。</w:t>
      </w:r>
    </w:p>
    <w:p w14:paraId="3444F58A">
      <w:pPr>
        <w:pStyle w:val="13"/>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绩效指标：负责垂直、双重管理及其他部门派驻政务服务中心的窗口人员及其行政审批事项的规范、管理和监督。</w:t>
      </w:r>
    </w:p>
    <w:p w14:paraId="3E6291C7">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left"/>
        <w:textAlignment w:val="auto"/>
        <w:rPr>
          <w:rFonts w:hint="eastAsia" w:ascii="方正仿宋简体" w:hAnsi="方正仿宋简体" w:eastAsia="方正仿宋简体" w:cs="方正仿宋简体"/>
          <w:color w:val="000000" w:themeColor="text1"/>
          <w:sz w:val="32"/>
          <w:szCs w:val="32"/>
          <w14:textFill>
            <w14:solidFill>
              <w14:schemeClr w14:val="tx1"/>
            </w14:solidFill>
          </w14:textFill>
        </w:rPr>
      </w:pPr>
      <w:r>
        <w:rPr>
          <w:rFonts w:hint="eastAsia" w:ascii="仿宋" w:hAnsi="仿宋" w:eastAsia="仿宋" w:cs="黑体"/>
          <w:kern w:val="2"/>
          <w:sz w:val="32"/>
          <w:szCs w:val="32"/>
          <w:lang w:val="en-US" w:eastAsia="zh-CN" w:bidi="ar-SA"/>
        </w:rPr>
        <w:t>完成情况：</w:t>
      </w:r>
      <w:r>
        <w:rPr>
          <w:rFonts w:hint="eastAsia" w:ascii="方正仿宋简体" w:hAnsi="方正仿宋简体" w:eastAsia="方正仿宋简体" w:cs="方正仿宋简体"/>
          <w:sz w:val="32"/>
          <w:szCs w:val="32"/>
          <w:lang w:eastAsia="zh-CN"/>
        </w:rPr>
        <w:t>通过</w:t>
      </w:r>
      <w:r>
        <w:rPr>
          <w:rFonts w:hint="eastAsia" w:ascii="方正仿宋简体" w:hAnsi="方正仿宋简体" w:eastAsia="方正仿宋简体" w:cs="方正仿宋简体"/>
          <w:sz w:val="32"/>
          <w:szCs w:val="32"/>
        </w:rPr>
        <w:t>“每周一学”业务培训，</w:t>
      </w:r>
      <w:r>
        <w:rPr>
          <w:rFonts w:hint="eastAsia" w:ascii="方正仿宋简体" w:hAnsi="方正仿宋简体" w:eastAsia="方正仿宋简体" w:cs="方正仿宋简体"/>
          <w:color w:val="000000" w:themeColor="text1"/>
          <w:sz w:val="32"/>
          <w:szCs w:val="32"/>
          <w14:textFill>
            <w14:solidFill>
              <w14:schemeClr w14:val="tx1"/>
            </w14:solidFill>
          </w14:textFill>
        </w:rPr>
        <w:t>围绕法律法规、政策文件、系统操作开展常态化培训。定期组织案卷评查，规范审批文书和归档材料，强化工作人员的法治意识、程序意识和责任意识。</w:t>
      </w:r>
    </w:p>
    <w:p w14:paraId="6587CB17">
      <w:pPr>
        <w:pStyle w:val="8"/>
        <w:keepNext w:val="0"/>
        <w:keepLines w:val="0"/>
        <w:pageBreakBefore w:val="0"/>
        <w:widowControl/>
        <w:kinsoku/>
        <w:wordWrap/>
        <w:overflowPunct/>
        <w:topLinePunct w:val="0"/>
        <w:autoSpaceDE/>
        <w:autoSpaceDN/>
        <w:bidi w:val="0"/>
        <w:snapToGrid/>
        <w:spacing w:before="0" w:beforeAutospacing="0" w:after="0" w:afterAutospacing="0" w:line="540" w:lineRule="exact"/>
        <w:ind w:right="120" w:firstLine="672" w:firstLineChars="200"/>
        <w:jc w:val="both"/>
        <w:textAlignment w:val="baseline"/>
        <w:rPr>
          <w:rFonts w:hint="eastAsia" w:ascii="仿宋" w:hAnsi="仿宋" w:eastAsia="仿宋" w:cs="黑体"/>
          <w:kern w:val="2"/>
          <w:sz w:val="32"/>
          <w:szCs w:val="32"/>
          <w:lang w:val="en-US" w:eastAsia="zh-CN" w:bidi="ar-SA"/>
        </w:rPr>
      </w:pPr>
      <w:r>
        <w:rPr>
          <w:rFonts w:hint="eastAsia" w:ascii="仿宋" w:hAnsi="仿宋" w:eastAsia="仿宋" w:cs="仿宋"/>
          <w:b w:val="0"/>
          <w:i w:val="0"/>
          <w:color w:val="222222"/>
          <w:spacing w:val="8"/>
          <w:w w:val="100"/>
          <w:kern w:val="0"/>
          <w:sz w:val="32"/>
          <w:szCs w:val="32"/>
          <w:lang w:val="en-US" w:eastAsia="zh-CN" w:bidi="ar"/>
        </w:rPr>
        <w:t>综合得分100分。</w:t>
      </w:r>
    </w:p>
    <w:p w14:paraId="3916DA17">
      <w:pPr>
        <w:pStyle w:val="13"/>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（8）管理目录清单方面</w:t>
      </w:r>
    </w:p>
    <w:p w14:paraId="5D7315E3">
      <w:pPr>
        <w:pStyle w:val="13"/>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绩效目标：负责对本部门行政审批事项实行目录管理动态调整。</w:t>
      </w:r>
    </w:p>
    <w:p w14:paraId="37C071DB">
      <w:pPr>
        <w:pStyle w:val="13"/>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绩效指标：及时更新目录清单，与上级保持一致。</w:t>
      </w:r>
    </w:p>
    <w:p w14:paraId="1DFE3154">
      <w:pPr>
        <w:pStyle w:val="13"/>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lang w:val="en-US" w:eastAsia="zh-CN"/>
        </w:rPr>
        <w:t>完成情况：</w:t>
      </w:r>
      <w:r>
        <w:rPr>
          <w:rFonts w:hint="eastAsia" w:ascii="方正仿宋简体" w:hAnsi="方正仿宋简体" w:eastAsia="方正仿宋简体" w:cs="方正仿宋简体"/>
          <w:sz w:val="32"/>
          <w:szCs w:val="32"/>
        </w:rPr>
        <w:t>扎实开展全县公共数据资源普查与归集工作，编制职责目录4719条、系统目录9条、数据目录4810条，常态化归集结构化数据43.3亿条，全部汇聚至市统一公共数据平台，数据底座日益坚实。</w:t>
      </w:r>
    </w:p>
    <w:p w14:paraId="0DAE57E7">
      <w:pPr>
        <w:pStyle w:val="8"/>
        <w:keepNext w:val="0"/>
        <w:keepLines w:val="0"/>
        <w:pageBreakBefore w:val="0"/>
        <w:widowControl/>
        <w:kinsoku/>
        <w:wordWrap/>
        <w:overflowPunct/>
        <w:topLinePunct w:val="0"/>
        <w:autoSpaceDE/>
        <w:autoSpaceDN/>
        <w:bidi w:val="0"/>
        <w:snapToGrid/>
        <w:spacing w:before="0" w:beforeAutospacing="0" w:after="0" w:afterAutospacing="0" w:line="540" w:lineRule="exact"/>
        <w:ind w:right="120" w:firstLine="672" w:firstLineChars="200"/>
        <w:jc w:val="both"/>
        <w:textAlignment w:val="baseline"/>
        <w:rPr>
          <w:rFonts w:hint="eastAsia" w:ascii="仿宋" w:hAnsi="仿宋" w:eastAsia="仿宋" w:cs="黑体"/>
          <w:kern w:val="2"/>
          <w:sz w:val="32"/>
          <w:szCs w:val="32"/>
          <w:lang w:val="en-US" w:eastAsia="zh-CN" w:bidi="ar-SA"/>
        </w:rPr>
      </w:pPr>
      <w:r>
        <w:rPr>
          <w:rFonts w:hint="eastAsia" w:ascii="仿宋" w:hAnsi="仿宋" w:eastAsia="仿宋" w:cs="仿宋"/>
          <w:b w:val="0"/>
          <w:i w:val="0"/>
          <w:color w:val="222222"/>
          <w:spacing w:val="8"/>
          <w:w w:val="100"/>
          <w:kern w:val="0"/>
          <w:sz w:val="32"/>
          <w:szCs w:val="32"/>
          <w:lang w:val="en-US" w:eastAsia="zh-CN" w:bidi="ar"/>
        </w:rPr>
        <w:t>综合得分100分。</w:t>
      </w:r>
    </w:p>
    <w:p w14:paraId="22F94D32">
      <w:pPr>
        <w:pStyle w:val="13"/>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（9）公共资源交易方面</w:t>
      </w:r>
    </w:p>
    <w:p w14:paraId="366F765C">
      <w:pPr>
        <w:pStyle w:val="13"/>
        <w:ind w:left="0" w:leftChars="0"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绩效目标:监督和指导公共资源交易中心收集发布各种交易信息，为各类交易提供服务场所，维护交易秩序。</w:t>
      </w:r>
    </w:p>
    <w:p w14:paraId="06AE7CAF">
      <w:pPr>
        <w:pStyle w:val="13"/>
        <w:ind w:left="0" w:leftChars="0"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绩效指标：工作完成率</w:t>
      </w:r>
    </w:p>
    <w:p w14:paraId="24612A22">
      <w:pPr>
        <w:keepNext w:val="0"/>
        <w:keepLines w:val="0"/>
        <w:pageBreakBefore w:val="0"/>
        <w:widowControl w:val="0"/>
        <w:kinsoku/>
        <w:wordWrap/>
        <w:overflowPunct/>
        <w:topLinePunct w:val="0"/>
        <w:bidi w:val="0"/>
        <w:adjustRightInd w:val="0"/>
        <w:snapToGrid w:val="0"/>
        <w:spacing w:line="560" w:lineRule="exact"/>
        <w:ind w:firstLine="640" w:firstLineChars="200"/>
        <w:jc w:val="left"/>
        <w:textAlignment w:val="auto"/>
        <w:rPr>
          <w:rFonts w:hint="eastAsia" w:ascii="方正仿宋简体" w:hAnsi="方正仿宋简体" w:eastAsia="方正仿宋简体" w:cs="方正仿宋简体"/>
          <w:sz w:val="32"/>
          <w:szCs w:val="32"/>
        </w:rPr>
      </w:pPr>
      <w:r>
        <w:rPr>
          <w:rFonts w:hint="eastAsia" w:ascii="仿宋" w:hAnsi="仿宋" w:eastAsia="仿宋" w:cs="黑体"/>
          <w:kern w:val="2"/>
          <w:sz w:val="32"/>
          <w:szCs w:val="32"/>
          <w:lang w:val="en-US" w:eastAsia="zh-CN" w:bidi="ar-SA"/>
        </w:rPr>
        <w:t>完成情况：</w:t>
      </w:r>
      <w:r>
        <w:rPr>
          <w:rFonts w:hint="eastAsia" w:ascii="方正仿宋简体" w:hAnsi="方正仿宋简体" w:eastAsia="方正仿宋简体" w:cs="方正仿宋简体"/>
          <w:sz w:val="32"/>
          <w:szCs w:val="32"/>
        </w:rPr>
        <w:t>完成远程异地评标场地智能化升级，新增10个评审席位，实现与省监管平台无缝对接。全年实施“双盲”评审+远程异地评标项目169宗，依法必须招标项目“双盲”评审覆盖率达到100%，有效提升了评标的公正性和独立性。大力推行以信用承诺函替代投标保证金，全年共有37个项目、270个投标人采用该方式，累计为市场主体释放资金占用约5799.94万元，切实降低了企业交易成本。</w:t>
      </w:r>
    </w:p>
    <w:p w14:paraId="4AEA55B4">
      <w:pPr>
        <w:pStyle w:val="8"/>
        <w:keepNext w:val="0"/>
        <w:keepLines w:val="0"/>
        <w:pageBreakBefore w:val="0"/>
        <w:widowControl/>
        <w:kinsoku/>
        <w:wordWrap/>
        <w:overflowPunct/>
        <w:topLinePunct w:val="0"/>
        <w:autoSpaceDE/>
        <w:autoSpaceDN/>
        <w:bidi w:val="0"/>
        <w:snapToGrid/>
        <w:spacing w:before="0" w:beforeAutospacing="0" w:after="0" w:afterAutospacing="0" w:line="540" w:lineRule="exact"/>
        <w:ind w:right="120" w:firstLine="672" w:firstLineChars="200"/>
        <w:jc w:val="both"/>
        <w:textAlignment w:val="baseline"/>
        <w:rPr>
          <w:rFonts w:hint="eastAsia" w:ascii="仿宋" w:hAnsi="仿宋" w:eastAsia="仿宋" w:cs="黑体"/>
          <w:kern w:val="2"/>
          <w:sz w:val="32"/>
          <w:szCs w:val="32"/>
          <w:lang w:val="en-US" w:eastAsia="zh-CN" w:bidi="ar-SA"/>
        </w:rPr>
      </w:pPr>
      <w:r>
        <w:rPr>
          <w:rFonts w:hint="eastAsia" w:ascii="仿宋" w:hAnsi="仿宋" w:eastAsia="仿宋" w:cs="仿宋"/>
          <w:b w:val="0"/>
          <w:i w:val="0"/>
          <w:color w:val="222222"/>
          <w:spacing w:val="8"/>
          <w:w w:val="100"/>
          <w:kern w:val="0"/>
          <w:sz w:val="32"/>
          <w:szCs w:val="32"/>
          <w:lang w:val="en-US" w:eastAsia="zh-CN" w:bidi="ar"/>
        </w:rPr>
        <w:t>综合得分100分。</w:t>
      </w:r>
    </w:p>
    <w:p w14:paraId="730AE3F2">
      <w:pPr>
        <w:pStyle w:val="13"/>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（10）互联网+政务服务方面</w:t>
      </w:r>
    </w:p>
    <w:p w14:paraId="222343E3">
      <w:pPr>
        <w:pStyle w:val="13"/>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 xml:space="preserve">绩效目标:加大技术人员配备和硬件投资力度，按上级“互联网+政务服务“实施方案要求和部署，搞好省政务服务平台的运行。  </w:t>
      </w:r>
    </w:p>
    <w:p w14:paraId="7D2B107A">
      <w:pPr>
        <w:adjustRightInd w:val="0"/>
        <w:snapToGrid w:val="0"/>
        <w:spacing w:line="560"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 逐步推进服务事项网上办理，推进网上政务服务向边远乡镇延伸，逐步实现“互联网+政务服务”基层全覆盖。</w:t>
      </w:r>
    </w:p>
    <w:p w14:paraId="37C31594">
      <w:pPr>
        <w:keepNext w:val="0"/>
        <w:keepLines w:val="0"/>
        <w:pageBreakBefore w:val="0"/>
        <w:widowControl w:val="0"/>
        <w:kinsoku/>
        <w:wordWrap/>
        <w:overflowPunct/>
        <w:topLinePunct w:val="0"/>
        <w:autoSpaceDE/>
        <w:autoSpaceDN/>
        <w:bidi w:val="0"/>
        <w:adjustRightInd w:val="0"/>
        <w:snapToGrid w:val="0"/>
        <w:spacing w:after="0" w:line="560" w:lineRule="exact"/>
        <w:ind w:firstLine="640" w:firstLineChars="200"/>
        <w:jc w:val="left"/>
        <w:textAlignment w:val="auto"/>
        <w:rPr>
          <w:rFonts w:hint="eastAsia" w:ascii="方正仿宋简体" w:hAnsi="方正仿宋简体" w:eastAsia="方正仿宋简体" w:cs="方正仿宋简体"/>
          <w:sz w:val="32"/>
          <w:szCs w:val="32"/>
        </w:rPr>
      </w:pPr>
      <w:r>
        <w:rPr>
          <w:rFonts w:hint="eastAsia" w:ascii="仿宋" w:hAnsi="仿宋" w:eastAsia="仿宋"/>
          <w:sz w:val="32"/>
          <w:szCs w:val="32"/>
          <w:lang w:val="en-US" w:eastAsia="zh-CN"/>
        </w:rPr>
        <w:t>完成情况：</w:t>
      </w:r>
      <w:r>
        <w:rPr>
          <w:rFonts w:hint="eastAsia" w:ascii="方正仿宋简体" w:hAnsi="方正仿宋简体" w:eastAsia="方正仿宋简体" w:cs="方正仿宋简体"/>
          <w:sz w:val="32"/>
          <w:szCs w:val="32"/>
        </w:rPr>
        <w:t>全力推动县乡两级政务服务事项在省一体化平台应领尽领、统一发布、统一管理。完成“一窗通”</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“冀时办”等平台迁移整合工作，提升平台服务</w:t>
      </w:r>
      <w:r>
        <w:rPr>
          <w:rFonts w:hint="eastAsia" w:ascii="方正仿宋简体" w:hAnsi="方正仿宋简体" w:eastAsia="方正仿宋简体" w:cs="方正仿宋简体"/>
          <w:sz w:val="32"/>
          <w:szCs w:val="32"/>
          <w:lang w:eastAsia="zh-CN"/>
        </w:rPr>
        <w:t>水平</w:t>
      </w:r>
      <w:r>
        <w:rPr>
          <w:rFonts w:hint="eastAsia" w:ascii="方正仿宋简体" w:hAnsi="方正仿宋简体" w:eastAsia="方正仿宋简体" w:cs="方正仿宋简体"/>
          <w:sz w:val="32"/>
          <w:szCs w:val="32"/>
        </w:rPr>
        <w:t>。</w:t>
      </w:r>
    </w:p>
    <w:p w14:paraId="1567C418">
      <w:pPr>
        <w:pStyle w:val="8"/>
        <w:keepNext w:val="0"/>
        <w:keepLines w:val="0"/>
        <w:pageBreakBefore w:val="0"/>
        <w:widowControl/>
        <w:kinsoku/>
        <w:wordWrap/>
        <w:overflowPunct/>
        <w:topLinePunct w:val="0"/>
        <w:autoSpaceDE/>
        <w:autoSpaceDN/>
        <w:bidi w:val="0"/>
        <w:snapToGrid/>
        <w:spacing w:before="0" w:beforeAutospacing="0" w:after="0" w:afterAutospacing="0" w:line="540" w:lineRule="exact"/>
        <w:ind w:right="120" w:firstLine="480" w:firstLineChars="200"/>
        <w:jc w:val="both"/>
        <w:textAlignment w:val="baseline"/>
        <w:rPr>
          <w:rFonts w:hint="default" w:eastAsia="宋体"/>
          <w:lang w:val="en-US" w:eastAsia="zh-CN"/>
        </w:rPr>
      </w:pPr>
      <w:r>
        <w:rPr>
          <w:rFonts w:hint="eastAsia" w:eastAsia="宋体"/>
          <w:lang w:val="en-US" w:eastAsia="zh-CN"/>
        </w:rPr>
        <w:t xml:space="preserve"> </w:t>
      </w:r>
      <w:r>
        <w:rPr>
          <w:rFonts w:hint="eastAsia" w:ascii="仿宋" w:hAnsi="仿宋" w:eastAsia="仿宋" w:cs="仿宋"/>
          <w:b w:val="0"/>
          <w:i w:val="0"/>
          <w:color w:val="222222"/>
          <w:spacing w:val="8"/>
          <w:w w:val="100"/>
          <w:kern w:val="0"/>
          <w:sz w:val="32"/>
          <w:szCs w:val="32"/>
          <w:lang w:val="en-US" w:eastAsia="zh-CN" w:bidi="ar"/>
        </w:rPr>
        <w:t>综合得分100分。</w:t>
      </w:r>
    </w:p>
    <w:p w14:paraId="73717ACC">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754C4675">
      <w:pPr>
        <w:widowControl w:val="0"/>
        <w:wordWrap/>
        <w:spacing w:line="560" w:lineRule="exact"/>
        <w:ind w:left="0" w:leftChars="0" w:right="0" w:firstLine="640" w:firstLineChars="200"/>
        <w:jc w:val="both"/>
        <w:textAlignment w:val="auto"/>
        <w:outlineLvl w:val="9"/>
        <w:rPr>
          <w:rFonts w:hint="default" w:eastAsia="宋体"/>
          <w:lang w:val="en-US" w:eastAsia="zh-CN"/>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w:t>
      </w:r>
      <w:r>
        <w:rPr>
          <w:rFonts w:hint="eastAsia" w:ascii="仿宋" w:hAnsi="仿宋" w:eastAsia="仿宋"/>
          <w:sz w:val="32"/>
          <w:szCs w:val="32"/>
          <w:lang w:val="en-US" w:eastAsia="zh-CN"/>
        </w:rPr>
        <w:t>井陉县数据和政务服务局各项业务工作</w:t>
      </w:r>
      <w:r>
        <w:rPr>
          <w:rFonts w:hint="eastAsia" w:ascii="仿宋" w:hAnsi="仿宋" w:eastAsia="仿宋"/>
          <w:sz w:val="32"/>
          <w:szCs w:val="32"/>
        </w:rPr>
        <w:t>得分</w:t>
      </w:r>
      <w:r>
        <w:rPr>
          <w:rFonts w:hint="eastAsia" w:ascii="仿宋" w:hAnsi="仿宋" w:eastAsia="仿宋"/>
          <w:sz w:val="32"/>
          <w:szCs w:val="32"/>
          <w:lang w:val="en-US" w:eastAsia="zh-CN"/>
        </w:rPr>
        <w:t>均为</w:t>
      </w:r>
      <w:r>
        <w:rPr>
          <w:rFonts w:hint="eastAsia" w:ascii="仿宋" w:hAnsi="仿宋" w:eastAsia="仿宋"/>
          <w:color w:val="auto"/>
          <w:sz w:val="32"/>
          <w:szCs w:val="32"/>
          <w:lang w:val="en-US" w:eastAsia="zh-CN"/>
        </w:rPr>
        <w:t>100</w:t>
      </w:r>
      <w:r>
        <w:rPr>
          <w:rFonts w:hint="eastAsia" w:ascii="仿宋" w:hAnsi="仿宋" w:eastAsia="仿宋"/>
          <w:sz w:val="32"/>
          <w:szCs w:val="32"/>
          <w:lang w:val="en-US" w:eastAsia="zh-CN"/>
        </w:rPr>
        <w:t>分</w:t>
      </w:r>
      <w:r>
        <w:rPr>
          <w:rFonts w:hint="eastAsia" w:ascii="仿宋" w:hAnsi="仿宋" w:eastAsia="仿宋"/>
          <w:sz w:val="32"/>
          <w:szCs w:val="32"/>
        </w:rPr>
        <w:t>，满分</w:t>
      </w:r>
      <w:r>
        <w:rPr>
          <w:rFonts w:hint="eastAsia" w:ascii="仿宋" w:hAnsi="仿宋" w:eastAsia="仿宋"/>
          <w:sz w:val="32"/>
          <w:szCs w:val="32"/>
          <w:lang w:val="en-US" w:eastAsia="zh-CN"/>
        </w:rPr>
        <w:t>100</w:t>
      </w:r>
      <w:r>
        <w:rPr>
          <w:rFonts w:hint="eastAsia" w:ascii="仿宋" w:hAnsi="仿宋" w:eastAsia="仿宋"/>
          <w:sz w:val="32"/>
          <w:szCs w:val="32"/>
        </w:rPr>
        <w:t>分，得出</w:t>
      </w:r>
      <w:r>
        <w:rPr>
          <w:rFonts w:hint="eastAsia" w:ascii="仿宋" w:hAnsi="仿宋" w:eastAsia="仿宋"/>
          <w:sz w:val="32"/>
          <w:szCs w:val="32"/>
          <w:lang w:val="en-US" w:eastAsia="zh-CN"/>
        </w:rPr>
        <w:t>部门整体支出</w:t>
      </w:r>
      <w:r>
        <w:rPr>
          <w:rFonts w:hint="eastAsia" w:ascii="仿宋" w:hAnsi="仿宋" w:eastAsia="仿宋"/>
          <w:sz w:val="32"/>
          <w:szCs w:val="32"/>
        </w:rPr>
        <w:t>综合绩效评价</w:t>
      </w:r>
      <w:r>
        <w:rPr>
          <w:rFonts w:hint="eastAsia" w:ascii="仿宋" w:hAnsi="仿宋" w:eastAsia="仿宋"/>
          <w:sz w:val="32"/>
          <w:szCs w:val="32"/>
          <w:lang w:val="en-US" w:eastAsia="zh-CN"/>
        </w:rPr>
        <w:t>为优秀</w:t>
      </w:r>
      <w:r>
        <w:rPr>
          <w:rFonts w:hint="eastAsia" w:ascii="仿宋" w:hAnsi="仿宋" w:eastAsia="仿宋"/>
          <w:sz w:val="32"/>
          <w:szCs w:val="32"/>
        </w:rPr>
        <w:t>。</w:t>
      </w:r>
    </w:p>
    <w:p w14:paraId="487E6A9D">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37A8349">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7DCD0B81">
      <w:pPr>
        <w:pStyle w:val="2"/>
        <w:ind w:firstLine="640" w:firstLineChars="200"/>
        <w:rPr>
          <w:rFonts w:hint="eastAsia" w:ascii="仿宋" w:hAnsi="仿宋" w:eastAsia="仿宋" w:cs="黑体"/>
          <w:color w:val="auto"/>
          <w:kern w:val="2"/>
          <w:sz w:val="32"/>
          <w:szCs w:val="32"/>
          <w:lang w:val="en-US" w:eastAsia="zh-CN" w:bidi="ar-SA"/>
        </w:rPr>
      </w:pPr>
      <w:r>
        <w:rPr>
          <w:rFonts w:hint="eastAsia" w:ascii="仿宋" w:hAnsi="仿宋" w:eastAsia="仿宋" w:cs="黑体"/>
          <w:color w:val="auto"/>
          <w:kern w:val="2"/>
          <w:sz w:val="32"/>
          <w:szCs w:val="32"/>
          <w:lang w:val="en-US" w:eastAsia="zh-CN" w:bidi="ar-SA"/>
        </w:rPr>
        <w:t>1、绩效目标与指标设定不够细化，部分指标精准量化不足，可操作性有待提升。</w:t>
      </w:r>
    </w:p>
    <w:p w14:paraId="1025BAB1">
      <w:pPr>
        <w:pStyle w:val="2"/>
        <w:ind w:firstLine="640" w:firstLineChars="200"/>
        <w:rPr>
          <w:rFonts w:hint="default" w:ascii="仿宋" w:hAnsi="仿宋" w:eastAsia="仿宋" w:cs="黑体"/>
          <w:color w:val="auto"/>
          <w:kern w:val="2"/>
          <w:sz w:val="32"/>
          <w:szCs w:val="32"/>
          <w:lang w:val="en-US" w:eastAsia="zh-CN" w:bidi="ar-SA"/>
        </w:rPr>
      </w:pPr>
      <w:r>
        <w:rPr>
          <w:rFonts w:hint="eastAsia" w:ascii="仿宋" w:hAnsi="仿宋" w:eastAsia="仿宋" w:cs="黑体"/>
          <w:color w:val="auto"/>
          <w:kern w:val="2"/>
          <w:sz w:val="32"/>
          <w:szCs w:val="32"/>
          <w:lang w:val="en-US" w:eastAsia="zh-CN" w:bidi="ar-SA"/>
        </w:rPr>
        <w:t>2、绩效全过程管理不够规范，日常跟踪、资料归集不及时。</w:t>
      </w:r>
    </w:p>
    <w:p w14:paraId="4225C0E8">
      <w:pPr>
        <w:numPr>
          <w:ilvl w:val="0"/>
          <w:numId w:val="4"/>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67CB4F97">
      <w:pPr>
        <w:pStyle w:val="2"/>
        <w:numPr>
          <w:ilvl w:val="0"/>
          <w:numId w:val="0"/>
        </w:numPr>
        <w:ind w:right="0" w:rightChars="0" w:firstLine="640" w:firstLineChars="200"/>
        <w:rPr>
          <w:rFonts w:hint="default" w:ascii="仿宋" w:hAnsi="仿宋" w:eastAsia="仿宋" w:cs="黑体"/>
          <w:color w:val="auto"/>
          <w:kern w:val="2"/>
          <w:sz w:val="32"/>
          <w:szCs w:val="32"/>
          <w:lang w:val="en-US" w:eastAsia="zh-CN" w:bidi="ar-SA"/>
        </w:rPr>
      </w:pPr>
      <w:r>
        <w:rPr>
          <w:rFonts w:hint="eastAsia" w:ascii="仿宋" w:hAnsi="仿宋" w:eastAsia="仿宋" w:cs="黑体"/>
          <w:color w:val="auto"/>
          <w:kern w:val="2"/>
          <w:sz w:val="32"/>
          <w:szCs w:val="32"/>
          <w:lang w:val="en-US" w:eastAsia="zh-CN" w:bidi="ar-SA"/>
        </w:rPr>
        <w:t>今后将进一步科学细化量化设定绩效指标，增强指标可衡量、可考核性。强化全过程跟踪管理，做好日常跟踪、数据收集和规范资料归集整理。</w:t>
      </w:r>
    </w:p>
    <w:p w14:paraId="02589013">
      <w:pPr>
        <w:numPr>
          <w:ilvl w:val="0"/>
          <w:numId w:val="5"/>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评价工作组人员名单及签字（姓名、工作单位、职务、职称）</w:t>
      </w:r>
    </w:p>
    <w:p w14:paraId="01684246">
      <w:pPr>
        <w:pStyle w:val="2"/>
        <w:numPr>
          <w:ilvl w:val="0"/>
          <w:numId w:val="0"/>
        </w:numPr>
        <w:ind w:right="0" w:rightChars="0"/>
      </w:pPr>
    </w:p>
    <w:tbl>
      <w:tblPr>
        <w:tblStyle w:val="11"/>
        <w:tblW w:w="93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2"/>
        <w:gridCol w:w="3753"/>
        <w:gridCol w:w="2616"/>
        <w:gridCol w:w="1746"/>
      </w:tblGrid>
      <w:tr w14:paraId="470F0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1232" w:type="dxa"/>
          </w:tcPr>
          <w:p w14:paraId="365A42E7">
            <w:pPr>
              <w:keepNext w:val="0"/>
              <w:keepLines w:val="0"/>
              <w:pageBreakBefore w:val="0"/>
              <w:widowControl w:val="0"/>
              <w:kinsoku/>
              <w:wordWrap/>
              <w:overflowPunct/>
              <w:topLinePunct w:val="0"/>
              <w:autoSpaceDE w:val="0"/>
              <w:autoSpaceDN w:val="0"/>
              <w:bidi w:val="0"/>
              <w:adjustRightInd w:val="0"/>
              <w:snapToGrid/>
              <w:spacing w:line="240" w:lineRule="atLeast"/>
              <w:jc w:val="center"/>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姓名</w:t>
            </w:r>
          </w:p>
        </w:tc>
        <w:tc>
          <w:tcPr>
            <w:tcW w:w="3753" w:type="dxa"/>
          </w:tcPr>
          <w:p w14:paraId="6A222E00">
            <w:pPr>
              <w:keepNext w:val="0"/>
              <w:keepLines w:val="0"/>
              <w:pageBreakBefore w:val="0"/>
              <w:widowControl w:val="0"/>
              <w:kinsoku/>
              <w:wordWrap/>
              <w:overflowPunct/>
              <w:topLinePunct w:val="0"/>
              <w:autoSpaceDE w:val="0"/>
              <w:autoSpaceDN w:val="0"/>
              <w:bidi w:val="0"/>
              <w:adjustRightInd w:val="0"/>
              <w:snapToGrid/>
              <w:spacing w:line="240" w:lineRule="atLeast"/>
              <w:jc w:val="center"/>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工作单位</w:t>
            </w:r>
          </w:p>
        </w:tc>
        <w:tc>
          <w:tcPr>
            <w:tcW w:w="2616" w:type="dxa"/>
          </w:tcPr>
          <w:p w14:paraId="4FC6FB71">
            <w:pPr>
              <w:keepNext w:val="0"/>
              <w:keepLines w:val="0"/>
              <w:pageBreakBefore w:val="0"/>
              <w:widowControl w:val="0"/>
              <w:kinsoku/>
              <w:wordWrap/>
              <w:overflowPunct/>
              <w:topLinePunct w:val="0"/>
              <w:autoSpaceDE w:val="0"/>
              <w:autoSpaceDN w:val="0"/>
              <w:bidi w:val="0"/>
              <w:adjustRightInd w:val="0"/>
              <w:snapToGrid/>
              <w:spacing w:line="240" w:lineRule="atLeast"/>
              <w:jc w:val="center"/>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职务</w:t>
            </w:r>
          </w:p>
        </w:tc>
        <w:tc>
          <w:tcPr>
            <w:tcW w:w="1746" w:type="dxa"/>
          </w:tcPr>
          <w:p w14:paraId="78DEBEDD">
            <w:pPr>
              <w:keepNext w:val="0"/>
              <w:keepLines w:val="0"/>
              <w:pageBreakBefore w:val="0"/>
              <w:widowControl w:val="0"/>
              <w:kinsoku/>
              <w:wordWrap/>
              <w:overflowPunct/>
              <w:topLinePunct w:val="0"/>
              <w:autoSpaceDE w:val="0"/>
              <w:autoSpaceDN w:val="0"/>
              <w:bidi w:val="0"/>
              <w:adjustRightInd w:val="0"/>
              <w:snapToGrid/>
              <w:spacing w:line="240" w:lineRule="atLeast"/>
              <w:jc w:val="center"/>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签字</w:t>
            </w:r>
          </w:p>
        </w:tc>
      </w:tr>
      <w:tr w14:paraId="49A01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trPr>
        <w:tc>
          <w:tcPr>
            <w:tcW w:w="1232" w:type="dxa"/>
          </w:tcPr>
          <w:p w14:paraId="142B6404">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杜建伟</w:t>
            </w:r>
          </w:p>
        </w:tc>
        <w:tc>
          <w:tcPr>
            <w:tcW w:w="3753" w:type="dxa"/>
          </w:tcPr>
          <w:p w14:paraId="28A49807">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井陉县</w:t>
            </w:r>
            <w:r>
              <w:rPr>
                <w:rFonts w:hint="eastAsia" w:ascii="仿宋" w:hAnsi="仿宋" w:eastAsia="仿宋" w:cs="仿宋"/>
                <w:sz w:val="32"/>
                <w:szCs w:val="32"/>
                <w:vertAlign w:val="baseline"/>
                <w:lang w:val="en-US" w:eastAsia="zh-CN"/>
              </w:rPr>
              <w:t>数据和政务服务局</w:t>
            </w:r>
          </w:p>
        </w:tc>
        <w:tc>
          <w:tcPr>
            <w:tcW w:w="2616" w:type="dxa"/>
          </w:tcPr>
          <w:p w14:paraId="38D41632">
            <w:pPr>
              <w:keepNext w:val="0"/>
              <w:keepLines w:val="0"/>
              <w:pageBreakBefore w:val="0"/>
              <w:widowControl w:val="0"/>
              <w:kinsoku/>
              <w:wordWrap/>
              <w:overflowPunct/>
              <w:topLinePunct w:val="0"/>
              <w:autoSpaceDE w:val="0"/>
              <w:autoSpaceDN w:val="0"/>
              <w:bidi w:val="0"/>
              <w:adjustRightInd w:val="0"/>
              <w:snapToGrid/>
              <w:spacing w:line="240" w:lineRule="atLeast"/>
              <w:jc w:val="center"/>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党组</w:t>
            </w:r>
            <w:r>
              <w:rPr>
                <w:rFonts w:hint="eastAsia" w:ascii="仿宋" w:hAnsi="仿宋" w:eastAsia="仿宋" w:cs="仿宋"/>
                <w:sz w:val="32"/>
                <w:szCs w:val="32"/>
                <w:vertAlign w:val="baseline"/>
                <w:lang w:val="en-US" w:eastAsia="zh-CN"/>
              </w:rPr>
              <w:t>副</w:t>
            </w:r>
            <w:r>
              <w:rPr>
                <w:rFonts w:hint="eastAsia" w:ascii="仿宋" w:hAnsi="仿宋" w:eastAsia="仿宋" w:cs="仿宋"/>
                <w:sz w:val="32"/>
                <w:szCs w:val="32"/>
                <w:vertAlign w:val="baseline"/>
                <w:lang w:eastAsia="zh-CN"/>
              </w:rPr>
              <w:t>书记、局长</w:t>
            </w:r>
          </w:p>
        </w:tc>
        <w:tc>
          <w:tcPr>
            <w:tcW w:w="1746" w:type="dxa"/>
          </w:tcPr>
          <w:p w14:paraId="15E2FB50">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rPr>
            </w:pPr>
          </w:p>
        </w:tc>
      </w:tr>
      <w:tr w14:paraId="2AB4D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trPr>
        <w:tc>
          <w:tcPr>
            <w:tcW w:w="1232" w:type="dxa"/>
            <w:vAlign w:val="top"/>
          </w:tcPr>
          <w:p w14:paraId="44EF0277">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武永强</w:t>
            </w:r>
          </w:p>
        </w:tc>
        <w:tc>
          <w:tcPr>
            <w:tcW w:w="3753" w:type="dxa"/>
            <w:vAlign w:val="top"/>
          </w:tcPr>
          <w:p w14:paraId="71BAA907">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井陉县</w:t>
            </w:r>
            <w:r>
              <w:rPr>
                <w:rFonts w:hint="eastAsia" w:ascii="仿宋" w:hAnsi="仿宋" w:eastAsia="仿宋" w:cs="仿宋"/>
                <w:sz w:val="32"/>
                <w:szCs w:val="32"/>
                <w:vertAlign w:val="baseline"/>
                <w:lang w:val="en-US" w:eastAsia="zh-CN"/>
              </w:rPr>
              <w:t>数据和政务服务局</w:t>
            </w:r>
          </w:p>
        </w:tc>
        <w:tc>
          <w:tcPr>
            <w:tcW w:w="2616" w:type="dxa"/>
            <w:vAlign w:val="top"/>
          </w:tcPr>
          <w:p w14:paraId="3891BD82">
            <w:pPr>
              <w:keepNext w:val="0"/>
              <w:keepLines w:val="0"/>
              <w:pageBreakBefore w:val="0"/>
              <w:widowControl w:val="0"/>
              <w:kinsoku/>
              <w:wordWrap/>
              <w:overflowPunct/>
              <w:topLinePunct w:val="0"/>
              <w:autoSpaceDE w:val="0"/>
              <w:autoSpaceDN w:val="0"/>
              <w:bidi w:val="0"/>
              <w:adjustRightInd w:val="0"/>
              <w:snapToGrid/>
              <w:spacing w:line="240" w:lineRule="atLeast"/>
              <w:jc w:val="center"/>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党组成员</w:t>
            </w:r>
          </w:p>
        </w:tc>
        <w:tc>
          <w:tcPr>
            <w:tcW w:w="1746" w:type="dxa"/>
          </w:tcPr>
          <w:p w14:paraId="3C4597FE">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rPr>
            </w:pPr>
          </w:p>
        </w:tc>
      </w:tr>
    </w:tbl>
    <w:p w14:paraId="135E2A2E">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HYQiHei-50S">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方正仿宋_GBK">
    <w:panose1 w:val="03000509000000000000"/>
    <w:charset w:val="86"/>
    <w:family w:val="roma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仿宋简体">
    <w:panose1 w:val="02010601030101010101"/>
    <w:charset w:val="86"/>
    <w:family w:val="auto"/>
    <w:pitch w:val="default"/>
    <w:sig w:usb0="00000001" w:usb1="080E0000" w:usb2="00000000" w:usb3="00000000" w:csb0="00040000" w:csb1="00000000"/>
  </w:font>
  <w:font w:name="方正楷体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E20CA0">
    <w:pPr>
      <w:pStyle w:val="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22E7BD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222E7BD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1194D672"/>
    <w:multiLevelType w:val="singleLevel"/>
    <w:tmpl w:val="1194D672"/>
    <w:lvl w:ilvl="0" w:tentative="0">
      <w:start w:val="6"/>
      <w:numFmt w:val="chineseCounting"/>
      <w:suff w:val="nothing"/>
      <w:lvlText w:val="%1、"/>
      <w:lvlJc w:val="left"/>
      <w:rPr>
        <w:rFonts w:hint="eastAsia"/>
      </w:rPr>
    </w:lvl>
  </w:abstractNum>
  <w:abstractNum w:abstractNumId="2">
    <w:nsid w:val="42D3A543"/>
    <w:multiLevelType w:val="singleLevel"/>
    <w:tmpl w:val="42D3A543"/>
    <w:lvl w:ilvl="0" w:tentative="0">
      <w:start w:val="2"/>
      <w:numFmt w:val="decimal"/>
      <w:suff w:val="nothing"/>
      <w:lvlText w:val="%1、"/>
      <w:lvlJc w:val="left"/>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4">
    <w:nsid w:val="68E25D7C"/>
    <w:multiLevelType w:val="singleLevel"/>
    <w:tmpl w:val="68E25D7C"/>
    <w:lvl w:ilvl="0" w:tentative="0">
      <w:start w:val="3"/>
      <w:numFmt w:val="chineseCounting"/>
      <w:suff w:val="nothing"/>
      <w:lvlText w:val="（%1）"/>
      <w:lvlJc w:val="left"/>
      <w:rPr>
        <w:rFonts w:hint="eastAsia"/>
      </w:rPr>
    </w:lvl>
  </w:abstractNum>
  <w:num w:numId="1">
    <w:abstractNumId w:val="2"/>
  </w:num>
  <w:num w:numId="2">
    <w:abstractNumId w:val="4"/>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26357F"/>
    <w:rsid w:val="007E6C1F"/>
    <w:rsid w:val="00956A93"/>
    <w:rsid w:val="009E575C"/>
    <w:rsid w:val="00AF167E"/>
    <w:rsid w:val="00AF566A"/>
    <w:rsid w:val="00B478EA"/>
    <w:rsid w:val="00B6553A"/>
    <w:rsid w:val="00BC6576"/>
    <w:rsid w:val="00CE06BA"/>
    <w:rsid w:val="00F441CC"/>
    <w:rsid w:val="01B104CA"/>
    <w:rsid w:val="02106AB0"/>
    <w:rsid w:val="02B43A28"/>
    <w:rsid w:val="046F331E"/>
    <w:rsid w:val="049E6F05"/>
    <w:rsid w:val="07956271"/>
    <w:rsid w:val="07E2446E"/>
    <w:rsid w:val="09721397"/>
    <w:rsid w:val="0BB63BED"/>
    <w:rsid w:val="0BB7419F"/>
    <w:rsid w:val="0E7B2823"/>
    <w:rsid w:val="0EB97A43"/>
    <w:rsid w:val="0EBD2122"/>
    <w:rsid w:val="0F214EAE"/>
    <w:rsid w:val="11B71E6A"/>
    <w:rsid w:val="144B521C"/>
    <w:rsid w:val="1AAF0063"/>
    <w:rsid w:val="1BE140DE"/>
    <w:rsid w:val="1CB403D2"/>
    <w:rsid w:val="1E122A78"/>
    <w:rsid w:val="1E822923"/>
    <w:rsid w:val="20453B84"/>
    <w:rsid w:val="224D7A95"/>
    <w:rsid w:val="248C197D"/>
    <w:rsid w:val="252959AF"/>
    <w:rsid w:val="277A6671"/>
    <w:rsid w:val="28E45251"/>
    <w:rsid w:val="292D35B7"/>
    <w:rsid w:val="298B25C7"/>
    <w:rsid w:val="2EEC258D"/>
    <w:rsid w:val="2F3B228F"/>
    <w:rsid w:val="2FFB0DA0"/>
    <w:rsid w:val="31151E97"/>
    <w:rsid w:val="319D28A8"/>
    <w:rsid w:val="32ED2865"/>
    <w:rsid w:val="33B57A1F"/>
    <w:rsid w:val="33EB6CFF"/>
    <w:rsid w:val="35A12947"/>
    <w:rsid w:val="36A502E6"/>
    <w:rsid w:val="371F3DE4"/>
    <w:rsid w:val="37387040"/>
    <w:rsid w:val="3AC3717D"/>
    <w:rsid w:val="3B0548E0"/>
    <w:rsid w:val="3B625C0A"/>
    <w:rsid w:val="3CEE1963"/>
    <w:rsid w:val="3FC2445C"/>
    <w:rsid w:val="415A03A9"/>
    <w:rsid w:val="41AF43BF"/>
    <w:rsid w:val="42C02F9A"/>
    <w:rsid w:val="436B78D3"/>
    <w:rsid w:val="44453BA7"/>
    <w:rsid w:val="446D7400"/>
    <w:rsid w:val="48B60C1B"/>
    <w:rsid w:val="4C9C27FE"/>
    <w:rsid w:val="4E892C3E"/>
    <w:rsid w:val="512260B4"/>
    <w:rsid w:val="5276493C"/>
    <w:rsid w:val="52BD6ACB"/>
    <w:rsid w:val="55537534"/>
    <w:rsid w:val="561A74F1"/>
    <w:rsid w:val="58684E01"/>
    <w:rsid w:val="597244E8"/>
    <w:rsid w:val="5BD249BE"/>
    <w:rsid w:val="5D701BBE"/>
    <w:rsid w:val="5EB71C30"/>
    <w:rsid w:val="5F8D4619"/>
    <w:rsid w:val="5FC749BF"/>
    <w:rsid w:val="60E4560A"/>
    <w:rsid w:val="616B3C83"/>
    <w:rsid w:val="66AF0CE5"/>
    <w:rsid w:val="66BD44CF"/>
    <w:rsid w:val="688A4CB2"/>
    <w:rsid w:val="6AA27932"/>
    <w:rsid w:val="6AC537CF"/>
    <w:rsid w:val="6E5B14A6"/>
    <w:rsid w:val="6F4A1255"/>
    <w:rsid w:val="6FCF5DC9"/>
    <w:rsid w:val="70291E55"/>
    <w:rsid w:val="711B255E"/>
    <w:rsid w:val="718B3849"/>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customStyle="1" w:styleId="2">
    <w:name w:val="Default"/>
    <w:basedOn w:val="1"/>
    <w:hidden/>
    <w:qFormat/>
    <w:uiPriority w:val="0"/>
    <w:pPr>
      <w:keepNext w:val="0"/>
      <w:keepLines w:val="0"/>
      <w:widowControl w:val="0"/>
      <w:suppressLineNumbers w:val="0"/>
      <w:autoSpaceDE w:val="0"/>
      <w:autoSpaceDN w:val="0"/>
      <w:adjustRightInd w:val="0"/>
      <w:spacing w:before="0" w:beforeAutospacing="0" w:after="0" w:afterAutospacing="0"/>
      <w:ind w:left="0" w:right="0"/>
      <w:jc w:val="left"/>
    </w:pPr>
    <w:rPr>
      <w:rFonts w:hint="default" w:ascii="HYQiHei-50S" w:hAnsi="Times New Roman" w:eastAsia="HYQiHei-50S" w:cs="Times New Roman"/>
      <w:color w:val="000000"/>
      <w:kern w:val="0"/>
      <w:sz w:val="24"/>
      <w:szCs w:val="24"/>
      <w:lang w:val="en-US" w:eastAsia="zh-CN" w:bidi="ar"/>
    </w:rPr>
  </w:style>
  <w:style w:type="paragraph" w:styleId="3">
    <w:name w:val="Normal Indent"/>
    <w:basedOn w:val="1"/>
    <w:qFormat/>
    <w:uiPriority w:val="0"/>
    <w:pPr>
      <w:keepNext w:val="0"/>
      <w:keepLines w:val="0"/>
      <w:widowControl w:val="0"/>
      <w:suppressLineNumbers w:val="0"/>
      <w:spacing w:before="0" w:beforeAutospacing="0" w:after="0" w:afterAutospacing="0"/>
      <w:ind w:left="0" w:right="0" w:firstLine="420" w:firstLineChars="200"/>
      <w:jc w:val="both"/>
    </w:pPr>
    <w:rPr>
      <w:rFonts w:hint="default" w:ascii="Calibri" w:hAnsi="Calibri" w:eastAsia="宋体" w:cs="Times New Roman"/>
      <w:kern w:val="2"/>
      <w:sz w:val="21"/>
      <w:szCs w:val="21"/>
      <w:lang w:val="en-US" w:eastAsia="zh-CN" w:bidi="ar"/>
    </w:rPr>
  </w:style>
  <w:style w:type="paragraph" w:styleId="4">
    <w:name w:val="Body Text Indent"/>
    <w:basedOn w:val="1"/>
    <w:qFormat/>
    <w:uiPriority w:val="0"/>
    <w:pPr>
      <w:ind w:left="420" w:leftChars="200"/>
    </w:pPr>
  </w:style>
  <w:style w:type="paragraph" w:styleId="5">
    <w:name w:val="Plain Text"/>
    <w:basedOn w:val="1"/>
    <w:qFormat/>
    <w:uiPriority w:val="0"/>
    <w:rPr>
      <w:rFonts w:ascii="宋体" w:hAnsi="Courier New" w:cs="Times New Roman"/>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8">
    <w:name w:val="Normal (Web)"/>
    <w:basedOn w:val="1"/>
    <w:qFormat/>
    <w:uiPriority w:val="0"/>
    <w:pPr>
      <w:spacing w:before="100" w:beforeAutospacing="1" w:after="100" w:afterAutospacing="1"/>
      <w:jc w:val="left"/>
    </w:pPr>
    <w:rPr>
      <w:rFonts w:cs="Times New Roman" w:asciiTheme="minorHAnsi" w:hAnsiTheme="minorHAnsi" w:eastAsiaTheme="minorEastAsia"/>
      <w:kern w:val="0"/>
      <w:sz w:val="24"/>
    </w:rPr>
  </w:style>
  <w:style w:type="paragraph" w:styleId="9">
    <w:name w:val="Body Text First Indent 2"/>
    <w:basedOn w:val="4"/>
    <w:qFormat/>
    <w:uiPriority w:val="0"/>
    <w:pPr>
      <w:spacing w:line="600" w:lineRule="exact"/>
      <w:ind w:left="0" w:leftChars="0" w:firstLine="420" w:firstLineChars="200"/>
    </w:p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3">
    <w:name w:val="插入文本样式-插入职责分类绩效目标文件"/>
    <w:basedOn w:val="1"/>
    <w:qFormat/>
    <w:uiPriority w:val="0"/>
    <w:pPr>
      <w:spacing w:line="500" w:lineRule="exact"/>
      <w:ind w:firstLine="560"/>
    </w:pPr>
    <w:rPr>
      <w:rFonts w:eastAsia="方正仿宋_GBK"/>
      <w:sz w:val="28"/>
    </w:rPr>
  </w:style>
  <w:style w:type="paragraph" w:customStyle="1" w:styleId="1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6504</Words>
  <Characters>6793</Characters>
  <Lines>4</Lines>
  <Paragraphs>1</Paragraphs>
  <TotalTime>57</TotalTime>
  <ScaleCrop>false</ScaleCrop>
  <LinksUpToDate>false</LinksUpToDate>
  <CharactersWithSpaces>6823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真善美</cp:lastModifiedBy>
  <cp:lastPrinted>2026-04-07T01:44:44Z</cp:lastPrinted>
  <dcterms:modified xsi:type="dcterms:W3CDTF">2026-04-07T01:46:38Z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807859DDDB204D7484EDDFBB4E9D1D2E</vt:lpwstr>
  </property>
  <property fmtid="{D5CDD505-2E9C-101B-9397-08002B2CF9AE}" pid="4" name="KSOTemplateDocerSaveRecord">
    <vt:lpwstr>eyJoZGlkIjoiNTIwYjMxMzliYmI2ZTgzYjBkNDRiZTcyMDIwNGEzY2IiLCJ1c2VySWQiOiI0NDUxMTMyMjcifQ==</vt:lpwstr>
  </property>
</Properties>
</file>