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B3F8AA">
      <w:pPr>
        <w:adjustRightInd w:val="0"/>
        <w:snapToGrid w:val="0"/>
        <w:spacing w:line="560" w:lineRule="exact"/>
        <w:rPr>
          <w:rFonts w:hint="eastAsia" w:ascii="黑体" w:hAnsi="黑体" w:eastAsia="黑体"/>
          <w:sz w:val="32"/>
          <w:szCs w:val="32"/>
        </w:rPr>
      </w:pPr>
      <w:bookmarkStart w:id="0" w:name="_GoBack"/>
      <w:bookmarkEnd w:id="0"/>
      <w:r>
        <w:rPr>
          <w:rFonts w:hint="eastAsia" w:ascii="黑体" w:hAnsi="黑体" w:eastAsia="黑体"/>
          <w:sz w:val="32"/>
          <w:szCs w:val="32"/>
        </w:rPr>
        <w:t>附件3</w:t>
      </w:r>
    </w:p>
    <w:p w14:paraId="2A5746F5">
      <w:pPr>
        <w:spacing w:line="560" w:lineRule="exact"/>
        <w:jc w:val="center"/>
        <w:rPr>
          <w:rFonts w:hint="eastAsia" w:ascii="宋体" w:hAnsi="宋体" w:cs="宋体"/>
          <w:b/>
          <w:bCs/>
          <w:sz w:val="44"/>
          <w:szCs w:val="44"/>
        </w:rPr>
      </w:pPr>
    </w:p>
    <w:p w14:paraId="7149FD7E">
      <w:pPr>
        <w:spacing w:line="560" w:lineRule="exact"/>
        <w:jc w:val="center"/>
        <w:rPr>
          <w:rFonts w:hint="eastAsia" w:ascii="宋体" w:hAnsi="宋体" w:cs="宋体"/>
          <w:b/>
          <w:bCs/>
          <w:sz w:val="44"/>
          <w:szCs w:val="44"/>
        </w:rPr>
      </w:pPr>
      <w:r>
        <w:rPr>
          <w:rFonts w:hint="eastAsia" w:ascii="宋体" w:hAnsi="宋体" w:cs="宋体"/>
          <w:b/>
          <w:bCs/>
          <w:sz w:val="44"/>
          <w:szCs w:val="44"/>
        </w:rPr>
        <w:t>井陉县人民武装部部门</w:t>
      </w:r>
    </w:p>
    <w:p w14:paraId="3E8EB878">
      <w:pPr>
        <w:spacing w:line="560" w:lineRule="exact"/>
        <w:jc w:val="center"/>
        <w:rPr>
          <w:rFonts w:hint="eastAsia" w:ascii="宋体" w:hAnsi="宋体" w:cs="宋体"/>
          <w:b/>
          <w:bCs/>
          <w:sz w:val="44"/>
          <w:szCs w:val="44"/>
        </w:rPr>
      </w:pPr>
      <w:r>
        <w:rPr>
          <w:rFonts w:hint="eastAsia" w:ascii="宋体" w:hAnsi="宋体" w:cs="宋体"/>
          <w:b/>
          <w:bCs/>
          <w:sz w:val="44"/>
          <w:szCs w:val="44"/>
        </w:rPr>
        <w:t>2025年度整体支出绩效自评报告</w:t>
      </w:r>
    </w:p>
    <w:p w14:paraId="4C62522B">
      <w:pPr>
        <w:spacing w:line="560" w:lineRule="exact"/>
        <w:jc w:val="center"/>
        <w:rPr>
          <w:rFonts w:ascii="华文楷体" w:eastAsia="华文楷体"/>
          <w:sz w:val="32"/>
          <w:szCs w:val="32"/>
        </w:rPr>
      </w:pPr>
    </w:p>
    <w:p w14:paraId="72F7206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井陉县人民武装部部门2025年整体支出情况实施了财政支出绩效自评价，形成本评价报告。</w:t>
      </w:r>
    </w:p>
    <w:p w14:paraId="0DA2CEA9">
      <w:pPr>
        <w:adjustRightInd w:val="0"/>
        <w:snapToGrid w:val="0"/>
        <w:spacing w:line="560" w:lineRule="exact"/>
        <w:rPr>
          <w:rFonts w:hint="eastAsia"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9DEE88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4DE7F3F4">
      <w:pPr>
        <w:ind w:firstLine="640" w:firstLineChars="200"/>
        <w:rPr>
          <w:rFonts w:hint="eastAsia" w:ascii="仿宋" w:hAnsi="仿宋" w:eastAsia="仿宋" w:cs="仿宋"/>
          <w:sz w:val="32"/>
          <w:szCs w:val="32"/>
        </w:rPr>
      </w:pPr>
      <w:r>
        <w:rPr>
          <w:rFonts w:hint="eastAsia" w:ascii="仿宋" w:hAnsi="仿宋" w:eastAsia="仿宋" w:cs="仿宋"/>
          <w:sz w:val="32"/>
          <w:szCs w:val="32"/>
        </w:rPr>
        <w:t>中国人民解放军河北省井陉县人民武装部是河北省军区石家庄警备区下设机构。依照中央军委及河北省军区的要求，中国人民解放军河北省井陉县人民武装部行使下列职权：</w:t>
      </w:r>
    </w:p>
    <w:p w14:paraId="5686AFD5">
      <w:pPr>
        <w:ind w:firstLine="640" w:firstLineChars="200"/>
        <w:rPr>
          <w:rFonts w:hint="eastAsia" w:ascii="仿宋" w:hAnsi="仿宋" w:eastAsia="仿宋" w:cs="仿宋"/>
          <w:sz w:val="32"/>
          <w:szCs w:val="32"/>
        </w:rPr>
      </w:pPr>
      <w:r>
        <w:rPr>
          <w:rFonts w:hint="eastAsia" w:ascii="仿宋" w:hAnsi="仿宋" w:eastAsia="仿宋" w:cs="仿宋"/>
          <w:sz w:val="32"/>
          <w:szCs w:val="32"/>
        </w:rPr>
        <w:t>一、负责本区域民兵预备役部队组织建设。</w:t>
      </w:r>
    </w:p>
    <w:p w14:paraId="08145034">
      <w:pPr>
        <w:ind w:firstLine="640" w:firstLineChars="200"/>
        <w:rPr>
          <w:rFonts w:hint="eastAsia" w:ascii="仿宋" w:hAnsi="仿宋" w:eastAsia="仿宋" w:cs="仿宋"/>
          <w:sz w:val="32"/>
          <w:szCs w:val="32"/>
        </w:rPr>
      </w:pPr>
      <w:r>
        <w:rPr>
          <w:rFonts w:hint="eastAsia" w:ascii="仿宋" w:hAnsi="仿宋" w:eastAsia="仿宋" w:cs="仿宋"/>
          <w:sz w:val="32"/>
          <w:szCs w:val="32"/>
        </w:rPr>
        <w:t>二、负责专武干部培训和民兵政治教育军事训练管理。</w:t>
      </w:r>
    </w:p>
    <w:p w14:paraId="0E559BDB">
      <w:pPr>
        <w:ind w:firstLine="640" w:firstLineChars="200"/>
        <w:rPr>
          <w:rFonts w:hint="eastAsia" w:ascii="仿宋" w:hAnsi="仿宋" w:eastAsia="仿宋" w:cs="仿宋"/>
          <w:sz w:val="32"/>
          <w:szCs w:val="32"/>
        </w:rPr>
      </w:pPr>
      <w:r>
        <w:rPr>
          <w:rFonts w:hint="eastAsia" w:ascii="仿宋" w:hAnsi="仿宋" w:eastAsia="仿宋" w:cs="仿宋"/>
          <w:sz w:val="32"/>
          <w:szCs w:val="32"/>
        </w:rPr>
        <w:t>三、组织带领民兵完成战备执勤维护社会治安。</w:t>
      </w:r>
    </w:p>
    <w:p w14:paraId="0548E68C">
      <w:pPr>
        <w:ind w:firstLine="640" w:firstLineChars="200"/>
        <w:rPr>
          <w:rFonts w:hint="eastAsia" w:ascii="仿宋" w:hAnsi="仿宋" w:eastAsia="仿宋" w:cs="仿宋"/>
          <w:sz w:val="32"/>
          <w:szCs w:val="32"/>
        </w:rPr>
      </w:pPr>
      <w:r>
        <w:rPr>
          <w:rFonts w:hint="eastAsia" w:ascii="仿宋" w:hAnsi="仿宋" w:eastAsia="仿宋" w:cs="仿宋"/>
          <w:sz w:val="32"/>
          <w:szCs w:val="32"/>
        </w:rPr>
        <w:t>四、发动和组织民兵参加文明建设完成急难险重等突急性任务。</w:t>
      </w:r>
    </w:p>
    <w:p w14:paraId="58C12EFF">
      <w:pPr>
        <w:ind w:firstLine="640" w:firstLineChars="200"/>
        <w:rPr>
          <w:rFonts w:hint="eastAsia" w:ascii="仿宋" w:hAnsi="仿宋" w:eastAsia="仿宋" w:cs="仿宋"/>
          <w:sz w:val="32"/>
          <w:szCs w:val="32"/>
        </w:rPr>
      </w:pPr>
      <w:r>
        <w:rPr>
          <w:rFonts w:hint="eastAsia" w:ascii="仿宋" w:hAnsi="仿宋" w:eastAsia="仿宋" w:cs="仿宋"/>
          <w:sz w:val="32"/>
          <w:szCs w:val="32"/>
        </w:rPr>
        <w:t>五、战时组织带领民兵参军参战，支援前线。</w:t>
      </w:r>
    </w:p>
    <w:p w14:paraId="0634D7F0">
      <w:pPr>
        <w:ind w:firstLine="640" w:firstLineChars="200"/>
        <w:rPr>
          <w:rFonts w:hint="eastAsia" w:ascii="仿宋" w:hAnsi="仿宋" w:eastAsia="仿宋" w:cs="仿宋"/>
          <w:sz w:val="32"/>
          <w:szCs w:val="32"/>
        </w:rPr>
      </w:pPr>
      <w:r>
        <w:rPr>
          <w:rFonts w:hint="eastAsia" w:ascii="仿宋" w:hAnsi="仿宋" w:eastAsia="仿宋" w:cs="仿宋"/>
          <w:sz w:val="32"/>
          <w:szCs w:val="32"/>
        </w:rPr>
        <w:t>六、负责本区域的征兵工作、预备役人员统计工作。</w:t>
      </w:r>
    </w:p>
    <w:p w14:paraId="344CC9DC">
      <w:pPr>
        <w:ind w:firstLine="640" w:firstLineChars="200"/>
        <w:rPr>
          <w:rFonts w:hint="eastAsia" w:ascii="仿宋" w:hAnsi="仿宋" w:eastAsia="仿宋" w:cs="仿宋"/>
          <w:sz w:val="32"/>
          <w:szCs w:val="32"/>
        </w:rPr>
      </w:pPr>
      <w:r>
        <w:rPr>
          <w:rFonts w:hint="eastAsia" w:ascii="仿宋" w:hAnsi="仿宋" w:eastAsia="仿宋" w:cs="仿宋"/>
          <w:sz w:val="32"/>
          <w:szCs w:val="32"/>
        </w:rPr>
        <w:t>七、会同有关部门进行战争潜力调查做好相关的动员准备工作。</w:t>
      </w:r>
    </w:p>
    <w:p w14:paraId="00E8D531">
      <w:pPr>
        <w:ind w:firstLine="640" w:firstLineChars="200"/>
        <w:rPr>
          <w:rFonts w:hint="eastAsia" w:ascii="仿宋" w:hAnsi="仿宋" w:eastAsia="仿宋" w:cs="仿宋"/>
          <w:sz w:val="32"/>
          <w:szCs w:val="32"/>
        </w:rPr>
      </w:pPr>
      <w:r>
        <w:rPr>
          <w:rFonts w:hint="eastAsia" w:ascii="仿宋" w:hAnsi="仿宋" w:eastAsia="仿宋" w:cs="仿宋"/>
          <w:sz w:val="32"/>
          <w:szCs w:val="32"/>
        </w:rPr>
        <w:t>八、协调配合预备役部队落实参训人员做好兵员管理、动员集结等工作。</w:t>
      </w:r>
    </w:p>
    <w:p w14:paraId="7F476B39">
      <w:pPr>
        <w:ind w:firstLine="640" w:firstLineChars="200"/>
        <w:rPr>
          <w:rFonts w:hint="eastAsia" w:ascii="仿宋" w:hAnsi="仿宋" w:eastAsia="仿宋" w:cs="仿宋"/>
          <w:sz w:val="32"/>
          <w:szCs w:val="32"/>
        </w:rPr>
      </w:pPr>
      <w:r>
        <w:rPr>
          <w:rFonts w:hint="eastAsia" w:ascii="仿宋" w:hAnsi="仿宋" w:eastAsia="仿宋" w:cs="仿宋"/>
          <w:sz w:val="32"/>
          <w:szCs w:val="32"/>
        </w:rPr>
        <w:t>九、协助有关部门开展国防教育，做好退伍军人安置前的管理教育 和烈军属的优抚工作。</w:t>
      </w:r>
    </w:p>
    <w:p w14:paraId="71E97346">
      <w:pPr>
        <w:ind w:firstLine="640" w:firstLineChars="200"/>
        <w:rPr>
          <w:rFonts w:hint="eastAsia" w:ascii="仿宋" w:hAnsi="仿宋" w:eastAsia="仿宋" w:cs="仿宋"/>
          <w:sz w:val="32"/>
          <w:szCs w:val="32"/>
        </w:rPr>
      </w:pPr>
      <w:r>
        <w:rPr>
          <w:rFonts w:hint="eastAsia" w:ascii="仿宋" w:hAnsi="仿宋" w:eastAsia="仿宋" w:cs="仿宋"/>
          <w:sz w:val="32"/>
          <w:szCs w:val="32"/>
        </w:rPr>
        <w:t>十、协助军队做好本区域的军事设施保护工作。</w:t>
      </w:r>
    </w:p>
    <w:p w14:paraId="23F83CB1">
      <w:pPr>
        <w:ind w:firstLine="640" w:firstLineChars="200"/>
        <w:rPr>
          <w:rFonts w:hint="eastAsia" w:ascii="仿宋" w:hAnsi="仿宋" w:eastAsia="仿宋" w:cs="仿宋"/>
          <w:sz w:val="32"/>
          <w:szCs w:val="32"/>
        </w:rPr>
      </w:pPr>
      <w:r>
        <w:rPr>
          <w:rFonts w:hint="eastAsia" w:ascii="仿宋" w:hAnsi="仿宋" w:eastAsia="仿宋" w:cs="仿宋"/>
          <w:sz w:val="32"/>
          <w:szCs w:val="32"/>
        </w:rPr>
        <w:t>十一、完成地方党委、人民政府和上级军事机关交给的其他工作任务。</w:t>
      </w:r>
    </w:p>
    <w:p w14:paraId="272A21E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1925752E">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2025年度部门整体项目共计涉及资金143.32万元，其中2025年度基地日常工作项目预算收入4.34万元，决算支出4.34万元，2025年度轻武器射击项目预算收入20万元，决算支出20万元，2025年度武装动员和国防力量补贴项目预算收入95万元，支出95万元，2025年度劳务派遣人员支出预算收入23.98万元，支出23.98万元，预算收入支出持平。</w:t>
      </w:r>
    </w:p>
    <w:p w14:paraId="1663A397">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D869BED">
      <w:pPr>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为深入贯彻中共中央《关于加强和改进新形势下民兵工作的意见》（中发[2012]9号）精神，按省军区、警备区《关于进一步加强民兵训练基地建设的通知》精神，要求各级将基地建设和升级改造工作摆到重要位置。经市委议军会议研究决定，县委议军会议决议通过，由县财政局预算部门制定事前评估细则，展开项目评估，完善项目管理。并由井陉</w:t>
      </w:r>
      <w:r>
        <w:rPr>
          <w:rFonts w:hint="eastAsia" w:ascii="仿宋" w:hAnsi="仿宋" w:eastAsia="仿宋" w:cs="仿宋"/>
          <w:sz w:val="32"/>
          <w:szCs w:val="32"/>
          <w:lang w:eastAsia="zh-CN"/>
        </w:rPr>
        <w:t>县人民武装部</w:t>
      </w:r>
      <w:r>
        <w:rPr>
          <w:rFonts w:hint="eastAsia" w:ascii="仿宋" w:hAnsi="仿宋" w:eastAsia="仿宋" w:cs="仿宋"/>
          <w:sz w:val="32"/>
          <w:szCs w:val="32"/>
        </w:rPr>
        <w:t>负责准备事前评估材料，并配地方财政展开评估。</w:t>
      </w:r>
    </w:p>
    <w:p w14:paraId="3C5BEC57">
      <w:p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 w:hAnsi="仿宋" w:eastAsia="仿宋" w:cs="仿宋"/>
          <w:sz w:val="32"/>
          <w:szCs w:val="32"/>
        </w:rPr>
        <w:t>武装部涉及绩效自评公开项目一项，即武装动员和国防力量补贴项目，涉及95万元。</w:t>
      </w:r>
    </w:p>
    <w:p w14:paraId="77C4F8DB">
      <w:pPr>
        <w:adjustRightInd w:val="0"/>
        <w:snapToGrid w:val="0"/>
        <w:spacing w:line="560" w:lineRule="exact"/>
        <w:ind w:firstLine="960" w:firstLineChars="300"/>
        <w:rPr>
          <w:rFonts w:hint="eastAsia" w:ascii="黑体" w:hAnsi="黑体" w:eastAsia="黑体"/>
          <w:sz w:val="32"/>
          <w:szCs w:val="32"/>
        </w:rPr>
      </w:pPr>
      <w:r>
        <w:rPr>
          <w:rFonts w:hint="eastAsia" w:ascii="黑体" w:hAnsi="黑体" w:eastAsia="黑体"/>
          <w:sz w:val="32"/>
          <w:szCs w:val="32"/>
        </w:rPr>
        <w:t>二、自评工作开展情况</w:t>
      </w:r>
    </w:p>
    <w:p w14:paraId="5A8BE21E">
      <w:pPr>
        <w:spacing w:line="560" w:lineRule="exact"/>
        <w:ind w:firstLine="660"/>
        <w:rPr>
          <w:rFonts w:hint="eastAsia" w:ascii="楷体" w:hAnsi="楷体" w:eastAsia="楷体" w:cs="楷体_GB2312"/>
          <w:bCs/>
          <w:sz w:val="32"/>
          <w:szCs w:val="32"/>
        </w:rPr>
      </w:pPr>
      <w:r>
        <w:rPr>
          <w:rFonts w:hint="eastAsia" w:ascii="楷体" w:hAnsi="楷体" w:eastAsia="楷体" w:cs="楷体_GB2312"/>
          <w:bCs/>
          <w:sz w:val="32"/>
          <w:szCs w:val="32"/>
        </w:rPr>
        <w:t>（一）自评的组织工作</w:t>
      </w:r>
    </w:p>
    <w:p w14:paraId="1F4A736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根据项目设立背景及依据，按照井财【2020】9号，成立了由单位主管领导、项目主管、财务主管和实施单位主管组成的自评小组，对项目进行自评</w:t>
      </w:r>
    </w:p>
    <w:p w14:paraId="3BAFB288">
      <w:pPr>
        <w:numPr>
          <w:ilvl w:val="0"/>
          <w:numId w:val="1"/>
        </w:numPr>
        <w:spacing w:line="560" w:lineRule="exact"/>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14:paraId="00B5BD02">
      <w:pPr>
        <w:spacing w:line="560" w:lineRule="exact"/>
        <w:ind w:left="641"/>
        <w:jc w:val="left"/>
        <w:rPr>
          <w:rFonts w:hint="eastAsia" w:ascii="楷体" w:hAnsi="楷体" w:eastAsia="楷体" w:cs="楷体_GB2312"/>
          <w:bCs/>
          <w:sz w:val="32"/>
          <w:szCs w:val="32"/>
        </w:rPr>
      </w:pPr>
      <w:r>
        <w:rPr>
          <w:rFonts w:hint="eastAsia" w:ascii="仿宋" w:hAnsi="仿宋" w:eastAsia="仿宋"/>
          <w:sz w:val="32"/>
          <w:szCs w:val="32"/>
        </w:rPr>
        <w:t>项目绩效评价选用的评价方法为比较法、因素分析法，经过搜集资料、实地考察、调查统计等，比较绩效目标值和实际完成值、对比以前年度和当前年底项目实施情况等，并通过综合分析影响绩效目标实现、实施效果的内外因素，核定已完成2025年度项目工作经费年度绩效目标。</w:t>
      </w:r>
    </w:p>
    <w:p w14:paraId="5720999E">
      <w:pPr>
        <w:spacing w:line="560" w:lineRule="exact"/>
        <w:rPr>
          <w:rFonts w:hint="eastAsia"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5CFDE1E">
      <w:pPr>
        <w:numPr>
          <w:ilvl w:val="0"/>
          <w:numId w:val="2"/>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总体绩效目标实现情况</w:t>
      </w:r>
    </w:p>
    <w:p w14:paraId="4289209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部门总体工作开展情况良好，列入自评有4个项目，且各项目资金支出进度均为100%。在专项资金和具体预算支出项目的预期绩效目标中，全部按照专项资金的管理办法支出。</w:t>
      </w:r>
    </w:p>
    <w:p w14:paraId="21B4AFF4">
      <w:pPr>
        <w:spacing w:line="560" w:lineRule="exact"/>
        <w:rPr>
          <w:rFonts w:hint="eastAsia"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（二）分项绩效目标实现情况及指标分析</w:t>
      </w:r>
    </w:p>
    <w:p w14:paraId="7E167A6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部门在开展本年度绩效评价工作时，针对具体绩效评价对象的特点，设计具体的绩效评价指标体系。除共性指标外，还设置了能够体现项目特点和绩效的个性指标；项目产出指标与项目效果指标设置数量在4个（含）以上，分值权重占总体的90%。按照对各项目设置的绩效评价指标体系，自评小组完成了对年初各项目进行绩效目标自评，结果显示绩效目标设定清晰合理，质量较高，且各项目资金100%落实形成有效支出，较好地完成了个项目年初制定的绩效目标。绩效指标设定方面，包括了产出指标、预算执行指标、效益指标等一级指标，同时二三级指标详细明确，指标描述及绩效标准清晰准确，能够较为全面科学地规范项目执行，有效方便地进行绩效目标评价。</w:t>
      </w:r>
    </w:p>
    <w:p w14:paraId="5DB85CA1">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四、评价结论和评价等级</w:t>
      </w:r>
    </w:p>
    <w:p w14:paraId="2B10AB1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根据项目执行情况和项目绩效情况，项目资金绩效综合评分为99.5分，等级为优秀。</w:t>
      </w:r>
    </w:p>
    <w:p w14:paraId="4A36975A">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五、存在的问题及改进措施</w:t>
      </w:r>
    </w:p>
    <w:p w14:paraId="2B592FD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0358EDA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（1）因作出一个专项资金的绩效评价结果需要一个较长过程，需要加强绩效指标体系建设。</w:t>
      </w:r>
    </w:p>
    <w:p w14:paraId="71DE9722">
      <w:pPr>
        <w:spacing w:line="560" w:lineRule="exact"/>
        <w:ind w:firstLine="640" w:firstLineChars="200"/>
        <w:rPr>
          <w:rFonts w:hint="eastAsia" w:ascii="仿宋" w:hAnsi="仿宋" w:eastAsia="仿宋"/>
          <w:b/>
          <w:bCs/>
          <w:sz w:val="32"/>
          <w:szCs w:val="32"/>
        </w:rPr>
      </w:pPr>
      <w:r>
        <w:rPr>
          <w:rFonts w:hint="eastAsia" w:ascii="仿宋" w:hAnsi="仿宋" w:eastAsia="仿宋"/>
          <w:sz w:val="32"/>
          <w:szCs w:val="32"/>
        </w:rPr>
        <w:t>（2）尚未深入认识项目绩效管理工作，在实际操作过程中缺乏于业务部门的沟通协调。</w:t>
      </w:r>
    </w:p>
    <w:p w14:paraId="178C096B">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2876076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1、进一步加强绩效指标体系建设。在计划年初预算项目时，明确项目目标、落实项目责任人、制定科学有效的绩效指标，加强项目执行的监督管理力度，提高预算资金使用效率，确保绩效目标高质量完成。</w:t>
      </w:r>
    </w:p>
    <w:p w14:paraId="657DDC37">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rPr>
        <w:t>2、进一步完善内部控制制度建设。及时调整完善内部控制制度，防范项目执行中的风险，加大项目考核力度，强化项目责任，确保各项目资金使用规范、实现效益最大化。</w:t>
      </w:r>
    </w:p>
    <w:p w14:paraId="725212F4">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51DCEAFD">
      <w:pPr>
        <w:adjustRightInd w:val="0"/>
        <w:snapToGrid w:val="0"/>
        <w:spacing w:line="560" w:lineRule="exact"/>
        <w:ind w:firstLine="640" w:firstLineChars="200"/>
        <w:rPr>
          <w:rFonts w:hint="eastAsia" w:ascii="黑体" w:hAnsi="黑体" w:eastAsia="黑体"/>
          <w:sz w:val="32"/>
          <w:szCs w:val="32"/>
        </w:rPr>
      </w:pPr>
    </w:p>
    <w:tbl>
      <w:tblPr>
        <w:tblStyle w:val="5"/>
        <w:tblpPr w:leftFromText="180" w:rightFromText="180" w:vertAnchor="text" w:horzAnchor="margin" w:tblpY="721"/>
        <w:tblOverlap w:val="never"/>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276"/>
        <w:gridCol w:w="2835"/>
        <w:gridCol w:w="1842"/>
        <w:gridCol w:w="1276"/>
      </w:tblGrid>
      <w:tr w14:paraId="3E10C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4A7B8005">
            <w:pPr>
              <w:autoSpaceDE w:val="0"/>
              <w:autoSpaceDN w:val="0"/>
              <w:adjustRightInd w:val="0"/>
              <w:jc w:val="center"/>
              <w:rPr>
                <w:rFonts w:hint="eastAsia" w:ascii="仿宋" w:hAnsi="仿宋" w:eastAsia="仿宋" w:cs="方正仿宋简体"/>
                <w:sz w:val="32"/>
                <w:szCs w:val="32"/>
              </w:rPr>
            </w:pPr>
          </w:p>
        </w:tc>
        <w:tc>
          <w:tcPr>
            <w:tcW w:w="1276" w:type="dxa"/>
            <w:vAlign w:val="center"/>
          </w:tcPr>
          <w:p w14:paraId="7EEB0A4B">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姓名</w:t>
            </w:r>
          </w:p>
        </w:tc>
        <w:tc>
          <w:tcPr>
            <w:tcW w:w="2835" w:type="dxa"/>
            <w:vAlign w:val="center"/>
          </w:tcPr>
          <w:p w14:paraId="19F6CE38">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工作单位</w:t>
            </w:r>
          </w:p>
        </w:tc>
        <w:tc>
          <w:tcPr>
            <w:tcW w:w="1842" w:type="dxa"/>
            <w:vAlign w:val="center"/>
          </w:tcPr>
          <w:p w14:paraId="2C51EE45">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职务</w:t>
            </w:r>
          </w:p>
        </w:tc>
        <w:tc>
          <w:tcPr>
            <w:tcW w:w="1276" w:type="dxa"/>
            <w:vAlign w:val="center"/>
          </w:tcPr>
          <w:p w14:paraId="5E2EA22F">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签字</w:t>
            </w:r>
          </w:p>
        </w:tc>
      </w:tr>
      <w:tr w14:paraId="1C69E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2572D1EC">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主管领导</w:t>
            </w:r>
          </w:p>
        </w:tc>
        <w:tc>
          <w:tcPr>
            <w:tcW w:w="1276" w:type="dxa"/>
            <w:vAlign w:val="center"/>
          </w:tcPr>
          <w:p w14:paraId="40EC015B">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宋朝刚</w:t>
            </w:r>
          </w:p>
        </w:tc>
        <w:tc>
          <w:tcPr>
            <w:tcW w:w="2835" w:type="dxa"/>
            <w:vAlign w:val="center"/>
          </w:tcPr>
          <w:p w14:paraId="38FCE9DC">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井陉县人民武装部</w:t>
            </w:r>
          </w:p>
        </w:tc>
        <w:tc>
          <w:tcPr>
            <w:tcW w:w="1842" w:type="dxa"/>
            <w:vAlign w:val="center"/>
          </w:tcPr>
          <w:p w14:paraId="59A462AE">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副部长</w:t>
            </w:r>
          </w:p>
        </w:tc>
        <w:tc>
          <w:tcPr>
            <w:tcW w:w="1276" w:type="dxa"/>
            <w:vAlign w:val="center"/>
          </w:tcPr>
          <w:p w14:paraId="126A8B2D">
            <w:pPr>
              <w:autoSpaceDE w:val="0"/>
              <w:autoSpaceDN w:val="0"/>
              <w:adjustRightInd w:val="0"/>
              <w:jc w:val="center"/>
              <w:rPr>
                <w:rFonts w:hint="eastAsia" w:ascii="仿宋" w:hAnsi="仿宋" w:eastAsia="仿宋" w:cs="方正仿宋简体"/>
                <w:sz w:val="32"/>
                <w:szCs w:val="32"/>
              </w:rPr>
            </w:pPr>
          </w:p>
        </w:tc>
      </w:tr>
      <w:tr w14:paraId="78386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2600EF12">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项目主管</w:t>
            </w:r>
          </w:p>
        </w:tc>
        <w:tc>
          <w:tcPr>
            <w:tcW w:w="1276" w:type="dxa"/>
            <w:vAlign w:val="center"/>
          </w:tcPr>
          <w:p w14:paraId="0CE04202">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吴志霞</w:t>
            </w:r>
          </w:p>
        </w:tc>
        <w:tc>
          <w:tcPr>
            <w:tcW w:w="2835" w:type="dxa"/>
            <w:vAlign w:val="center"/>
          </w:tcPr>
          <w:p w14:paraId="1251109C">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32"/>
                <w:szCs w:val="32"/>
              </w:rPr>
              <w:t>井陉县人民武装部</w:t>
            </w:r>
          </w:p>
        </w:tc>
        <w:tc>
          <w:tcPr>
            <w:tcW w:w="1842" w:type="dxa"/>
            <w:vAlign w:val="center"/>
          </w:tcPr>
          <w:p w14:paraId="4AF6E7E5">
            <w:pPr>
              <w:autoSpaceDE w:val="0"/>
              <w:autoSpaceDN w:val="0"/>
              <w:adjustRightInd w:val="0"/>
              <w:jc w:val="center"/>
              <w:rPr>
                <w:rFonts w:hint="eastAsia" w:ascii="仿宋" w:hAnsi="仿宋" w:eastAsia="仿宋" w:cs="方正仿宋简体"/>
                <w:sz w:val="32"/>
                <w:szCs w:val="32"/>
              </w:rPr>
            </w:pPr>
            <w:r>
              <w:rPr>
                <w:rFonts w:hint="eastAsia" w:ascii="仿宋" w:hAnsi="仿宋" w:eastAsia="仿宋" w:cs="方正仿宋简体"/>
                <w:sz w:val="28"/>
                <w:szCs w:val="28"/>
              </w:rPr>
              <w:t>保障科负责人</w:t>
            </w:r>
          </w:p>
        </w:tc>
        <w:tc>
          <w:tcPr>
            <w:tcW w:w="1276" w:type="dxa"/>
            <w:vAlign w:val="center"/>
          </w:tcPr>
          <w:p w14:paraId="7D2B1102">
            <w:pPr>
              <w:autoSpaceDE w:val="0"/>
              <w:autoSpaceDN w:val="0"/>
              <w:adjustRightInd w:val="0"/>
              <w:jc w:val="center"/>
              <w:rPr>
                <w:rFonts w:hint="eastAsia" w:ascii="仿宋" w:hAnsi="仿宋" w:eastAsia="仿宋" w:cs="方正仿宋简体"/>
                <w:sz w:val="32"/>
                <w:szCs w:val="32"/>
              </w:rPr>
            </w:pPr>
          </w:p>
        </w:tc>
      </w:tr>
    </w:tbl>
    <w:p w14:paraId="330E6668">
      <w:pPr>
        <w:adjustRightInd w:val="0"/>
        <w:snapToGrid w:val="0"/>
        <w:spacing w:line="560" w:lineRule="exact"/>
        <w:ind w:firstLine="640" w:firstLineChars="200"/>
        <w:rPr>
          <w:rFonts w:hint="eastAsia" w:ascii="黑体" w:hAnsi="黑体" w:eastAsia="黑体"/>
          <w:sz w:val="32"/>
          <w:szCs w:val="32"/>
        </w:rPr>
      </w:pPr>
    </w:p>
    <w:p w14:paraId="51AE069D">
      <w:pPr>
        <w:spacing w:line="560" w:lineRule="exact"/>
        <w:rPr>
          <w:rFonts w:hint="eastAsia"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方正仿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B8FED7">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A55E57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A55E57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B035E"/>
    <w:rsid w:val="002F1FC4"/>
    <w:rsid w:val="00435E62"/>
    <w:rsid w:val="00512479"/>
    <w:rsid w:val="007359B1"/>
    <w:rsid w:val="007E6C1F"/>
    <w:rsid w:val="008653ED"/>
    <w:rsid w:val="008E067A"/>
    <w:rsid w:val="0094226D"/>
    <w:rsid w:val="00956A93"/>
    <w:rsid w:val="00974728"/>
    <w:rsid w:val="00981466"/>
    <w:rsid w:val="009E575C"/>
    <w:rsid w:val="00AD2E77"/>
    <w:rsid w:val="00AF167E"/>
    <w:rsid w:val="00AF566A"/>
    <w:rsid w:val="00AF7B8C"/>
    <w:rsid w:val="00B37F8E"/>
    <w:rsid w:val="00B478EA"/>
    <w:rsid w:val="00B6553A"/>
    <w:rsid w:val="00B76896"/>
    <w:rsid w:val="00BC6576"/>
    <w:rsid w:val="00CE06BA"/>
    <w:rsid w:val="00CF1BD5"/>
    <w:rsid w:val="00DF4926"/>
    <w:rsid w:val="00F03FF0"/>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B71C30"/>
    <w:rsid w:val="66AF0CE5"/>
    <w:rsid w:val="66D026FD"/>
    <w:rsid w:val="6AA27932"/>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59"/>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1934</Words>
  <Characters>2005</Characters>
  <Lines>61</Lines>
  <Paragraphs>61</Paragraphs>
  <TotalTime>92</TotalTime>
  <ScaleCrop>false</ScaleCrop>
  <LinksUpToDate>false</LinksUpToDate>
  <CharactersWithSpaces>2019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2026-03-23T06:38:00Z</cp:lastPrinted>
  <dcterms:modified xsi:type="dcterms:W3CDTF">2026-04-24T07:12:29Z</dcterms:modified>
  <dc:title>附件3：</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