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4C3E37">
      <w:pPr>
        <w:tabs>
          <w:tab w:val="left" w:pos="252"/>
        </w:tabs>
        <w:spacing w:line="560" w:lineRule="exact"/>
        <w:jc w:val="left"/>
        <w:rPr>
          <w:rFonts w:hint="default" w:ascii="宋体" w:hAnsi="宋体" w:eastAsia="宋体" w:cs="宋体"/>
          <w:b/>
          <w:bCs/>
          <w:sz w:val="32"/>
          <w:szCs w:val="32"/>
          <w:lang w:val="en-US" w:eastAsia="zh-CN"/>
        </w:rPr>
      </w:pPr>
      <w:r>
        <w:rPr>
          <w:rFonts w:hint="eastAsia" w:ascii="宋体" w:hAnsi="宋体" w:cs="宋体"/>
          <w:b/>
          <w:bCs/>
          <w:sz w:val="32"/>
          <w:szCs w:val="32"/>
          <w:lang w:eastAsia="zh-CN"/>
        </w:rPr>
        <w:tab/>
      </w:r>
      <w:r>
        <w:rPr>
          <w:rFonts w:hint="eastAsia" w:ascii="宋体" w:hAnsi="宋体" w:cs="宋体"/>
          <w:b/>
          <w:bCs/>
          <w:sz w:val="32"/>
          <w:szCs w:val="32"/>
          <w:lang w:eastAsia="zh-CN"/>
        </w:rPr>
        <w:t>附件</w:t>
      </w:r>
      <w:r>
        <w:rPr>
          <w:rFonts w:hint="eastAsia" w:ascii="宋体" w:hAnsi="宋体" w:cs="宋体"/>
          <w:b/>
          <w:bCs/>
          <w:sz w:val="32"/>
          <w:szCs w:val="32"/>
          <w:lang w:val="en-US" w:eastAsia="zh-CN"/>
        </w:rPr>
        <w:t>3</w:t>
      </w:r>
    </w:p>
    <w:p w14:paraId="3457A4E8">
      <w:pPr>
        <w:spacing w:line="560" w:lineRule="exact"/>
        <w:jc w:val="center"/>
        <w:rPr>
          <w:rFonts w:hint="eastAsia" w:ascii="宋体" w:hAnsi="宋体" w:cs="宋体"/>
          <w:b/>
          <w:bCs/>
          <w:sz w:val="44"/>
          <w:szCs w:val="44"/>
          <w:lang w:eastAsia="zh-CN"/>
        </w:rPr>
      </w:pPr>
    </w:p>
    <w:p w14:paraId="6A890A4F">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河北井陉经济开发区管理委员会</w:t>
      </w:r>
      <w:r>
        <w:rPr>
          <w:rFonts w:hint="eastAsia" w:ascii="宋体" w:hAnsi="宋体" w:cs="宋体"/>
          <w:b/>
          <w:bCs/>
          <w:sz w:val="44"/>
          <w:szCs w:val="44"/>
        </w:rPr>
        <w:t>部门</w:t>
      </w:r>
    </w:p>
    <w:p w14:paraId="66D646AE">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22753E71">
      <w:pPr>
        <w:spacing w:line="560" w:lineRule="exact"/>
        <w:jc w:val="center"/>
        <w:rPr>
          <w:rFonts w:ascii="华文楷体" w:eastAsia="华文楷体"/>
          <w:sz w:val="32"/>
          <w:szCs w:val="32"/>
        </w:rPr>
      </w:pPr>
    </w:p>
    <w:p w14:paraId="1A72A2C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w:t>
      </w:r>
      <w:bookmarkStart w:id="0" w:name="_GoBack"/>
      <w:bookmarkEnd w:id="0"/>
      <w:r>
        <w:rPr>
          <w:rFonts w:hint="eastAsia" w:ascii="仿宋" w:hAnsi="仿宋" w:eastAsia="仿宋"/>
          <w:sz w:val="32"/>
          <w:szCs w:val="32"/>
        </w:rPr>
        <w:t>学性、规范性、客观性和公正性”的原则，对</w:t>
      </w:r>
      <w:r>
        <w:rPr>
          <w:rFonts w:hint="eastAsia" w:ascii="仿宋" w:hAnsi="仿宋" w:eastAsia="仿宋"/>
          <w:sz w:val="32"/>
          <w:szCs w:val="32"/>
          <w:lang w:eastAsia="zh-CN"/>
        </w:rPr>
        <w:t>河北井陉经济开发区管理委员会</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2FBA67D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815431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836FC22">
      <w:pPr>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0767DB69">
      <w:pPr>
        <w:adjustRightInd w:val="0"/>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编制辖区的总体规划和经济、社会</w:t>
      </w:r>
      <w:r>
        <w:rPr>
          <w:rFonts w:hint="eastAsia" w:ascii="仿宋" w:hAnsi="仿宋" w:eastAsia="仿宋" w:cs="仿宋"/>
          <w:sz w:val="32"/>
          <w:szCs w:val="32"/>
        </w:rPr>
        <w:t>、产业</w:t>
      </w:r>
      <w:r>
        <w:rPr>
          <w:rFonts w:ascii="仿宋" w:hAnsi="仿宋" w:eastAsia="仿宋" w:cs="仿宋"/>
          <w:sz w:val="32"/>
          <w:szCs w:val="32"/>
        </w:rPr>
        <w:t>发展规划，经批准后组织实施；审核或审批辖区固定资产投资项目；负责辖区内基础设施</w:t>
      </w:r>
      <w:r>
        <w:rPr>
          <w:rFonts w:hint="eastAsia" w:ascii="仿宋" w:hAnsi="仿宋" w:eastAsia="仿宋" w:cs="仿宋"/>
          <w:sz w:val="32"/>
          <w:szCs w:val="32"/>
        </w:rPr>
        <w:t>、</w:t>
      </w:r>
      <w:r>
        <w:rPr>
          <w:rFonts w:ascii="仿宋" w:hAnsi="仿宋" w:eastAsia="仿宋" w:cs="仿宋"/>
          <w:sz w:val="32"/>
          <w:szCs w:val="32"/>
        </w:rPr>
        <w:t>公用设施的建设与管理；负责</w:t>
      </w:r>
      <w:r>
        <w:rPr>
          <w:rFonts w:hint="eastAsia" w:ascii="仿宋" w:hAnsi="仿宋" w:eastAsia="仿宋" w:cs="仿宋"/>
          <w:sz w:val="32"/>
          <w:szCs w:val="32"/>
        </w:rPr>
        <w:t>开发区各类投资项目的决策咨询、服务管理等工作；负责按照建设施工内容要求对入区项目建设全过程进行监督管理；负责</w:t>
      </w:r>
      <w:r>
        <w:rPr>
          <w:rFonts w:ascii="仿宋" w:hAnsi="仿宋" w:eastAsia="仿宋" w:cs="仿宋"/>
          <w:sz w:val="32"/>
          <w:szCs w:val="32"/>
        </w:rPr>
        <w:t>辖区财政管理，实施辖区内财政预算、决算、国有资产管理和财政监督工作；负责招商引资、进出口贸易和国内外经济技术合作工作；对区内上级有关部门派驻机构实施双重领导；负责县政府交办的其他事项。</w:t>
      </w:r>
    </w:p>
    <w:p w14:paraId="30B2C2D3">
      <w:pPr>
        <w:numPr>
          <w:ilvl w:val="0"/>
          <w:numId w:val="1"/>
        </w:num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组织机构及人员</w:t>
      </w:r>
    </w:p>
    <w:p w14:paraId="7177FE6C">
      <w:pPr>
        <w:numPr>
          <w:ilvl w:val="0"/>
          <w:numId w:val="0"/>
        </w:numPr>
        <w:adjustRightInd w:val="0"/>
        <w:snapToGrid w:val="0"/>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根据职责，河北井陉经济开发区管理委员会设6个内设机构。具体为：党政办公室、党群工作办公室、建设管理局、经济发展局、招商局、综合监管局。</w:t>
      </w:r>
    </w:p>
    <w:p w14:paraId="43DE7B21">
      <w:pPr>
        <w:numPr>
          <w:ilvl w:val="0"/>
          <w:numId w:val="0"/>
        </w:numPr>
        <w:adjustRightInd w:val="0"/>
        <w:snapToGrid w:val="0"/>
        <w:spacing w:line="560" w:lineRule="exact"/>
        <w:ind w:firstLine="640" w:firstLineChars="20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河北井陉经济开发区党工委、管委会机关核定事业编制45名；设党工委书记兼管委会主任1名（副县级）、副书记兼副主任1名（正科级）、副主任1名（正科级）；6个内设机构规格均为副科级，核定领导数6正（副科级）6副（股级）。</w:t>
      </w:r>
    </w:p>
    <w:p w14:paraId="55C41D2A">
      <w:pPr>
        <w:numPr>
          <w:ilvl w:val="0"/>
          <w:numId w:val="0"/>
        </w:numPr>
        <w:adjustRightInd w:val="0"/>
        <w:snapToGrid w:val="0"/>
        <w:spacing w:line="560" w:lineRule="exact"/>
        <w:ind w:firstLine="640" w:firstLineChars="200"/>
        <w:rPr>
          <w:rFonts w:ascii="楷体" w:hAnsi="楷体" w:eastAsia="楷体" w:cs="楷体_GB2312"/>
          <w:bCs/>
          <w:sz w:val="32"/>
          <w:szCs w:val="32"/>
        </w:rPr>
      </w:pPr>
      <w:r>
        <w:rPr>
          <w:rFonts w:hint="eastAsia" w:ascii="仿宋" w:hAnsi="仿宋" w:eastAsia="仿宋"/>
          <w:sz w:val="32"/>
          <w:szCs w:val="32"/>
          <w:lang w:val="en-US" w:eastAsia="zh-CN"/>
        </w:rPr>
        <w:t>3、</w:t>
      </w:r>
      <w:r>
        <w:rPr>
          <w:rFonts w:hint="eastAsia" w:ascii="仿宋" w:hAnsi="仿宋" w:eastAsia="仿宋"/>
          <w:sz w:val="32"/>
          <w:szCs w:val="32"/>
        </w:rPr>
        <w:t>资产等基本情况。</w:t>
      </w:r>
    </w:p>
    <w:p w14:paraId="0F172C02">
      <w:pPr>
        <w:numPr>
          <w:ilvl w:val="0"/>
          <w:numId w:val="0"/>
        </w:numPr>
        <w:adjustRightInd w:val="0"/>
        <w:snapToGrid w:val="0"/>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2025年年末部门总资产63444.51万元，比去年33574.66万元增加29869.85万元，其中固定资产8474.24万元，与去年167.70万元增加8306.54万元，增加4953.2%，主要原因是本年度新增加开发区（北区）基础设施建设项目资产土地整理和配水厂资产。无形资产11283.65万元，与去年0万元增加11283.65万元，增加100.0%，主要原因是本年度新增加开发区（北区）基础设施建设项目征地补偿费用。在建工程36200万元，比去年31985.55万元增加4214.45万元，增加13.2%，主要原因是本年度增加开发区北区装备制造园配套设施建设项目。公共基础设施7486.62万元，与去年0万元增加7486.62万元，增加100.0%，主要原因是本年度增加开发区防洪减灾能力提升项目。</w:t>
      </w:r>
    </w:p>
    <w:p w14:paraId="5905B70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1D41CF80">
      <w:pPr>
        <w:numPr>
          <w:ilvl w:val="0"/>
          <w:numId w:val="0"/>
        </w:numPr>
        <w:adjustRightInd w:val="0"/>
        <w:snapToGrid w:val="0"/>
        <w:spacing w:line="560" w:lineRule="exact"/>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2025年度部门总收入40824.56万元。其中一般公共预算财政拨款收入为6844.46万元，占总收入的16.8%；政府性基金预算财政拨款收入33978.3万元，占总收入的83.2%；其他收入1.8万元。比去年总收入15936.03万元增加24888.53万元，增加156.2%。主要原因是增加了开发区装备制造园配套基础设施项目支出。2025年度总支出为40824.56万元，其中基本支出为386.09万元，占总支出的0.9%。项目支出为40438.47万元，占总支出的99.1%，比去年总支出15936.03万元增加24888.53万元，增加156.2%。主要原因是增加了开发区装备制造园配套基础设施项目支出。</w:t>
      </w:r>
    </w:p>
    <w:p w14:paraId="2E3D546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15BCBDB">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（1）2025年预算安排一般公共预算项目13个，共计40436.66975万元，分别为：</w:t>
      </w:r>
    </w:p>
    <w:p w14:paraId="413EEA61">
      <w:pPr>
        <w:keepNext w:val="0"/>
        <w:keepLines w:val="0"/>
        <w:pageBreakBefore w:val="0"/>
        <w:widowControl w:val="0"/>
        <w:numPr>
          <w:ilvl w:val="0"/>
          <w:numId w:val="2"/>
        </w:numPr>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般行政管理事务5个项目，共计162.5902万元，支出162.5902万元，开发区项目招商引资及项目运转经费50万元，开发区办公用房租赁费19.6万元，井陉县开发区2025年劳务派遣人员经费26.8068万元，河北井陉经济开发区规划环评项目经费16.1834万元，开发区区域评估咨询费用50万元。本年度有效保障了开发区正常办公、外出招商、接待客商，区内16个在建项目、开发区规划及区域评估等支出，优化了园区的营商环境，有效推动县域经济高质量发展，显著提升开发区环境服务影响力与知名度；</w:t>
      </w:r>
    </w:p>
    <w:p w14:paraId="50FD2A24">
      <w:pPr>
        <w:keepNext w:val="0"/>
        <w:keepLines w:val="0"/>
        <w:pageBreakBefore w:val="0"/>
        <w:widowControl w:val="0"/>
        <w:numPr>
          <w:ilvl w:val="0"/>
          <w:numId w:val="0"/>
        </w:numPr>
        <w:kinsoku/>
        <w:wordWrap/>
        <w:overflowPunct/>
        <w:topLinePunct w:val="0"/>
        <w:autoSpaceDE w:val="0"/>
        <w:autoSpaceDN w:val="0"/>
        <w:bidi w:val="0"/>
        <w:adjustRightInd/>
        <w:snapToGrid w:val="0"/>
        <w:spacing w:before="0" w:beforeLines="0" w:after="0" w:afterLines="0" w:line="560" w:lineRule="exact"/>
        <w:ind w:right="0" w:rightChars="0"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2、战略规划与实施安排河北井陉经济开发区系列规划编制项目16万元，支出16万元,本年度资金全部用于该项目，更好地促进开发区经济、社会和环境可持续发展。</w:t>
      </w:r>
    </w:p>
    <w:p w14:paraId="61E7D070">
      <w:pPr>
        <w:keepNext w:val="0"/>
        <w:keepLines w:val="0"/>
        <w:pageBreakBefore w:val="0"/>
        <w:widowControl w:val="0"/>
        <w:numPr>
          <w:ilvl w:val="0"/>
          <w:numId w:val="0"/>
        </w:numPr>
        <w:kinsoku/>
        <w:wordWrap/>
        <w:overflowPunct/>
        <w:topLinePunct w:val="0"/>
        <w:autoSpaceDE w:val="0"/>
        <w:autoSpaceDN w:val="0"/>
        <w:bidi w:val="0"/>
        <w:adjustRightInd/>
        <w:snapToGrid w:val="0"/>
        <w:spacing w:before="0" w:beforeLines="0" w:after="0" w:afterLines="0" w:line="560" w:lineRule="exact"/>
        <w:ind w:right="0" w:rightChars="0" w:firstLine="640" w:firstLineChars="200"/>
        <w:jc w:val="left"/>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3、技术创新服务体系安排中联铁运物流有限公司废钢处理项目的资金支持1460万元，支出1460万元，本年度激励了企业积极性，推动企业高质量发展建设。</w:t>
      </w:r>
    </w:p>
    <w:p w14:paraId="3EF6B27B">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科技条件专项和农村社会事业（基金）安排支持园区建设资金6100万元，支出6100万元，本年度根据《关于鼓励“五新”产业推进县域经济高质量发展意见》、《关于落实“五新”产业扶持政策的实施方案》有关精神对企业进行资金扶持。同时为促进项目快速落地，推进项目建设高质量发展。</w:t>
      </w:r>
    </w:p>
    <w:p w14:paraId="39303CBE">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5、大气安排石财建【2024】110号关于提前下达2025年重点区域扬尘污染防治网格工作经费预算的通知3.07万元，支出3.07万元，本年度顺利保障重点区域网格稳定正常运行，严格落实高值 “快推送、快溯源、快消除、快反馈” 工作要求，高效处置各类扬尘问题，有效降低重点区域扬尘污染。</w:t>
      </w:r>
    </w:p>
    <w:p w14:paraId="15608E2D">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6、水体安排开发区污水处理厂启动及运营费用15.6332万元，支出15.6332万元，本年度顺利推进开发区污水处理厂启动及运营工作，确保区内企业污水排放达标，符合上级监管要求。</w:t>
      </w:r>
    </w:p>
    <w:p w14:paraId="4895C0D4">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left="0" w:leftChars="0" w:right="0" w:rightChars="0" w:firstLine="640" w:firstLineChars="200"/>
        <w:jc w:val="left"/>
        <w:textAlignment w:val="auto"/>
        <w:outlineLvl w:val="9"/>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7、其他城乡社区公共设施和农村水利安排河北井陉经济开发区防洪减灾能力提升项目2701.069292万元，支出2701.069292万元。本年度通过改造新建雨污水排水系统，杜绝雨污水外溢，最大程度减少对城市环境的污染，提高人民生活水平。</w:t>
      </w:r>
    </w:p>
    <w:p w14:paraId="0F0226CE">
      <w:pPr>
        <w:keepNext w:val="0"/>
        <w:keepLines w:val="0"/>
        <w:pageBreakBefore w:val="0"/>
        <w:widowControl w:val="0"/>
        <w:kinsoku/>
        <w:wordWrap/>
        <w:overflowPunct/>
        <w:topLinePunct w:val="0"/>
        <w:autoSpaceDE w:val="0"/>
        <w:autoSpaceDN w:val="0"/>
        <w:bidi w:val="0"/>
        <w:adjustRightInd/>
        <w:snapToGrid w:val="0"/>
        <w:spacing w:before="0" w:beforeLines="0" w:after="0" w:afterLines="0" w:line="560" w:lineRule="exact"/>
        <w:ind w:right="0" w:rightChars="0" w:firstLine="640" w:firstLineChars="200"/>
        <w:jc w:val="left"/>
        <w:textAlignment w:val="auto"/>
        <w:outlineLvl w:val="9"/>
        <w:rPr>
          <w:rFonts w:hint="eastAsia" w:ascii="黑体" w:hAnsi="黑体" w:eastAsia="黑体"/>
          <w:sz w:val="32"/>
          <w:szCs w:val="32"/>
        </w:rPr>
      </w:pPr>
      <w:r>
        <w:rPr>
          <w:rFonts w:hint="eastAsia" w:ascii="仿宋" w:hAnsi="仿宋" w:eastAsia="仿宋" w:cs="仿宋"/>
          <w:b w:val="0"/>
          <w:bCs w:val="0"/>
          <w:sz w:val="32"/>
          <w:szCs w:val="32"/>
          <w:lang w:val="en-US" w:eastAsia="zh-CN"/>
        </w:rPr>
        <w:t>8、其他地方自行试点项目收益专项债券收入（基金）安排2个项目，分别为：河北井陉经济开发区装备制造园配套基础设施项目29000万元，支出29000万元；开发区偿还政府拖欠企业账款项目978.307058万元，支出978.307058万元。本年度完善了井陉经济开发区的产业发展环境，改善园区投资环境，吸引外资。完善了产业公共基础设施，提高产业发展能力，推动城区经济发展。</w:t>
      </w:r>
    </w:p>
    <w:p w14:paraId="0FC2AAE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242388D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5BD3541F">
      <w:pPr>
        <w:keepNext w:val="0"/>
        <w:keepLines w:val="0"/>
        <w:widowControl/>
        <w:suppressLineNumbers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val="en-US" w:eastAsia="zh-CN"/>
        </w:rPr>
        <w:t>为做好2025年度部门整体支出绩效自评工作，开发区高度重视、周密部署，成立专项工作专班，明确职责分工与时间节点。严格按照井陉县财政局关于开展2026年绩效自评工作的通知要求，规范开展数据采集、资料审核、效益分析，全面覆盖年度绩效指标完成情况。坚持客观公正、实事求是，严把审核质量关，认真梳理问题并落实整改，确保自评结果真实准确，切实强化绩效结果运用，不断提升财政资金使用效益与部门履职效能。</w:t>
      </w:r>
    </w:p>
    <w:p w14:paraId="5CE15CE4">
      <w:pPr>
        <w:numPr>
          <w:ilvl w:val="0"/>
          <w:numId w:val="0"/>
        </w:numPr>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14:paraId="1E0A7704">
      <w:pPr>
        <w:tabs>
          <w:tab w:val="left" w:pos="746"/>
        </w:tabs>
        <w:bidi w:val="0"/>
        <w:jc w:val="left"/>
        <w:rPr>
          <w:rFonts w:hint="eastAsia" w:ascii="仿宋" w:hAnsi="仿宋" w:eastAsia="仿宋"/>
          <w:sz w:val="32"/>
          <w:szCs w:val="32"/>
          <w:lang w:val="en-US" w:eastAsia="zh-CN"/>
        </w:rPr>
      </w:pPr>
      <w:r>
        <w:rPr>
          <w:rFonts w:hint="eastAsia" w:cs="黑体"/>
          <w:kern w:val="2"/>
          <w:sz w:val="21"/>
          <w:szCs w:val="22"/>
          <w:lang w:val="en-US" w:eastAsia="zh-CN" w:bidi="ar-SA"/>
        </w:rPr>
        <w:tab/>
      </w:r>
      <w:r>
        <w:rPr>
          <w:rFonts w:hint="eastAsia" w:ascii="仿宋" w:hAnsi="仿宋" w:eastAsia="仿宋"/>
          <w:sz w:val="32"/>
          <w:szCs w:val="32"/>
          <w:lang w:val="en-US" w:eastAsia="zh-CN"/>
        </w:rPr>
        <w:t>2025年开发区部门整体支出绩效自评，通过预期指标完成情况、预算执行率完成率、效益指标完成率、企业满意度等逐项量化评分。同时成立自评小组，对照年初绩效目标与预算，资金执行情况等数据再进行综合评判。核查资金合规性与目标完成度，梳理偏差原因，形成自评表与报告，同步制定整改措施，进一步提升绩效管理水平。</w:t>
      </w:r>
    </w:p>
    <w:p w14:paraId="028E092C">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0B00E48">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23CB6FF8">
      <w:pPr>
        <w:tabs>
          <w:tab w:val="left" w:pos="746"/>
        </w:tabs>
        <w:bidi w:val="0"/>
        <w:ind w:firstLine="640" w:firstLineChars="200"/>
        <w:jc w:val="left"/>
        <w:rPr>
          <w:rFonts w:hint="eastAsia" w:ascii="仿宋" w:hAnsi="仿宋" w:eastAsia="仿宋"/>
          <w:sz w:val="32"/>
          <w:szCs w:val="32"/>
          <w:lang w:val="en-US" w:eastAsia="zh-CN"/>
        </w:rPr>
      </w:pPr>
      <w:r>
        <w:rPr>
          <w:rFonts w:hint="eastAsia" w:ascii="仿宋" w:hAnsi="仿宋" w:eastAsia="仿宋"/>
          <w:sz w:val="32"/>
          <w:szCs w:val="32"/>
          <w:lang w:val="en-US" w:eastAsia="zh-CN"/>
        </w:rPr>
        <w:t>开发区将认真贯彻落实党的二十届三中全会精神，紧紧围绕县委县政府“一区两带多中心”的整体规划与中心工作，以“不破楼兰终不还”的劲头，真抓实干、奋勇争先，推动开发区各项工作在全市当先进、省考争进位，力争开好局、起好步，开创开发区新年新气象、工作新局面。圆满完成了全年工作任务，实现了预期目标。</w:t>
      </w:r>
    </w:p>
    <w:p w14:paraId="148F8A19">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tbl>
      <w:tblPr>
        <w:tblStyle w:val="7"/>
        <w:tblW w:w="9613"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496"/>
        <w:gridCol w:w="909"/>
        <w:gridCol w:w="979"/>
        <w:gridCol w:w="1656"/>
        <w:gridCol w:w="222"/>
        <w:gridCol w:w="1916"/>
        <w:gridCol w:w="2447"/>
        <w:gridCol w:w="988"/>
      </w:tblGrid>
      <w:tr w14:paraId="75E9F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613" w:type="dxa"/>
            <w:gridSpan w:val="8"/>
            <w:tcBorders>
              <w:top w:val="nil"/>
              <w:left w:val="nil"/>
              <w:bottom w:val="nil"/>
              <w:right w:val="nil"/>
            </w:tcBorders>
            <w:shd w:val="clear" w:color="auto" w:fill="auto"/>
            <w:vAlign w:val="center"/>
          </w:tcPr>
          <w:p w14:paraId="1CD2AB1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w:t>
            </w:r>
            <w:r>
              <w:rPr>
                <w:rFonts w:hint="eastAsia" w:ascii="宋体" w:hAnsi="宋体" w:cs="宋体"/>
                <w:i w:val="0"/>
                <w:iCs w:val="0"/>
                <w:color w:val="000000"/>
                <w:kern w:val="0"/>
                <w:sz w:val="20"/>
                <w:szCs w:val="20"/>
                <w:u w:val="none"/>
                <w:lang w:val="en-US" w:eastAsia="zh-CN" w:bidi="ar"/>
              </w:rPr>
              <w:t>5</w:t>
            </w:r>
            <w:r>
              <w:rPr>
                <w:rFonts w:hint="eastAsia" w:ascii="宋体" w:hAnsi="宋体" w:eastAsia="宋体" w:cs="宋体"/>
                <w:i w:val="0"/>
                <w:iCs w:val="0"/>
                <w:color w:val="000000"/>
                <w:kern w:val="0"/>
                <w:sz w:val="20"/>
                <w:szCs w:val="20"/>
                <w:u w:val="none"/>
                <w:lang w:val="en-US" w:eastAsia="zh-CN" w:bidi="ar"/>
              </w:rPr>
              <w:t>年分项绩效目标实现情况及指标分析表</w:t>
            </w:r>
          </w:p>
        </w:tc>
      </w:tr>
      <w:tr w14:paraId="6F148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4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7A1DA5">
            <w:pPr>
              <w:keepNext w:val="0"/>
              <w:keepLines w:val="0"/>
              <w:widowControl/>
              <w:suppressLineNumbers w:val="0"/>
              <w:jc w:val="center"/>
              <w:textAlignment w:val="center"/>
              <w:rPr>
                <w:rFonts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目标完成情况</w:t>
            </w:r>
          </w:p>
        </w:tc>
        <w:tc>
          <w:tcPr>
            <w:tcW w:w="354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D6EEFA">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年度预期目标</w:t>
            </w:r>
          </w:p>
        </w:tc>
        <w:tc>
          <w:tcPr>
            <w:tcW w:w="4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7BB51B7">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具体完成情况</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7D6C6">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总体完成率</w:t>
            </w:r>
          </w:p>
        </w:tc>
      </w:tr>
      <w:tr w14:paraId="6989D6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trPr>
        <w:tc>
          <w:tcPr>
            <w:tcW w:w="4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F11DC7">
            <w:pPr>
              <w:jc w:val="center"/>
              <w:rPr>
                <w:rFonts w:hint="eastAsia" w:ascii="仿宋" w:hAnsi="仿宋" w:eastAsia="仿宋" w:cs="仿宋"/>
                <w:i w:val="0"/>
                <w:iCs w:val="0"/>
                <w:color w:val="000000"/>
                <w:sz w:val="18"/>
                <w:szCs w:val="18"/>
                <w:u w:val="none"/>
              </w:rPr>
            </w:pPr>
          </w:p>
        </w:tc>
        <w:tc>
          <w:tcPr>
            <w:tcW w:w="3544"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E4C24C">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1、经济指标争先进位。2、招商引资靶向政策。3、项目建设加快推进。4、基础保障方面。5、开发区+公司深度融合。</w:t>
            </w:r>
          </w:p>
        </w:tc>
        <w:tc>
          <w:tcPr>
            <w:tcW w:w="45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7DE189">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全年完成了既定预期目标</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D2709">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r>
      <w:tr w14:paraId="4392B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6" w:type="dxa"/>
            <w:vMerge w:val="restart"/>
            <w:tcBorders>
              <w:top w:val="nil"/>
              <w:left w:val="single" w:color="000000" w:sz="4" w:space="0"/>
              <w:bottom w:val="single" w:color="000000" w:sz="4" w:space="0"/>
              <w:right w:val="single" w:color="000000" w:sz="4" w:space="0"/>
            </w:tcBorders>
            <w:shd w:val="clear" w:color="auto" w:fill="auto"/>
            <w:vAlign w:val="center"/>
          </w:tcPr>
          <w:p w14:paraId="535D4B89">
            <w:pPr>
              <w:keepNext w:val="0"/>
              <w:keepLines w:val="0"/>
              <w:widowControl/>
              <w:suppressLineNumbers w:val="0"/>
              <w:jc w:val="center"/>
              <w:textAlignment w:val="center"/>
              <w:rPr>
                <w:rFonts w:ascii="Calibri" w:hAnsi="Calibri" w:eastAsia="宋体" w:cs="Calibri"/>
                <w:i w:val="0"/>
                <w:iCs w:val="0"/>
                <w:color w:val="000000"/>
                <w:sz w:val="18"/>
                <w:szCs w:val="18"/>
                <w:u w:val="none"/>
              </w:rPr>
            </w:pPr>
            <w:r>
              <w:rPr>
                <w:rFonts w:hint="default" w:ascii="Calibri" w:hAnsi="Calibri" w:eastAsia="宋体" w:cs="Calibri"/>
                <w:i w:val="0"/>
                <w:iCs w:val="0"/>
                <w:color w:val="000000"/>
                <w:kern w:val="0"/>
                <w:sz w:val="18"/>
                <w:szCs w:val="18"/>
                <w:u w:val="none"/>
                <w:lang w:val="en-US" w:eastAsia="zh-CN" w:bidi="ar"/>
              </w:rPr>
              <w:t xml:space="preserve"> </w:t>
            </w:r>
            <w:r>
              <w:rPr>
                <w:rStyle w:val="10"/>
                <w:lang w:val="en-US" w:eastAsia="zh-CN" w:bidi="ar"/>
              </w:rPr>
              <w:t>年度绩效指标完成情况</w:t>
            </w:r>
          </w:p>
        </w:tc>
        <w:tc>
          <w:tcPr>
            <w:tcW w:w="909" w:type="dxa"/>
            <w:tcBorders>
              <w:top w:val="nil"/>
              <w:left w:val="nil"/>
              <w:bottom w:val="single" w:color="000000" w:sz="4" w:space="0"/>
              <w:right w:val="single" w:color="000000" w:sz="4" w:space="0"/>
            </w:tcBorders>
            <w:shd w:val="clear" w:color="auto" w:fill="auto"/>
            <w:vAlign w:val="center"/>
          </w:tcPr>
          <w:p w14:paraId="57664C30">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绩效目标</w:t>
            </w:r>
          </w:p>
        </w:tc>
        <w:tc>
          <w:tcPr>
            <w:tcW w:w="979" w:type="dxa"/>
            <w:tcBorders>
              <w:top w:val="nil"/>
              <w:left w:val="single" w:color="000000" w:sz="4" w:space="0"/>
              <w:bottom w:val="single" w:color="000000" w:sz="4" w:space="0"/>
              <w:right w:val="single" w:color="000000" w:sz="4" w:space="0"/>
            </w:tcBorders>
            <w:shd w:val="clear" w:color="auto" w:fill="auto"/>
            <w:vAlign w:val="center"/>
          </w:tcPr>
          <w:p w14:paraId="05AE9921">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二级指标</w:t>
            </w:r>
          </w:p>
        </w:tc>
        <w:tc>
          <w:tcPr>
            <w:tcW w:w="1878" w:type="dxa"/>
            <w:gridSpan w:val="2"/>
            <w:tcBorders>
              <w:top w:val="nil"/>
              <w:left w:val="single" w:color="000000" w:sz="4" w:space="0"/>
              <w:bottom w:val="single" w:color="000000" w:sz="4" w:space="0"/>
              <w:right w:val="single" w:color="000000" w:sz="4" w:space="0"/>
            </w:tcBorders>
            <w:shd w:val="clear" w:color="auto" w:fill="auto"/>
            <w:vAlign w:val="center"/>
          </w:tcPr>
          <w:p w14:paraId="1CA8F861">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三级指标</w:t>
            </w:r>
          </w:p>
        </w:tc>
        <w:tc>
          <w:tcPr>
            <w:tcW w:w="1916" w:type="dxa"/>
            <w:tcBorders>
              <w:top w:val="nil"/>
              <w:left w:val="single" w:color="000000" w:sz="4" w:space="0"/>
              <w:bottom w:val="single" w:color="000000" w:sz="4" w:space="0"/>
              <w:right w:val="single" w:color="000000" w:sz="4" w:space="0"/>
            </w:tcBorders>
            <w:shd w:val="clear" w:color="auto" w:fill="auto"/>
            <w:vAlign w:val="center"/>
          </w:tcPr>
          <w:p w14:paraId="3FDCC4B4">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预期指标值</w:t>
            </w:r>
          </w:p>
        </w:tc>
        <w:tc>
          <w:tcPr>
            <w:tcW w:w="2447" w:type="dxa"/>
            <w:tcBorders>
              <w:top w:val="nil"/>
              <w:left w:val="single" w:color="000000" w:sz="4" w:space="0"/>
              <w:bottom w:val="single" w:color="000000" w:sz="4" w:space="0"/>
              <w:right w:val="single" w:color="000000" w:sz="4" w:space="0"/>
            </w:tcBorders>
            <w:shd w:val="clear" w:color="auto" w:fill="auto"/>
            <w:vAlign w:val="center"/>
          </w:tcPr>
          <w:p w14:paraId="4E596D71">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实际完成值</w:t>
            </w:r>
          </w:p>
        </w:tc>
        <w:tc>
          <w:tcPr>
            <w:tcW w:w="988" w:type="dxa"/>
            <w:tcBorders>
              <w:top w:val="nil"/>
              <w:left w:val="single" w:color="000000" w:sz="4" w:space="0"/>
              <w:bottom w:val="single" w:color="000000" w:sz="4" w:space="0"/>
              <w:right w:val="single" w:color="000000" w:sz="4" w:space="0"/>
            </w:tcBorders>
            <w:shd w:val="clear" w:color="auto" w:fill="auto"/>
            <w:vAlign w:val="center"/>
          </w:tcPr>
          <w:p w14:paraId="0D3C092D">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自评得分</w:t>
            </w:r>
          </w:p>
        </w:tc>
      </w:tr>
      <w:tr w14:paraId="4103A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228E7C4">
            <w:pPr>
              <w:jc w:val="center"/>
              <w:rPr>
                <w:rFonts w:hint="default" w:ascii="Calibri" w:hAnsi="Calibri" w:eastAsia="宋体" w:cs="Calibri"/>
                <w:i w:val="0"/>
                <w:iCs w:val="0"/>
                <w:color w:val="000000"/>
                <w:sz w:val="18"/>
                <w:szCs w:val="18"/>
                <w:u w:val="none"/>
              </w:rPr>
            </w:pPr>
          </w:p>
        </w:tc>
        <w:tc>
          <w:tcPr>
            <w:tcW w:w="909" w:type="dxa"/>
            <w:vMerge w:val="restart"/>
            <w:tcBorders>
              <w:top w:val="single" w:color="000000" w:sz="4" w:space="0"/>
              <w:left w:val="nil"/>
              <w:bottom w:val="nil"/>
              <w:right w:val="single" w:color="000000" w:sz="4" w:space="0"/>
            </w:tcBorders>
            <w:shd w:val="clear" w:color="auto" w:fill="auto"/>
            <w:vAlign w:val="center"/>
          </w:tcPr>
          <w:p w14:paraId="7029457C">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经济指标完成情况（20分）</w:t>
            </w:r>
          </w:p>
        </w:tc>
        <w:tc>
          <w:tcPr>
            <w:tcW w:w="979" w:type="dxa"/>
            <w:tcBorders>
              <w:top w:val="single" w:color="000000" w:sz="4" w:space="0"/>
              <w:left w:val="single" w:color="000000" w:sz="4" w:space="0"/>
              <w:bottom w:val="nil"/>
              <w:right w:val="single" w:color="000000" w:sz="4" w:space="0"/>
            </w:tcBorders>
            <w:shd w:val="clear" w:color="auto" w:fill="auto"/>
            <w:vAlign w:val="center"/>
          </w:tcPr>
          <w:p w14:paraId="7E9CDED5">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数量指标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4146A">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涉及几项指标</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DB88B">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3项</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9BE79">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3项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1E19F">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620CB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2"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266288D">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nil"/>
              <w:bottom w:val="nil"/>
              <w:right w:val="single" w:color="000000" w:sz="4" w:space="0"/>
            </w:tcBorders>
            <w:shd w:val="clear" w:color="auto" w:fill="auto"/>
            <w:vAlign w:val="center"/>
          </w:tcPr>
          <w:p w14:paraId="28ACC4C5">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B4874">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质量指标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AFCFC">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实际指标</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8CB28">
            <w:pPr>
              <w:keepNext w:val="0"/>
              <w:keepLines w:val="0"/>
              <w:widowControl/>
              <w:suppressLineNumbers w:val="0"/>
              <w:jc w:val="left"/>
              <w:textAlignment w:val="center"/>
              <w:rPr>
                <w:rFonts w:hint="eastAsia" w:ascii="仿宋" w:hAnsi="仿宋" w:eastAsia="仿宋" w:cs="仿宋"/>
                <w:i w:val="0"/>
                <w:iCs w:val="0"/>
                <w:color w:val="000000"/>
                <w:kern w:val="0"/>
                <w:sz w:val="18"/>
                <w:szCs w:val="18"/>
                <w:u w:val="none"/>
                <w:lang w:val="en-US" w:eastAsia="zh-CN" w:bidi="ar"/>
              </w:rPr>
            </w:pPr>
            <w:r>
              <w:rPr>
                <w:rFonts w:hint="eastAsia" w:ascii="仿宋" w:hAnsi="仿宋" w:eastAsia="仿宋" w:cs="仿宋"/>
                <w:i w:val="0"/>
                <w:iCs w:val="0"/>
                <w:color w:val="000000"/>
                <w:kern w:val="0"/>
                <w:sz w:val="18"/>
                <w:szCs w:val="18"/>
                <w:u w:val="none"/>
                <w:lang w:val="en-US" w:eastAsia="zh-CN" w:bidi="ar"/>
              </w:rPr>
              <w:t>规上工业和服务业营业收入指标进入全省同类县前13名，全市营业收入开发区进入前12名。</w:t>
            </w:r>
          </w:p>
          <w:p w14:paraId="2AA7E0CF">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E3C15">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rPr>
              <w:t>新增规上工业企业4家，新增规上服务业企业1家，新增限额以上批零住餐企业2家。</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02EF0">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7FAE39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9"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35CD78FE">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nil"/>
              <w:bottom w:val="nil"/>
              <w:right w:val="single" w:color="000000" w:sz="4" w:space="0"/>
            </w:tcBorders>
            <w:shd w:val="clear" w:color="auto" w:fill="auto"/>
            <w:vAlign w:val="center"/>
          </w:tcPr>
          <w:p w14:paraId="74550767">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5B892">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时效指标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2F199">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年内全部完成</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624CE">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w:t>
            </w:r>
            <w:r>
              <w:rPr>
                <w:rStyle w:val="11"/>
                <w:lang w:val="en-US" w:eastAsia="zh-CN" w:bidi="ar"/>
              </w:rPr>
              <w:t>年</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197B4">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2025年已全部完成</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63BF8F">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72DDA5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3"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7D326DB">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nil"/>
              <w:bottom w:val="nil"/>
              <w:right w:val="single" w:color="000000" w:sz="4" w:space="0"/>
            </w:tcBorders>
            <w:shd w:val="clear" w:color="auto" w:fill="auto"/>
            <w:vAlign w:val="center"/>
          </w:tcPr>
          <w:p w14:paraId="37BAAB01">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76F18">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社会效益指标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5A440">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经济指标得到提升</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3B17D">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进一步提升</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E21E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科学研判、精准预测各项经济指标，确保指标稳步提升。</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83BE3">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47C27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65FC67E4">
            <w:pPr>
              <w:jc w:val="center"/>
              <w:rPr>
                <w:rFonts w:hint="default" w:ascii="Calibri" w:hAnsi="Calibri" w:eastAsia="宋体" w:cs="Calibri"/>
                <w:i w:val="0"/>
                <w:iCs w:val="0"/>
                <w:color w:val="000000"/>
                <w:sz w:val="18"/>
                <w:szCs w:val="18"/>
                <w:u w:val="none"/>
              </w:rPr>
            </w:pP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D5BF0A6">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招商引资完成情况（20分）</w:t>
            </w:r>
          </w:p>
        </w:tc>
        <w:tc>
          <w:tcPr>
            <w:tcW w:w="979" w:type="dxa"/>
            <w:tcBorders>
              <w:top w:val="single" w:color="000000" w:sz="4" w:space="0"/>
              <w:left w:val="nil"/>
              <w:bottom w:val="nil"/>
              <w:right w:val="single" w:color="000000" w:sz="4" w:space="0"/>
            </w:tcBorders>
            <w:shd w:val="clear" w:color="auto" w:fill="auto"/>
            <w:vAlign w:val="center"/>
          </w:tcPr>
          <w:p w14:paraId="5465A24D">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数量指标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9ABF1E">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招商活动</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5046">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w:t>
            </w:r>
            <w:r>
              <w:rPr>
                <w:rStyle w:val="11"/>
                <w:lang w:val="en-US" w:eastAsia="zh-CN" w:bidi="ar"/>
              </w:rPr>
              <w:t>次</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BFC6">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92</w:t>
            </w:r>
            <w:r>
              <w:rPr>
                <w:rStyle w:val="11"/>
                <w:lang w:val="en-US" w:eastAsia="zh-CN" w:bidi="ar"/>
              </w:rPr>
              <w:t>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81A2A">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273B5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375CBB66">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8D6715">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nil"/>
              <w:bottom w:val="single" w:color="000000" w:sz="4" w:space="0"/>
              <w:right w:val="single" w:color="000000" w:sz="4" w:space="0"/>
            </w:tcBorders>
            <w:shd w:val="clear" w:color="auto" w:fill="auto"/>
            <w:vAlign w:val="center"/>
          </w:tcPr>
          <w:p w14:paraId="723E048C">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质量指标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046FE7">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签约项目</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D79C">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10个</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77B7B">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15个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BA28D">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2525FD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EDB07C5">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CF07B3">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nil"/>
              <w:bottom w:val="single" w:color="000000" w:sz="4" w:space="0"/>
              <w:right w:val="single" w:color="000000" w:sz="4" w:space="0"/>
            </w:tcBorders>
            <w:shd w:val="clear" w:color="auto" w:fill="auto"/>
            <w:vAlign w:val="center"/>
          </w:tcPr>
          <w:p w14:paraId="3153EA95">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时效指标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F10452">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年内全部完成</w:t>
            </w:r>
          </w:p>
        </w:tc>
        <w:tc>
          <w:tcPr>
            <w:tcW w:w="19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7154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2025年</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6BC3B">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2025年已全部完成</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BA8BB">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321AEC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3FAF5C3">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AFD93B">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nil"/>
              <w:bottom w:val="nil"/>
              <w:right w:val="single" w:color="000000" w:sz="4" w:space="0"/>
            </w:tcBorders>
            <w:shd w:val="clear" w:color="auto" w:fill="auto"/>
            <w:vAlign w:val="center"/>
          </w:tcPr>
          <w:p w14:paraId="689911B2">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社会效益指标</w:t>
            </w:r>
          </w:p>
        </w:tc>
        <w:tc>
          <w:tcPr>
            <w:tcW w:w="1878" w:type="dxa"/>
            <w:gridSpan w:val="2"/>
            <w:tcBorders>
              <w:top w:val="single" w:color="000000" w:sz="4" w:space="0"/>
              <w:left w:val="single" w:color="000000" w:sz="4" w:space="0"/>
              <w:bottom w:val="nil"/>
              <w:right w:val="single" w:color="000000" w:sz="4" w:space="0"/>
            </w:tcBorders>
            <w:shd w:val="clear" w:color="auto" w:fill="auto"/>
            <w:vAlign w:val="center"/>
          </w:tcPr>
          <w:p w14:paraId="42C42063">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创新招商机制</w:t>
            </w:r>
          </w:p>
        </w:tc>
        <w:tc>
          <w:tcPr>
            <w:tcW w:w="1916" w:type="dxa"/>
            <w:tcBorders>
              <w:top w:val="single" w:color="000000" w:sz="4" w:space="0"/>
              <w:left w:val="single" w:color="000000" w:sz="4" w:space="0"/>
              <w:bottom w:val="nil"/>
              <w:right w:val="single" w:color="000000" w:sz="4" w:space="0"/>
            </w:tcBorders>
            <w:shd w:val="clear" w:color="auto" w:fill="auto"/>
            <w:vAlign w:val="center"/>
          </w:tcPr>
          <w:p w14:paraId="02E61B3B">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进一步创新</w:t>
            </w:r>
          </w:p>
        </w:tc>
        <w:tc>
          <w:tcPr>
            <w:tcW w:w="2447" w:type="dxa"/>
            <w:tcBorders>
              <w:top w:val="single" w:color="000000" w:sz="4" w:space="0"/>
              <w:left w:val="single" w:color="000000" w:sz="4" w:space="0"/>
              <w:bottom w:val="nil"/>
              <w:right w:val="single" w:color="000000" w:sz="4" w:space="0"/>
            </w:tcBorders>
            <w:shd w:val="clear" w:color="auto" w:fill="auto"/>
            <w:vAlign w:val="center"/>
          </w:tcPr>
          <w:p w14:paraId="5ABA317C">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优化项目准入机制，从招商到选商，从量优到质优。</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950A8">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7A590E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5C7F81CA">
            <w:pPr>
              <w:jc w:val="center"/>
              <w:rPr>
                <w:rFonts w:hint="default" w:ascii="Calibri" w:hAnsi="Calibri" w:eastAsia="宋体" w:cs="Calibri"/>
                <w:i w:val="0"/>
                <w:iCs w:val="0"/>
                <w:color w:val="000000"/>
                <w:sz w:val="18"/>
                <w:szCs w:val="18"/>
                <w:u w:val="none"/>
              </w:rPr>
            </w:pP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2321F4D">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项目建设情况（20分）</w:t>
            </w:r>
          </w:p>
        </w:tc>
        <w:tc>
          <w:tcPr>
            <w:tcW w:w="979" w:type="dxa"/>
            <w:tcBorders>
              <w:top w:val="single" w:color="000000" w:sz="4" w:space="0"/>
              <w:left w:val="single" w:color="000000" w:sz="4" w:space="0"/>
              <w:bottom w:val="nil"/>
              <w:right w:val="single" w:color="000000" w:sz="4" w:space="0"/>
            </w:tcBorders>
            <w:shd w:val="clear" w:color="auto" w:fill="auto"/>
            <w:vAlign w:val="center"/>
          </w:tcPr>
          <w:p w14:paraId="1D0C996E">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32B83">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收储土地亩数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4C6C0">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360亩</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02A79">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587.8728亩</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A5F07">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5DDC04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09B631D7">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D0BE2F">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8275">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56A7E">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投产项目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0B23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10个</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2114">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AF10">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353B7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2AC6C587">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5E4729">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CEB90">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94CDCA">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年内完成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97007">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2025年</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92D2">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2025年已全部完成</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C5C30">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5EFFD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577DCF94">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43EB24">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nil"/>
              <w:right w:val="single" w:color="000000" w:sz="4" w:space="0"/>
            </w:tcBorders>
            <w:shd w:val="clear" w:color="auto" w:fill="auto"/>
            <w:vAlign w:val="center"/>
          </w:tcPr>
          <w:p w14:paraId="368E2A8D">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社会效益指标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12D6F">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持续推动项目建设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B09A4B">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进一步推动</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2B167">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确保了全年投产任务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9182F">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3136F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1E837F67">
            <w:pPr>
              <w:jc w:val="center"/>
              <w:rPr>
                <w:rFonts w:hint="default" w:ascii="Calibri" w:hAnsi="Calibri" w:eastAsia="宋体" w:cs="Calibri"/>
                <w:i w:val="0"/>
                <w:iCs w:val="0"/>
                <w:color w:val="000000"/>
                <w:sz w:val="18"/>
                <w:szCs w:val="18"/>
                <w:u w:val="none"/>
              </w:rPr>
            </w:pP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E8B503">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基础保障方面（20分）</w:t>
            </w:r>
          </w:p>
        </w:tc>
        <w:tc>
          <w:tcPr>
            <w:tcW w:w="979" w:type="dxa"/>
            <w:tcBorders>
              <w:top w:val="single" w:color="000000" w:sz="4" w:space="0"/>
              <w:left w:val="single" w:color="000000" w:sz="4" w:space="0"/>
              <w:bottom w:val="nil"/>
              <w:right w:val="single" w:color="000000" w:sz="4" w:space="0"/>
            </w:tcBorders>
            <w:shd w:val="clear" w:color="auto" w:fill="auto"/>
            <w:vAlign w:val="center"/>
          </w:tcPr>
          <w:p w14:paraId="6937AFCA">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FBDE0">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企业数量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B2624">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2个项目</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9ABE6">
            <w:pPr>
              <w:keepNext w:val="0"/>
              <w:keepLines w:val="0"/>
              <w:widowControl/>
              <w:suppressLineNumbers w:val="0"/>
              <w:jc w:val="left"/>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val="en-US" w:eastAsia="zh-CN"/>
              </w:rPr>
              <w:t>全年有效保障了ppp项目收尾工作和390建设</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202B7">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15C04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5965FDEA">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CEBC5C">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0C06F">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7380">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62223">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1898">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2401C">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33040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32509F04">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4752DE">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D12B8">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9A2F9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及时完成率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8F6495">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4D173">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6A67E">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08476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2"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6C6768C5">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3B249">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nil"/>
              <w:right w:val="single" w:color="000000" w:sz="4" w:space="0"/>
            </w:tcBorders>
            <w:shd w:val="clear" w:color="auto" w:fill="auto"/>
            <w:vAlign w:val="center"/>
          </w:tcPr>
          <w:p w14:paraId="7DCB36A8">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社会效益指标</w:t>
            </w:r>
          </w:p>
        </w:tc>
        <w:tc>
          <w:tcPr>
            <w:tcW w:w="187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DDF2D">
            <w:pPr>
              <w:jc w:val="left"/>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达到改造提升目标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1943F">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进一步提升</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BECAD">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年内完成了既定目标</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E5146">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54D2A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5B62F039">
            <w:pPr>
              <w:jc w:val="center"/>
              <w:rPr>
                <w:rFonts w:hint="default" w:ascii="Calibri" w:hAnsi="Calibri" w:eastAsia="宋体" w:cs="Calibri"/>
                <w:i w:val="0"/>
                <w:iCs w:val="0"/>
                <w:color w:val="000000"/>
                <w:sz w:val="18"/>
                <w:szCs w:val="18"/>
                <w:u w:val="none"/>
              </w:rPr>
            </w:pPr>
          </w:p>
        </w:tc>
        <w:tc>
          <w:tcPr>
            <w:tcW w:w="90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BC0B75">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“开发区+公司”深度融合（20分）</w:t>
            </w:r>
          </w:p>
        </w:tc>
        <w:tc>
          <w:tcPr>
            <w:tcW w:w="979" w:type="dxa"/>
            <w:tcBorders>
              <w:top w:val="single" w:color="000000" w:sz="4" w:space="0"/>
              <w:left w:val="single" w:color="000000" w:sz="4" w:space="0"/>
              <w:bottom w:val="nil"/>
              <w:right w:val="single" w:color="000000" w:sz="4" w:space="0"/>
            </w:tcBorders>
            <w:shd w:val="clear" w:color="auto" w:fill="auto"/>
            <w:vAlign w:val="center"/>
          </w:tcPr>
          <w:p w14:paraId="3A5AF6E7">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B8004">
            <w:pPr>
              <w:keepNext w:val="0"/>
              <w:keepLines w:val="0"/>
              <w:widowControl/>
              <w:suppressLineNumbers w:val="0"/>
              <w:jc w:val="left"/>
              <w:textAlignment w:val="center"/>
              <w:rPr>
                <w:rFonts w:hint="default" w:ascii="仿宋" w:hAnsi="仿宋" w:eastAsia="仿宋" w:cs="仿宋"/>
                <w:i w:val="0"/>
                <w:iCs w:val="0"/>
                <w:color w:val="000000"/>
                <w:sz w:val="18"/>
                <w:szCs w:val="18"/>
                <w:u w:val="none"/>
                <w:lang w:val="en-US" w:eastAsia="zh-CN"/>
              </w:rPr>
            </w:pPr>
            <w:r>
              <w:rPr>
                <w:rFonts w:hint="eastAsia" w:ascii="仿宋" w:hAnsi="仿宋" w:eastAsia="仿宋" w:cs="仿宋"/>
                <w:i w:val="0"/>
                <w:iCs w:val="0"/>
                <w:color w:val="000000"/>
                <w:sz w:val="18"/>
                <w:szCs w:val="18"/>
                <w:u w:val="none"/>
                <w:lang w:eastAsia="zh-CN"/>
              </w:rPr>
              <w:t>开发区</w:t>
            </w:r>
            <w:r>
              <w:rPr>
                <w:rFonts w:hint="eastAsia" w:ascii="仿宋" w:hAnsi="仿宋" w:eastAsia="仿宋" w:cs="仿宋"/>
                <w:i w:val="0"/>
                <w:iCs w:val="0"/>
                <w:color w:val="000000"/>
                <w:sz w:val="18"/>
                <w:szCs w:val="18"/>
                <w:u w:val="none"/>
                <w:lang w:val="en-US" w:eastAsia="zh-CN"/>
              </w:rPr>
              <w:t>+公司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74B4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1个</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10676">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lang w:val="en-US" w:eastAsia="zh-CN"/>
              </w:rPr>
              <w:t>充分发挥开发区+公司作用，以公司化运营提高开发区综合保障能力</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47F92">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6D28A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1038ACFB">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C91F4E">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89B76">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F4001">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D6D3FE">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7A258">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E6BF3">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42016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8"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6CFEC1F8">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B3A4E8">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C8735">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3D684">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及时完成率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C64E0">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3FDE4">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100%</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676EB">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r w14:paraId="77F90B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496" w:type="dxa"/>
            <w:vMerge w:val="continue"/>
            <w:tcBorders>
              <w:top w:val="nil"/>
              <w:left w:val="single" w:color="000000" w:sz="4" w:space="0"/>
              <w:bottom w:val="single" w:color="000000" w:sz="4" w:space="0"/>
              <w:right w:val="single" w:color="000000" w:sz="4" w:space="0"/>
            </w:tcBorders>
            <w:shd w:val="clear" w:color="auto" w:fill="auto"/>
            <w:vAlign w:val="center"/>
          </w:tcPr>
          <w:p w14:paraId="779DC6DF">
            <w:pPr>
              <w:jc w:val="center"/>
              <w:rPr>
                <w:rFonts w:hint="default" w:ascii="Calibri" w:hAnsi="Calibri" w:eastAsia="宋体" w:cs="Calibri"/>
                <w:i w:val="0"/>
                <w:iCs w:val="0"/>
                <w:color w:val="000000"/>
                <w:sz w:val="18"/>
                <w:szCs w:val="18"/>
                <w:u w:val="none"/>
              </w:rPr>
            </w:pPr>
          </w:p>
        </w:tc>
        <w:tc>
          <w:tcPr>
            <w:tcW w:w="90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E9E2C8">
            <w:pPr>
              <w:jc w:val="center"/>
              <w:rPr>
                <w:rFonts w:hint="eastAsia" w:ascii="仿宋" w:hAnsi="仿宋" w:eastAsia="仿宋" w:cs="仿宋"/>
                <w:i w:val="0"/>
                <w:iCs w:val="0"/>
                <w:color w:val="000000"/>
                <w:sz w:val="18"/>
                <w:szCs w:val="18"/>
                <w:u w:val="none"/>
              </w:rPr>
            </w:pPr>
          </w:p>
        </w:tc>
        <w:tc>
          <w:tcPr>
            <w:tcW w:w="9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C0D4F">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3D0DD">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业务拓展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6E34C2">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进一步延伸</w:t>
            </w:r>
          </w:p>
        </w:tc>
        <w:tc>
          <w:tcPr>
            <w:tcW w:w="24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5E15F">
            <w:pPr>
              <w:keepNext w:val="0"/>
              <w:keepLines w:val="0"/>
              <w:widowControl/>
              <w:suppressLineNumbers w:val="0"/>
              <w:jc w:val="left"/>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sz w:val="18"/>
                <w:szCs w:val="18"/>
                <w:u w:val="none"/>
                <w:lang w:val="en-US" w:eastAsia="zh-CN"/>
              </w:rPr>
              <w:t>完成开发区分布式光伏新能源项目试点任务，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F88F6">
            <w:pPr>
              <w:keepNext w:val="0"/>
              <w:keepLines w:val="0"/>
              <w:widowControl/>
              <w:suppressLineNumbers w:val="0"/>
              <w:jc w:val="center"/>
              <w:textAlignment w:val="center"/>
              <w:rPr>
                <w:rFonts w:hint="eastAsia" w:ascii="仿宋" w:hAnsi="仿宋" w:eastAsia="仿宋" w:cs="仿宋"/>
                <w:i w:val="0"/>
                <w:iCs w:val="0"/>
                <w:color w:val="000000"/>
                <w:sz w:val="18"/>
                <w:szCs w:val="18"/>
                <w:u w:val="none"/>
              </w:rPr>
            </w:pPr>
            <w:r>
              <w:rPr>
                <w:rFonts w:hint="eastAsia" w:ascii="仿宋" w:hAnsi="仿宋" w:eastAsia="仿宋" w:cs="仿宋"/>
                <w:i w:val="0"/>
                <w:iCs w:val="0"/>
                <w:color w:val="000000"/>
                <w:kern w:val="0"/>
                <w:sz w:val="18"/>
                <w:szCs w:val="18"/>
                <w:u w:val="none"/>
                <w:lang w:val="en-US" w:eastAsia="zh-CN" w:bidi="ar"/>
              </w:rPr>
              <w:t>5</w:t>
            </w:r>
          </w:p>
        </w:tc>
      </w:tr>
    </w:tbl>
    <w:p w14:paraId="58197CAE">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05A09A7">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319" w:leftChars="152" w:firstLine="640" w:firstLineChars="20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年终根据部门职责定位和各项工作履职情况进行综合评价，综合绩效评价得分100分、等级为优秀。</w:t>
      </w:r>
    </w:p>
    <w:p w14:paraId="2E3B9B5E">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9D772AC">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2B77479E">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baseline"/>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通过绩效自评结果对比倒查年初绩效目标设定情况，发现年初绩效目标设定还是不够精细。主要是有些项目确实不好量化，再就是年初绩效目标设定不够仔细、完善。</w:t>
      </w:r>
    </w:p>
    <w:p w14:paraId="7BB66DD2">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749DE738">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baseline"/>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在今后的工作中，将加强业务部门对绩效目标工作的管理，仔细研究项目情况，制定更加合理、更加易于考核量化的目标。更好的开展项目绩效工作。</w:t>
      </w:r>
    </w:p>
    <w:p w14:paraId="27A7BE2D">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4D3AE78B">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组  长：刘志宏  三级调研员</w:t>
      </w:r>
    </w:p>
    <w:p w14:paraId="6D9AF289">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 xml:space="preserve">副组长：郝利峰 </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开发区党工委副书记</w:t>
      </w:r>
    </w:p>
    <w:p w14:paraId="32B0CF61">
      <w:pPr>
        <w:pStyle w:val="13"/>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1920" w:firstLineChars="600"/>
        <w:jc w:val="left"/>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 xml:space="preserve">窦晓娟 </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开发区党工委委员</w:t>
      </w:r>
    </w:p>
    <w:p w14:paraId="7AF3C12D">
      <w:pPr>
        <w:pStyle w:val="13"/>
        <w:keepNext w:val="0"/>
        <w:keepLines w:val="0"/>
        <w:pageBreakBefore w:val="0"/>
        <w:widowControl w:val="0"/>
        <w:numPr>
          <w:ilvl w:val="0"/>
          <w:numId w:val="0"/>
        </w:numPr>
        <w:tabs>
          <w:tab w:val="left" w:pos="2088"/>
        </w:tabs>
        <w:kinsoku/>
        <w:wordWrap/>
        <w:overflowPunct/>
        <w:topLinePunct w:val="0"/>
        <w:autoSpaceDE/>
        <w:autoSpaceDN/>
        <w:bidi w:val="0"/>
        <w:adjustRightInd/>
        <w:snapToGrid/>
        <w:spacing w:line="560" w:lineRule="exact"/>
        <w:ind w:firstLine="640" w:firstLineChars="200"/>
        <w:jc w:val="left"/>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ab/>
      </w:r>
      <w:r>
        <w:rPr>
          <w:rFonts w:hint="eastAsia" w:ascii="仿宋" w:hAnsi="仿宋" w:eastAsia="仿宋" w:cs="仿宋"/>
          <w:b w:val="0"/>
          <w:bCs w:val="0"/>
          <w:sz w:val="32"/>
          <w:szCs w:val="32"/>
          <w:lang w:eastAsia="zh-CN"/>
        </w:rPr>
        <w:t>刘</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恒</w:t>
      </w:r>
      <w:r>
        <w:rPr>
          <w:rFonts w:hint="eastAsia" w:ascii="仿宋" w:hAnsi="仿宋" w:eastAsia="仿宋" w:cs="仿宋"/>
          <w:b w:val="0"/>
          <w:bCs w:val="0"/>
          <w:sz w:val="32"/>
          <w:szCs w:val="32"/>
          <w:lang w:val="en-US" w:eastAsia="zh-CN"/>
        </w:rPr>
        <w:t xml:space="preserve">  开发区党工委委员、招商局局长</w:t>
      </w:r>
    </w:p>
    <w:p w14:paraId="02885521">
      <w:pPr>
        <w:pStyle w:val="13"/>
        <w:keepNext w:val="0"/>
        <w:keepLines w:val="0"/>
        <w:pageBreakBefore w:val="0"/>
        <w:widowControl w:val="0"/>
        <w:numPr>
          <w:ilvl w:val="0"/>
          <w:numId w:val="0"/>
        </w:numPr>
        <w:tabs>
          <w:tab w:val="left" w:pos="2088"/>
        </w:tabs>
        <w:kinsoku/>
        <w:wordWrap/>
        <w:overflowPunct/>
        <w:topLinePunct w:val="0"/>
        <w:autoSpaceDE/>
        <w:autoSpaceDN/>
        <w:bidi w:val="0"/>
        <w:adjustRightInd/>
        <w:snapToGrid/>
        <w:spacing w:line="560" w:lineRule="exact"/>
        <w:ind w:firstLine="640" w:firstLineChars="200"/>
        <w:jc w:val="left"/>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eastAsia="zh-CN"/>
        </w:rPr>
        <w:t>成  员：赵海元</w:t>
      </w:r>
      <w:r>
        <w:rPr>
          <w:rFonts w:hint="eastAsia" w:ascii="仿宋" w:hAnsi="仿宋" w:eastAsia="仿宋" w:cs="仿宋"/>
          <w:b w:val="0"/>
          <w:bCs w:val="0"/>
          <w:sz w:val="32"/>
          <w:szCs w:val="32"/>
          <w:lang w:val="en-US" w:eastAsia="zh-CN"/>
        </w:rPr>
        <w:t xml:space="preserve">  </w:t>
      </w:r>
      <w:r>
        <w:rPr>
          <w:rFonts w:hint="eastAsia" w:ascii="仿宋" w:hAnsi="仿宋" w:eastAsia="仿宋" w:cs="仿宋"/>
          <w:b w:val="0"/>
          <w:bCs w:val="0"/>
          <w:sz w:val="32"/>
          <w:szCs w:val="32"/>
          <w:lang w:eastAsia="zh-CN"/>
        </w:rPr>
        <w:t>化晨</w:t>
      </w:r>
      <w:r>
        <w:rPr>
          <w:rFonts w:hint="eastAsia" w:ascii="仿宋" w:hAnsi="仿宋" w:eastAsia="仿宋" w:cs="仿宋"/>
          <w:b w:val="0"/>
          <w:bCs w:val="0"/>
          <w:sz w:val="32"/>
          <w:szCs w:val="32"/>
          <w:lang w:val="en-US" w:eastAsia="zh-CN"/>
        </w:rPr>
        <w:t xml:space="preserve">  张晶伟   张秀芳   </w:t>
      </w:r>
    </w:p>
    <w:p w14:paraId="6E6E2EDC">
      <w:pPr>
        <w:spacing w:line="560" w:lineRule="exact"/>
        <w:rPr>
          <w:rFonts w:ascii="仿宋" w:hAnsi="仿宋" w:eastAsia="仿宋"/>
        </w:rPr>
      </w:pPr>
    </w:p>
    <w:sectPr>
      <w:footerReference r:id="rId3" w:type="default"/>
      <w:pgSz w:w="11906" w:h="16838"/>
      <w:pgMar w:top="1417" w:right="1417" w:bottom="1417"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EB64CC">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AA110B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AA110B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61298"/>
    <w:multiLevelType w:val="singleLevel"/>
    <w:tmpl w:val="DD161298"/>
    <w:lvl w:ilvl="0" w:tentative="0">
      <w:start w:val="1"/>
      <w:numFmt w:val="decimal"/>
      <w:suff w:val="nothing"/>
      <w:lvlText w:val="%1、"/>
      <w:lvlJc w:val="left"/>
    </w:lvl>
  </w:abstractNum>
  <w:abstractNum w:abstractNumId="1">
    <w:nsid w:val="E98A0ACF"/>
    <w:multiLevelType w:val="singleLevel"/>
    <w:tmpl w:val="E98A0ACF"/>
    <w:lvl w:ilvl="0" w:tentative="0">
      <w:start w:val="2"/>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4001AC"/>
    <w:rsid w:val="018E53BB"/>
    <w:rsid w:val="018F6A3E"/>
    <w:rsid w:val="01B104CA"/>
    <w:rsid w:val="02106AB0"/>
    <w:rsid w:val="02181129"/>
    <w:rsid w:val="021F7DC1"/>
    <w:rsid w:val="02A35350"/>
    <w:rsid w:val="02B43A28"/>
    <w:rsid w:val="03B75DFE"/>
    <w:rsid w:val="03D60954"/>
    <w:rsid w:val="0414147C"/>
    <w:rsid w:val="046F331E"/>
    <w:rsid w:val="04754611"/>
    <w:rsid w:val="04F512AE"/>
    <w:rsid w:val="0513234F"/>
    <w:rsid w:val="05196EB8"/>
    <w:rsid w:val="056C2B69"/>
    <w:rsid w:val="07956271"/>
    <w:rsid w:val="08F04266"/>
    <w:rsid w:val="09721397"/>
    <w:rsid w:val="09C120A6"/>
    <w:rsid w:val="0AAB0D8C"/>
    <w:rsid w:val="0ACC2AB1"/>
    <w:rsid w:val="0B505490"/>
    <w:rsid w:val="0BB63BED"/>
    <w:rsid w:val="0CC84D8D"/>
    <w:rsid w:val="0DC91529"/>
    <w:rsid w:val="0E4C3E22"/>
    <w:rsid w:val="0E5434E9"/>
    <w:rsid w:val="0E8A515C"/>
    <w:rsid w:val="0EB97A43"/>
    <w:rsid w:val="0EBD2122"/>
    <w:rsid w:val="0F214EAE"/>
    <w:rsid w:val="108B6429"/>
    <w:rsid w:val="11274EE5"/>
    <w:rsid w:val="11B71E6A"/>
    <w:rsid w:val="122B4561"/>
    <w:rsid w:val="125515DD"/>
    <w:rsid w:val="13051255"/>
    <w:rsid w:val="14411E19"/>
    <w:rsid w:val="144B521C"/>
    <w:rsid w:val="148461AA"/>
    <w:rsid w:val="14FC0436"/>
    <w:rsid w:val="15616C0A"/>
    <w:rsid w:val="159E5049"/>
    <w:rsid w:val="15A308B2"/>
    <w:rsid w:val="15CF16A7"/>
    <w:rsid w:val="16041350"/>
    <w:rsid w:val="17033CFE"/>
    <w:rsid w:val="17A74689"/>
    <w:rsid w:val="18041ADC"/>
    <w:rsid w:val="192817FA"/>
    <w:rsid w:val="19306900"/>
    <w:rsid w:val="194E17EF"/>
    <w:rsid w:val="1A9D1D74"/>
    <w:rsid w:val="1AAF0063"/>
    <w:rsid w:val="1AF8344E"/>
    <w:rsid w:val="1B80180D"/>
    <w:rsid w:val="1BE140DE"/>
    <w:rsid w:val="1E312EFF"/>
    <w:rsid w:val="1E94348E"/>
    <w:rsid w:val="20745325"/>
    <w:rsid w:val="20BE6FAB"/>
    <w:rsid w:val="21B77BBF"/>
    <w:rsid w:val="2208666C"/>
    <w:rsid w:val="2288155B"/>
    <w:rsid w:val="23447230"/>
    <w:rsid w:val="248C197D"/>
    <w:rsid w:val="24BE1264"/>
    <w:rsid w:val="252959AF"/>
    <w:rsid w:val="254E083A"/>
    <w:rsid w:val="25886595"/>
    <w:rsid w:val="259124D5"/>
    <w:rsid w:val="262E5F76"/>
    <w:rsid w:val="2729330D"/>
    <w:rsid w:val="276C144B"/>
    <w:rsid w:val="277A6671"/>
    <w:rsid w:val="292D35B7"/>
    <w:rsid w:val="2B9E594C"/>
    <w:rsid w:val="2C027343"/>
    <w:rsid w:val="2C762C2C"/>
    <w:rsid w:val="2C8C39F6"/>
    <w:rsid w:val="2D79041E"/>
    <w:rsid w:val="2DBD655D"/>
    <w:rsid w:val="2DC84F02"/>
    <w:rsid w:val="2E347922"/>
    <w:rsid w:val="2EDC6618"/>
    <w:rsid w:val="2F2B5748"/>
    <w:rsid w:val="2FC949E6"/>
    <w:rsid w:val="301B756B"/>
    <w:rsid w:val="30A92DC8"/>
    <w:rsid w:val="31151E97"/>
    <w:rsid w:val="32A01FA9"/>
    <w:rsid w:val="32AB72CC"/>
    <w:rsid w:val="32F12805"/>
    <w:rsid w:val="33B45D0C"/>
    <w:rsid w:val="33EB6CFF"/>
    <w:rsid w:val="35A12947"/>
    <w:rsid w:val="35B53FBD"/>
    <w:rsid w:val="3627206D"/>
    <w:rsid w:val="365A133A"/>
    <w:rsid w:val="37387040"/>
    <w:rsid w:val="379522F8"/>
    <w:rsid w:val="37BC4547"/>
    <w:rsid w:val="37CB0893"/>
    <w:rsid w:val="37E34E12"/>
    <w:rsid w:val="38635F53"/>
    <w:rsid w:val="38743CBC"/>
    <w:rsid w:val="3A887323"/>
    <w:rsid w:val="3B0548E0"/>
    <w:rsid w:val="3B625C0A"/>
    <w:rsid w:val="3BDC6748"/>
    <w:rsid w:val="3CEE1963"/>
    <w:rsid w:val="3D3B786A"/>
    <w:rsid w:val="3DD86A9B"/>
    <w:rsid w:val="3E4B3711"/>
    <w:rsid w:val="3E686071"/>
    <w:rsid w:val="3F7B76F3"/>
    <w:rsid w:val="3FAE3F57"/>
    <w:rsid w:val="40550877"/>
    <w:rsid w:val="41202C33"/>
    <w:rsid w:val="41A27AEC"/>
    <w:rsid w:val="42B31885"/>
    <w:rsid w:val="42D53EF1"/>
    <w:rsid w:val="42D5417C"/>
    <w:rsid w:val="42DD18FE"/>
    <w:rsid w:val="43641278"/>
    <w:rsid w:val="436B78D3"/>
    <w:rsid w:val="444924A1"/>
    <w:rsid w:val="44F52628"/>
    <w:rsid w:val="456D0411"/>
    <w:rsid w:val="4577303D"/>
    <w:rsid w:val="47B71E17"/>
    <w:rsid w:val="48A26623"/>
    <w:rsid w:val="48B60C1B"/>
    <w:rsid w:val="494E2307"/>
    <w:rsid w:val="499917D4"/>
    <w:rsid w:val="4AB80380"/>
    <w:rsid w:val="4B7F3FB2"/>
    <w:rsid w:val="4C392DFB"/>
    <w:rsid w:val="4C804ECE"/>
    <w:rsid w:val="4C9C27FE"/>
    <w:rsid w:val="4E726A98"/>
    <w:rsid w:val="4F9D7B44"/>
    <w:rsid w:val="4FD80B7D"/>
    <w:rsid w:val="50D11BCF"/>
    <w:rsid w:val="512260B4"/>
    <w:rsid w:val="5272350A"/>
    <w:rsid w:val="52BD6ACB"/>
    <w:rsid w:val="544E765F"/>
    <w:rsid w:val="55191A1B"/>
    <w:rsid w:val="55537534"/>
    <w:rsid w:val="561A74F1"/>
    <w:rsid w:val="568B6949"/>
    <w:rsid w:val="56E10C5F"/>
    <w:rsid w:val="575B27BF"/>
    <w:rsid w:val="57AC6B77"/>
    <w:rsid w:val="57B668A5"/>
    <w:rsid w:val="58931AE5"/>
    <w:rsid w:val="597244E8"/>
    <w:rsid w:val="59F14D15"/>
    <w:rsid w:val="5A85096F"/>
    <w:rsid w:val="5B1C2265"/>
    <w:rsid w:val="5BF8682E"/>
    <w:rsid w:val="5C304DB5"/>
    <w:rsid w:val="5D213B63"/>
    <w:rsid w:val="5D3D6D62"/>
    <w:rsid w:val="5D5932FD"/>
    <w:rsid w:val="5DCA244C"/>
    <w:rsid w:val="5EB71C30"/>
    <w:rsid w:val="624D71A8"/>
    <w:rsid w:val="62886285"/>
    <w:rsid w:val="62B64D4D"/>
    <w:rsid w:val="62F13FD7"/>
    <w:rsid w:val="63367C3C"/>
    <w:rsid w:val="635602DE"/>
    <w:rsid w:val="640815D9"/>
    <w:rsid w:val="64A01811"/>
    <w:rsid w:val="64DF4A2F"/>
    <w:rsid w:val="66106E6A"/>
    <w:rsid w:val="6646288C"/>
    <w:rsid w:val="669058B5"/>
    <w:rsid w:val="66AF0CE5"/>
    <w:rsid w:val="66C32DAD"/>
    <w:rsid w:val="66F916AD"/>
    <w:rsid w:val="670261E2"/>
    <w:rsid w:val="6735657C"/>
    <w:rsid w:val="679879D6"/>
    <w:rsid w:val="67E759A9"/>
    <w:rsid w:val="68BB130F"/>
    <w:rsid w:val="68DC4DE2"/>
    <w:rsid w:val="68F0088D"/>
    <w:rsid w:val="695623E8"/>
    <w:rsid w:val="6A8A71EB"/>
    <w:rsid w:val="6AA27932"/>
    <w:rsid w:val="6AC537CF"/>
    <w:rsid w:val="6C627CF4"/>
    <w:rsid w:val="6E5B14A6"/>
    <w:rsid w:val="6E787BE2"/>
    <w:rsid w:val="6EA939B8"/>
    <w:rsid w:val="70A73F27"/>
    <w:rsid w:val="711B255E"/>
    <w:rsid w:val="715D22B8"/>
    <w:rsid w:val="71732971"/>
    <w:rsid w:val="71CA376C"/>
    <w:rsid w:val="72F571CC"/>
    <w:rsid w:val="739C7F8F"/>
    <w:rsid w:val="746E7273"/>
    <w:rsid w:val="747131CA"/>
    <w:rsid w:val="74A569D0"/>
    <w:rsid w:val="75497CA3"/>
    <w:rsid w:val="755A1EB0"/>
    <w:rsid w:val="7579666E"/>
    <w:rsid w:val="763149BF"/>
    <w:rsid w:val="765B1A3C"/>
    <w:rsid w:val="776668EA"/>
    <w:rsid w:val="777442B6"/>
    <w:rsid w:val="7803238B"/>
    <w:rsid w:val="785B3F75"/>
    <w:rsid w:val="78A82F32"/>
    <w:rsid w:val="78EE6B97"/>
    <w:rsid w:val="790E548B"/>
    <w:rsid w:val="794A4D1D"/>
    <w:rsid w:val="7B1B79EC"/>
    <w:rsid w:val="7B876E2F"/>
    <w:rsid w:val="7BB51E06"/>
    <w:rsid w:val="7BFE17E7"/>
    <w:rsid w:val="7C387F7C"/>
    <w:rsid w:val="7CC61BD9"/>
    <w:rsid w:val="7D11554A"/>
    <w:rsid w:val="7D3F20B7"/>
    <w:rsid w:val="7DC51D2C"/>
    <w:rsid w:val="7EBB39C0"/>
    <w:rsid w:val="7EE50A3C"/>
    <w:rsid w:val="7F4643AB"/>
    <w:rsid w:val="7F673200"/>
    <w:rsid w:val="7FA206D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pPr>
      <w:spacing w:after="120" w:afterLines="0" w:afterAutospacing="0"/>
    </w:pPr>
  </w:style>
  <w:style w:type="paragraph" w:styleId="3">
    <w:name w:val="Date"/>
    <w:basedOn w:val="1"/>
    <w:next w:val="1"/>
    <w:qFormat/>
    <w:uiPriority w:val="0"/>
    <w:pPr>
      <w:ind w:left="100" w:leftChars="25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index 9"/>
    <w:basedOn w:val="1"/>
    <w:next w:val="1"/>
    <w:qFormat/>
    <w:uiPriority w:val="0"/>
    <w:pPr>
      <w:ind w:left="3360"/>
      <w:jc w:val="left"/>
    </w:p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0">
    <w:name w:val="font41"/>
    <w:basedOn w:val="8"/>
    <w:qFormat/>
    <w:uiPriority w:val="0"/>
    <w:rPr>
      <w:rFonts w:hint="eastAsia" w:ascii="仿宋" w:hAnsi="仿宋" w:eastAsia="仿宋" w:cs="仿宋"/>
      <w:color w:val="000000"/>
      <w:sz w:val="18"/>
      <w:szCs w:val="18"/>
      <w:u w:val="none"/>
    </w:rPr>
  </w:style>
  <w:style w:type="character" w:customStyle="1" w:styleId="11">
    <w:name w:val="font71"/>
    <w:basedOn w:val="8"/>
    <w:qFormat/>
    <w:uiPriority w:val="0"/>
    <w:rPr>
      <w:rFonts w:hint="eastAsia" w:ascii="仿宋" w:hAnsi="仿宋" w:eastAsia="仿宋" w:cs="仿宋"/>
      <w:color w:val="000000"/>
      <w:sz w:val="18"/>
      <w:szCs w:val="18"/>
      <w:u w:val="none"/>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UserStyle_0"/>
    <w:basedOn w:val="1"/>
    <w:qFormat/>
    <w:uiPriority w:val="0"/>
    <w:pPr>
      <w:ind w:firstLine="420"/>
      <w:textAlignment w:val="baseline"/>
    </w:pPr>
    <w:rPr>
      <w:sz w:val="28"/>
      <w:szCs w:val="20"/>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3369</Words>
  <Characters>3802</Characters>
  <Lines>4</Lines>
  <Paragraphs>1</Paragraphs>
  <TotalTime>34</TotalTime>
  <ScaleCrop>false</ScaleCrop>
  <LinksUpToDate>false</LinksUpToDate>
  <CharactersWithSpaces>3821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Vampire</cp:lastModifiedBy>
  <cp:lastPrinted>2026-04-01T02:53:00Z</cp:lastPrinted>
  <dcterms:modified xsi:type="dcterms:W3CDTF">2026-04-22T02:42:00Z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2428E7310AB14D58843EFA738CDB7E74_13</vt:lpwstr>
  </property>
  <property fmtid="{D5CDD505-2E9C-101B-9397-08002B2CF9AE}" pid="4" name="KSOTemplateDocerSaveRecord">
    <vt:lpwstr>eyJoZGlkIjoiOGRkMzc2NjgxYmY4OGE3Y2I1MjlmMWUwYmZmNzkzOGIiLCJ1c2VySWQiOiI4MzQ5MTQyMDUifQ==</vt:lpwstr>
  </property>
</Properties>
</file>