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248C25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 w14:paraId="2479FA2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1A0DF11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井陉县公安局</w:t>
      </w:r>
    </w:p>
    <w:p w14:paraId="112CDFA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2026年度整体支出绩效自评报告</w:t>
      </w:r>
    </w:p>
    <w:p w14:paraId="54F97CD3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7DCC5EE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井陉县公安局2025年整体支出情况实施了财政支出绩效自评价，形成本评价报告。</w:t>
      </w:r>
    </w:p>
    <w:p w14:paraId="2B28126F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6958E8FB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4A2AE715">
      <w:pPr>
        <w:autoSpaceDE w:val="0"/>
        <w:ind w:firstLine="640" w:firstLineChars="200"/>
        <w:rPr>
          <w:rFonts w:ascii="宋体" w:hAnsi="宋体" w:cs="宋体"/>
          <w:sz w:val="24"/>
          <w:szCs w:val="24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shd w:val="clear" w:color="auto" w:fill="FFFFFF"/>
        </w:rPr>
        <w:t>井陉县公安局设有微水派出所、天长派出所、上安派出所等13个派出机构，设置刑事侦查大队、交通管理大队、治安管理大队、经济犯罪侦查大队、环境资源和食品药品犯罪侦查大队等执法勤务机构。</w:t>
      </w:r>
    </w:p>
    <w:p w14:paraId="6E0AC3CF">
      <w:pPr>
        <w:autoSpaceDE w:val="0"/>
        <w:ind w:firstLine="640" w:firstLineChars="200"/>
        <w:rPr>
          <w:rFonts w:ascii="宋体" w:hAnsi="宋体" w:cs="宋体"/>
          <w:sz w:val="24"/>
          <w:szCs w:val="24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shd w:val="clear" w:color="auto" w:fill="FFFFFF"/>
        </w:rPr>
        <w:t>公安局是县政府主管全县公安工作的职能部门，是人民民主专政的工具之一，是打击违法犯罪、维护社会稳定、服务经济建设的主力军。主要任务是按照市公安局和县委、县政府的指示，研究部署和组织实施全县公安工作，并检查、监督贯彻执行情况；致力于维护社会治安稳定和打击刑事犯罪活动，为县委、县政府和上级公安机关及时提供重要信息、对策；规划和指导全县公安机关的思想政治工作，加强公安队伍的正规化建设以及公安宣传、教育、训练工作，负责对本级公安机关及其人民警察依法履行职责、行使职权和遵守纪律的情况监督检查，查处和督办公安民警的违法违纪案件；承办对危害国家安全案件、刑事案件和经济案件的侦察、预审、组织、协调、查办各类刑事案件和行政案件；依法管理全县社会治安、户籍、居民身份证、出入境工作；组织消防工作，依法进行监督、检查；对危爆物品和枪支弹药，以及法律、法规规定的特种行业进行管理；管理集会、游行、示威活动；依法监督全县机关、团体、企事业单位和重点建设工程的安全保卫工作，指导治保会等群众性组织的治安防范工作；监督管理计算机系统的安全保卫工作；管理全县道路交通安全、车辆和驾驶人员，维护交通秩序；指导公安基层法制工作，负责全县刑事执法和行政执法活动的内部法律监督、检查和咨询工作；组织实施全县范围内的安全警卫工作；指导全县看守所、行政拘留所的建设和管理工作；法律规定的其他职责和承办县委、县政府和上级公安机关交办的其他有关事项。</w:t>
      </w:r>
    </w:p>
    <w:p w14:paraId="13A8F5E5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 w14:paraId="2BA54F81">
      <w:pPr>
        <w:autoSpaceDE w:val="0"/>
        <w:ind w:firstLine="640" w:firstLineChars="200"/>
        <w:rPr>
          <w:rFonts w:ascii="仿宋" w:hAnsi="仿宋" w:eastAsia="仿宋" w:cs="宋体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shd w:val="clear" w:color="auto" w:fill="FFFFFF"/>
        </w:rPr>
        <w:t>2025年度部门总收入</w:t>
      </w:r>
      <w:r>
        <w:rPr>
          <w:rFonts w:hint="eastAsia" w:ascii="Times New Roman" w:hAnsi="Times New Roman" w:eastAsia="仿宋" w:cs="Times New Roman"/>
          <w:sz w:val="32"/>
          <w:szCs w:val="32"/>
        </w:rPr>
        <w:t>9136.02</w:t>
      </w:r>
      <w:r>
        <w:rPr>
          <w:rFonts w:hint="eastAsia" w:ascii="仿宋" w:hAnsi="仿宋" w:eastAsia="仿宋" w:cs="宋体"/>
          <w:color w:val="000000"/>
          <w:sz w:val="32"/>
          <w:szCs w:val="32"/>
          <w:shd w:val="clear" w:color="auto" w:fill="FFFFFF"/>
        </w:rPr>
        <w:t>万元，比年初预算</w:t>
      </w:r>
      <w:r>
        <w:rPr>
          <w:rFonts w:hint="eastAsia" w:ascii="Times New Roman" w:hAnsi="Times New Roman" w:eastAsia="方正仿宋_GBK"/>
          <w:sz w:val="32"/>
          <w:szCs w:val="32"/>
        </w:rPr>
        <w:t>8853.5</w:t>
      </w:r>
      <w:r>
        <w:rPr>
          <w:rFonts w:hint="eastAsia" w:ascii="仿宋" w:hAnsi="仿宋" w:eastAsia="仿宋" w:cs="宋体"/>
          <w:color w:val="000000"/>
          <w:sz w:val="32"/>
          <w:szCs w:val="32"/>
          <w:shd w:val="clear" w:color="auto" w:fill="FFFFFF"/>
        </w:rPr>
        <w:t>万元，增加282.52万元，完成年初预算数的103.19%；2025年度部门总支出为</w:t>
      </w:r>
      <w:r>
        <w:rPr>
          <w:rFonts w:hint="eastAsia" w:ascii="Times New Roman" w:hAnsi="Times New Roman" w:eastAsia="仿宋" w:cs="Times New Roman"/>
          <w:sz w:val="32"/>
          <w:szCs w:val="32"/>
        </w:rPr>
        <w:t>9136.02</w:t>
      </w:r>
      <w:r>
        <w:rPr>
          <w:rFonts w:hint="eastAsia" w:ascii="仿宋" w:hAnsi="仿宋" w:eastAsia="仿宋" w:cs="宋体"/>
          <w:color w:val="000000"/>
          <w:sz w:val="32"/>
          <w:szCs w:val="32"/>
          <w:shd w:val="clear" w:color="auto" w:fill="FFFFFF"/>
        </w:rPr>
        <w:t>万元，比年初预算</w:t>
      </w:r>
      <w:r>
        <w:rPr>
          <w:rFonts w:hint="eastAsia" w:ascii="Times New Roman" w:hAnsi="Times New Roman" w:eastAsia="方正仿宋_GBK"/>
          <w:sz w:val="32"/>
          <w:szCs w:val="32"/>
        </w:rPr>
        <w:t>8853.5</w:t>
      </w:r>
      <w:r>
        <w:rPr>
          <w:rFonts w:hint="eastAsia" w:ascii="仿宋" w:hAnsi="仿宋" w:eastAsia="仿宋" w:cs="宋体"/>
          <w:color w:val="000000"/>
          <w:sz w:val="32"/>
          <w:szCs w:val="32"/>
          <w:shd w:val="clear" w:color="auto" w:fill="FFFFFF"/>
        </w:rPr>
        <w:t>万元增加282.52万元。</w:t>
      </w:r>
    </w:p>
    <w:p w14:paraId="664D2CCA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  <w:highlight w:val="red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7653997A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宋体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shd w:val="clear" w:color="auto" w:fill="FFFFFF"/>
        </w:rPr>
        <w:t>2025年县公安局的总体工作思路是，在市局党委和县委、县政府的坚强领导下，以“四新”为统领，扎实推进“警务模式、职能体系、实战保障、能力素质”四个现代化，加快形成和提升新质公安战斗力，扎实推进落实思想观念现代化、组织形态现代化、职能体系现代化、支撑保障现代化、队伍素质现代化，加快形成和提升新质公安战斗力，以“保一方平安、护一方稳定、服务一方百姓”的务实行动，全力为加快建设休养胜地、经济强县、魅力井陉保驾护航。</w:t>
      </w:r>
    </w:p>
    <w:p w14:paraId="2E11B6C0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09A097A5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1C7C0F70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宋体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shd w:val="clear" w:color="auto" w:fill="FFFFFF"/>
        </w:rPr>
        <w:t>根据井陉县公安局关于开展2026年绩效自评工作的通知（井财监</w:t>
      </w:r>
      <w:r>
        <w:rPr>
          <w:rFonts w:ascii="仿宋" w:hAnsi="仿宋" w:eastAsia="仿宋" w:cs="宋体"/>
          <w:color w:val="000000"/>
          <w:sz w:val="32"/>
          <w:szCs w:val="32"/>
          <w:shd w:val="clear" w:color="auto" w:fill="FFFFFF"/>
        </w:rPr>
        <w:t>[20</w:t>
      </w:r>
      <w:r>
        <w:rPr>
          <w:rFonts w:hint="eastAsia" w:ascii="仿宋" w:hAnsi="仿宋" w:eastAsia="仿宋" w:cs="宋体"/>
          <w:color w:val="000000"/>
          <w:sz w:val="32"/>
          <w:szCs w:val="32"/>
          <w:shd w:val="clear" w:color="auto" w:fill="FFFFFF"/>
        </w:rPr>
        <w:t>26</w:t>
      </w:r>
      <w:r>
        <w:rPr>
          <w:rFonts w:ascii="仿宋" w:hAnsi="仿宋" w:eastAsia="仿宋" w:cs="宋体"/>
          <w:color w:val="000000"/>
          <w:sz w:val="32"/>
          <w:szCs w:val="32"/>
          <w:shd w:val="clear" w:color="auto" w:fill="FFFFFF"/>
        </w:rPr>
        <w:t>]1</w:t>
      </w:r>
      <w:r>
        <w:rPr>
          <w:rFonts w:hint="eastAsia" w:ascii="仿宋" w:hAnsi="仿宋" w:eastAsia="仿宋" w:cs="宋体"/>
          <w:color w:val="000000"/>
          <w:sz w:val="32"/>
          <w:szCs w:val="32"/>
          <w:shd w:val="clear" w:color="auto" w:fill="FFFFFF"/>
        </w:rPr>
        <w:t>号）文件要求，我局成立绩效自评工作评价小组，安排相关业务部门专人负责，开展绩效评价工作。</w:t>
      </w:r>
    </w:p>
    <w:p w14:paraId="7A816C9F">
      <w:pPr>
        <w:numPr>
          <w:ilvl w:val="0"/>
          <w:numId w:val="1"/>
        </w:numPr>
        <w:spacing w:line="560" w:lineRule="exac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3CEDC566">
      <w:pPr>
        <w:spacing w:line="56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工作评价小组对业务科室上报的相关材料进行审查、复核和测评，按照评价标准和规范对各项指标进行计算和打分，并撰写评价报告。</w:t>
      </w:r>
    </w:p>
    <w:p w14:paraId="3B595090"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640" w:lineRule="exact"/>
        <w:ind w:firstLine="64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建立绩效评价指标体系针对具体绩效评价对象的特点，设计能够能够体现项目特点绩效评价指标体系。绩效指标权重由各部门根据评价对象实际情况确定，总分设定为</w:t>
      </w:r>
      <w:r>
        <w:rPr>
          <w:rFonts w:ascii="仿宋" w:hAnsi="仿宋" w:eastAsia="仿宋" w:cs="仿宋"/>
          <w:kern w:val="0"/>
          <w:sz w:val="32"/>
          <w:szCs w:val="32"/>
        </w:rPr>
        <w:t>100</w:t>
      </w:r>
      <w:r>
        <w:rPr>
          <w:rFonts w:hint="eastAsia" w:ascii="仿宋" w:hAnsi="仿宋" w:eastAsia="仿宋" w:cs="仿宋"/>
          <w:kern w:val="0"/>
          <w:sz w:val="32"/>
          <w:szCs w:val="32"/>
        </w:rPr>
        <w:t>分。原则上一级指标权重统一设置为：产出指标4</w:t>
      </w:r>
      <w:r>
        <w:rPr>
          <w:rFonts w:ascii="仿宋" w:hAnsi="仿宋" w:eastAsia="仿宋" w:cs="仿宋"/>
          <w:kern w:val="0"/>
          <w:sz w:val="32"/>
          <w:szCs w:val="32"/>
        </w:rPr>
        <w:t>0</w:t>
      </w:r>
      <w:r>
        <w:rPr>
          <w:rFonts w:hint="eastAsia" w:ascii="仿宋" w:hAnsi="仿宋" w:eastAsia="仿宋" w:cs="仿宋"/>
          <w:kern w:val="0"/>
          <w:sz w:val="32"/>
          <w:szCs w:val="32"/>
        </w:rPr>
        <w:t>分（包含数量、质量、时效、成本）、预算执行率指标10分、效益指标40分（包含经济效益、社会效益、生态效益、可持续影响）、满意度指标10分。</w:t>
      </w:r>
    </w:p>
    <w:p w14:paraId="3C1093D3"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640" w:lineRule="exact"/>
        <w:ind w:firstLine="64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2025年我局部门预算安排项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目资金共计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3592.65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万元，全部拨付到位，我局严格按照财务制度有关规定，已支付各项支出共计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3574.46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万元。主要用于开展公安局业务所需执法办案、日常办公、各类宣传等费用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3574.46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万元。</w:t>
      </w:r>
    </w:p>
    <w:p w14:paraId="30F245C0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 三、部门整体支出绩效目标实现情况及指标分析</w:t>
      </w:r>
    </w:p>
    <w:p w14:paraId="6FE776B5"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5BD997C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宋体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宋体"/>
          <w:color w:val="000000"/>
          <w:sz w:val="32"/>
          <w:szCs w:val="32"/>
          <w:shd w:val="clear" w:color="auto" w:fill="FFFFFF"/>
        </w:rPr>
        <w:t>2025年县公安局的总体工作思路是，在市局党委和县委、县政府的坚强领导下，以“四新”为统领，扎实推进“警务模式、职能体系、实战保障、能力素质”四个现代化，加快形成和提升新质公安战斗力，扎实推进落实思想观念现代化、组织形态现代化、职能体系现代化、支撑保障现代化、队伍素质现代化，加快形成和提升新质公安战斗力，以“保一方平安、护一方稳定、服务一方百姓”的务实行动，全力为加快建设休养胜地、经济强县、魅力井陉保驾护航。</w:t>
      </w:r>
    </w:p>
    <w:p w14:paraId="786A632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参照预算绩效文本中总体绩效目标，说明整体绩效目标实现情况。</w:t>
      </w:r>
    </w:p>
    <w:p w14:paraId="76D22F1F">
      <w:pPr>
        <w:spacing w:line="560" w:lineRule="exact"/>
        <w:ind w:firstLine="480" w:firstLineChars="15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3DA531F3"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64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一是扎实做好各项稳定工作</w:t>
      </w:r>
    </w:p>
    <w:p w14:paraId="09CDF7AF"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64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绩效目标：预防、打击危害国家安全和全县社会稳定的案件及事件，维护国家安全和社会稳定。</w:t>
      </w:r>
    </w:p>
    <w:p w14:paraId="3A48E969"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64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绩效指标：力争全县刑事案件同比下降，电信诈骗案件达到“两升两降”，命案必破，黑恶必除。</w:t>
      </w:r>
    </w:p>
    <w:p w14:paraId="7382B36F"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64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二是全面提升公安工作效能</w:t>
      </w:r>
    </w:p>
    <w:p w14:paraId="691F9EFE"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64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绩效目标：通过公安队伍正规化、职业化建设提升全县公安工作效能，增强队伍活力。      </w:t>
      </w:r>
    </w:p>
    <w:p w14:paraId="3B09297E"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64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绩效指标：全县公安队伍整体战斗力得到有效提升，人民群众安全感和对公安工作的满意度调查达85%以上。</w:t>
      </w:r>
    </w:p>
    <w:p w14:paraId="68190B2B"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64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三是力争各项工作考核排名领先</w:t>
      </w:r>
    </w:p>
    <w:p w14:paraId="56FE066D"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64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绩效目标：树立全警争先创优意识，提升公安形象。</w:t>
      </w:r>
    </w:p>
    <w:p w14:paraId="2C2A92B5"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640" w:lineRule="exact"/>
        <w:ind w:firstLine="64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绩效指标：力争各项工作考核在全市排名前列，着力打造公安品牌。</w:t>
      </w:r>
    </w:p>
    <w:p w14:paraId="3AB8805F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76DEAD14"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64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部门职责定位和各项工作履职情况进行综合评价，井陉县公安局2025年各项业务工作经费支出绩效目标设定是科学、合理的，是符合部门职责的；二是预算执行真实有效，预算调整和执行进度符合财政规定；三是年度预算目标全部完成，绩效目标基本实现；四是预算支出效益明显，保障了公安部门依法履职所需运行经费，为我县公安工作后续发展奠定了基础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井陉县公安局在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2025年全省政法队伍满意度调查测评结果为96.09%，全省排名第37名，全市排名第6名</w:t>
      </w:r>
      <w:r>
        <w:rPr>
          <w:rFonts w:hint="eastAsia" w:ascii="仿宋" w:hAnsi="仿宋" w:eastAsia="仿宋" w:cs="仿宋"/>
          <w:sz w:val="32"/>
          <w:szCs w:val="32"/>
        </w:rPr>
        <w:t>。</w:t>
      </w:r>
      <w:bookmarkStart w:id="0" w:name="_GoBack"/>
      <w:bookmarkEnd w:id="0"/>
    </w:p>
    <w:p w14:paraId="4ABEFE2B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2387D384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25EC7FF7"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64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1、对于绩效评价的认识不够深入，把预算绩效简单等同于工作目标、工作考核和业务管理。</w:t>
      </w:r>
    </w:p>
    <w:p w14:paraId="6BCF1D5B"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64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2、绩效目标和指标往往根据项目实际完成情况制定，对项目执行过程有效约束不够，存在一定的偏差。</w:t>
      </w:r>
    </w:p>
    <w:p w14:paraId="3EB741CB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328D5F2A"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64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加强绩效目标的刚性约束，建立绩效目标考评体系，提升绩效管理水平，及时跟踪问效，实现全程可查询、可追溯、可控制，促进绩效管理工作向广度和深度延伸。</w:t>
      </w:r>
    </w:p>
    <w:p w14:paraId="74616454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5"/>
        <w:tblW w:w="93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2"/>
        <w:gridCol w:w="3150"/>
        <w:gridCol w:w="2485"/>
        <w:gridCol w:w="2480"/>
      </w:tblGrid>
      <w:tr w14:paraId="3A238F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32" w:type="dxa"/>
          </w:tcPr>
          <w:p w14:paraId="378C8F80"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姓名</w:t>
            </w:r>
          </w:p>
        </w:tc>
        <w:tc>
          <w:tcPr>
            <w:tcW w:w="3150" w:type="dxa"/>
          </w:tcPr>
          <w:p w14:paraId="110FDA2A"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工作单位</w:t>
            </w:r>
          </w:p>
        </w:tc>
        <w:tc>
          <w:tcPr>
            <w:tcW w:w="2485" w:type="dxa"/>
          </w:tcPr>
          <w:p w14:paraId="746CB95C"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职务</w:t>
            </w:r>
          </w:p>
        </w:tc>
        <w:tc>
          <w:tcPr>
            <w:tcW w:w="2480" w:type="dxa"/>
          </w:tcPr>
          <w:p w14:paraId="011A5030"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签字</w:t>
            </w:r>
          </w:p>
        </w:tc>
      </w:tr>
      <w:tr w14:paraId="511B7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9" w:hRule="atLeast"/>
          <w:jc w:val="center"/>
        </w:trPr>
        <w:tc>
          <w:tcPr>
            <w:tcW w:w="1232" w:type="dxa"/>
            <w:vAlign w:val="center"/>
          </w:tcPr>
          <w:p w14:paraId="1418DB98"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贾国平</w:t>
            </w:r>
          </w:p>
        </w:tc>
        <w:tc>
          <w:tcPr>
            <w:tcW w:w="3150" w:type="dxa"/>
            <w:vAlign w:val="center"/>
          </w:tcPr>
          <w:p w14:paraId="49A899D1"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井陉县公安局</w:t>
            </w:r>
          </w:p>
        </w:tc>
        <w:tc>
          <w:tcPr>
            <w:tcW w:w="2485" w:type="dxa"/>
            <w:vAlign w:val="center"/>
          </w:tcPr>
          <w:p w14:paraId="363BB950"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党委委员</w:t>
            </w:r>
          </w:p>
        </w:tc>
        <w:tc>
          <w:tcPr>
            <w:tcW w:w="2480" w:type="dxa"/>
            <w:vAlign w:val="center"/>
          </w:tcPr>
          <w:p w14:paraId="352C5A77"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 w14:paraId="409C28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  <w:jc w:val="center"/>
        </w:trPr>
        <w:tc>
          <w:tcPr>
            <w:tcW w:w="1232" w:type="dxa"/>
            <w:vAlign w:val="center"/>
          </w:tcPr>
          <w:p w14:paraId="145FBE87"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李飞</w:t>
            </w:r>
          </w:p>
        </w:tc>
        <w:tc>
          <w:tcPr>
            <w:tcW w:w="3150" w:type="dxa"/>
            <w:vAlign w:val="center"/>
          </w:tcPr>
          <w:p w14:paraId="4A0AF900"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井陉县公安局</w:t>
            </w:r>
          </w:p>
        </w:tc>
        <w:tc>
          <w:tcPr>
            <w:tcW w:w="2485" w:type="dxa"/>
            <w:vAlign w:val="center"/>
          </w:tcPr>
          <w:p w14:paraId="43A40BCE"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警务保障室主任</w:t>
            </w:r>
          </w:p>
        </w:tc>
        <w:tc>
          <w:tcPr>
            <w:tcW w:w="2480" w:type="dxa"/>
            <w:vAlign w:val="center"/>
          </w:tcPr>
          <w:p w14:paraId="2B942419"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 w14:paraId="73132937">
      <w:pPr>
        <w:spacing w:line="560" w:lineRule="exact"/>
        <w:rPr>
          <w:rFonts w:hint="default" w:ascii="仿宋" w:hAnsi="仿宋" w:eastAsia="仿宋"/>
          <w:lang w:val="en-US" w:eastAsia="zh-CN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楷体">
    <w:altName w:val="楷体_GB2312"/>
    <w:panose1 w:val="00000000000000000000"/>
    <w:charset w:val="86"/>
    <w:family w:val="auto"/>
    <w:pitch w:val="default"/>
    <w:sig w:usb0="00000000" w:usb1="00000000" w:usb2="00000000" w:usb3="00000000" w:csb0="0004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7ABA5F">
    <w:pPr>
      <w:pStyle w:val="3"/>
    </w:pPr>
    <w:r>
      <w:pict>
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25B4490D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- 3 -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zgxMzVhZTBlNDUyZWUxNDVhMjNkN2E1NjFlOTE5NDcifQ=="/>
  </w:docVars>
  <w:rsids>
    <w:rsidRoot w:val="0EBD2122"/>
    <w:rsid w:val="000A5A53"/>
    <w:rsid w:val="000B0260"/>
    <w:rsid w:val="006F46C1"/>
    <w:rsid w:val="007E6C1F"/>
    <w:rsid w:val="00956A93"/>
    <w:rsid w:val="009E575C"/>
    <w:rsid w:val="00A1454C"/>
    <w:rsid w:val="00AF167E"/>
    <w:rsid w:val="00AF566A"/>
    <w:rsid w:val="00B478EA"/>
    <w:rsid w:val="00B6553A"/>
    <w:rsid w:val="00B76385"/>
    <w:rsid w:val="00BC6576"/>
    <w:rsid w:val="00BD2CE0"/>
    <w:rsid w:val="00CE06BA"/>
    <w:rsid w:val="00F441CC"/>
    <w:rsid w:val="00F508DB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44B521C"/>
    <w:rsid w:val="194926B2"/>
    <w:rsid w:val="196B52AB"/>
    <w:rsid w:val="1AAF0063"/>
    <w:rsid w:val="1BE140DE"/>
    <w:rsid w:val="248C197D"/>
    <w:rsid w:val="252959AF"/>
    <w:rsid w:val="272C4230"/>
    <w:rsid w:val="277A6671"/>
    <w:rsid w:val="292D35B7"/>
    <w:rsid w:val="29361D11"/>
    <w:rsid w:val="31151E97"/>
    <w:rsid w:val="33EB6CFF"/>
    <w:rsid w:val="35A12947"/>
    <w:rsid w:val="37387040"/>
    <w:rsid w:val="3AAF42A5"/>
    <w:rsid w:val="3B0548E0"/>
    <w:rsid w:val="3B625C0A"/>
    <w:rsid w:val="3CEE1963"/>
    <w:rsid w:val="436B78D3"/>
    <w:rsid w:val="48B60C1B"/>
    <w:rsid w:val="4C9C27FE"/>
    <w:rsid w:val="512260B4"/>
    <w:rsid w:val="52BD6ACB"/>
    <w:rsid w:val="55537534"/>
    <w:rsid w:val="561A74F1"/>
    <w:rsid w:val="597244E8"/>
    <w:rsid w:val="5EB71C30"/>
    <w:rsid w:val="66AF0CE5"/>
    <w:rsid w:val="6AA27932"/>
    <w:rsid w:val="6AC537CF"/>
    <w:rsid w:val="6E5B14A6"/>
    <w:rsid w:val="711B255E"/>
    <w:rsid w:val="718351C8"/>
    <w:rsid w:val="7A615112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qFormat/>
    <w:uiPriority w:val="0"/>
    <w:pPr>
      <w:adjustRightInd w:val="0"/>
      <w:snapToGrid w:val="0"/>
    </w:pPr>
    <w:rPr>
      <w:rFonts w:ascii="Tahoma" w:hAnsi="Tahoma" w:eastAsia="宋体" w:cs="Tahoma"/>
      <w:sz w:val="22"/>
      <w:szCs w:val="2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2544</Words>
  <Characters>2653</Characters>
  <Lines>19</Lines>
  <Paragraphs>5</Paragraphs>
  <TotalTime>4</TotalTime>
  <ScaleCrop>false</ScaleCrop>
  <LinksUpToDate>false</LinksUpToDate>
  <CharactersWithSpaces>2669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多次拒绝彭于晏和吴彦祖</cp:lastModifiedBy>
  <cp:lastPrinted>2026-04-08T07:39:00Z</cp:lastPrinted>
  <dcterms:modified xsi:type="dcterms:W3CDTF">2026-04-08T08:45:35Z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807859DDDB204D7484EDDFBB4E9D1D2E</vt:lpwstr>
  </property>
  <property fmtid="{D5CDD505-2E9C-101B-9397-08002B2CF9AE}" pid="4" name="KSOTemplateDocerSaveRecord">
    <vt:lpwstr>eyJoZGlkIjoiMWQzYWJiZTUyODJmYzU1MjFmNjU2NGFlMDFkOGIzNzAiLCJ1c2VySWQiOiIxMTQ5NTUwODIwIn0=</vt:lpwstr>
  </property>
</Properties>
</file>