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6A139D2">
      <w:pPr>
        <w:keepNext w:val="0"/>
        <w:keepLines w:val="0"/>
        <w:pageBreakBefore w:val="0"/>
        <w:widowControl w:val="0"/>
        <w:kinsoku/>
        <w:wordWrap/>
        <w:overflowPunct/>
        <w:topLinePunct w:val="0"/>
        <w:autoSpaceDE/>
        <w:autoSpaceDN/>
        <w:bidi w:val="0"/>
        <w:adjustRightInd/>
        <w:snapToGrid/>
        <w:spacing w:line="600" w:lineRule="exact"/>
        <w:ind w:firstLine="883" w:firstLineChars="200"/>
        <w:jc w:val="both"/>
        <w:textAlignment w:val="auto"/>
        <w:rPr>
          <w:rFonts w:hint="eastAsia" w:ascii="宋体" w:hAnsi="宋体" w:eastAsia="宋体" w:cs="宋体"/>
          <w:b/>
          <w:bCs/>
          <w:sz w:val="44"/>
          <w:szCs w:val="44"/>
        </w:rPr>
      </w:pPr>
    </w:p>
    <w:p w14:paraId="1653F8B1">
      <w:pPr>
        <w:keepNext w:val="0"/>
        <w:keepLines w:val="0"/>
        <w:pageBreakBefore w:val="0"/>
        <w:widowControl w:val="0"/>
        <w:kinsoku/>
        <w:wordWrap/>
        <w:overflowPunct/>
        <w:topLinePunct w:val="0"/>
        <w:autoSpaceDE/>
        <w:autoSpaceDN/>
        <w:bidi w:val="0"/>
        <w:adjustRightInd/>
        <w:snapToGrid/>
        <w:spacing w:line="600" w:lineRule="exact"/>
        <w:ind w:firstLine="883" w:firstLineChars="200"/>
        <w:jc w:val="both"/>
        <w:textAlignment w:val="auto"/>
        <w:rPr>
          <w:rFonts w:hint="eastAsia" w:ascii="宋体" w:hAnsi="宋体" w:eastAsia="宋体" w:cs="宋体"/>
          <w:b/>
          <w:bCs/>
          <w:sz w:val="44"/>
          <w:szCs w:val="44"/>
        </w:rPr>
      </w:pPr>
    </w:p>
    <w:p w14:paraId="5FA125FC">
      <w:pPr>
        <w:keepNext w:val="0"/>
        <w:keepLines w:val="0"/>
        <w:pageBreakBefore w:val="0"/>
        <w:widowControl w:val="0"/>
        <w:kinsoku/>
        <w:wordWrap/>
        <w:overflowPunct/>
        <w:topLinePunct w:val="0"/>
        <w:autoSpaceDE/>
        <w:autoSpaceDN/>
        <w:bidi w:val="0"/>
        <w:adjustRightInd/>
        <w:snapToGrid/>
        <w:spacing w:line="600" w:lineRule="exact"/>
        <w:ind w:firstLine="880" w:firstLineChars="200"/>
        <w:jc w:val="both"/>
        <w:textAlignment w:val="auto"/>
        <w:outlineLvl w:val="9"/>
        <w:rPr>
          <w:rFonts w:hint="eastAsia" w:ascii="方正小标宋简体" w:hAnsi="方正小标宋简体" w:eastAsia="方正小标宋简体" w:cs="方正小标宋简体"/>
          <w:b w:val="0"/>
          <w:bCs/>
          <w:color w:val="000000"/>
          <w:kern w:val="0"/>
          <w:sz w:val="44"/>
          <w:szCs w:val="44"/>
          <w:shd w:val="clear" w:color="auto" w:fill="FFFFFF"/>
          <w:lang w:val="en-US" w:eastAsia="zh-CN" w:bidi="ar-SA"/>
        </w:rPr>
      </w:pPr>
    </w:p>
    <w:p w14:paraId="08EE8592">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方正小标宋简体" w:hAnsi="方正小标宋简体" w:eastAsia="方正小标宋简体" w:cs="方正小标宋简体"/>
          <w:sz w:val="44"/>
          <w:szCs w:val="44"/>
          <w:lang w:eastAsia="zh-CN"/>
        </w:rPr>
      </w:pPr>
      <w:r>
        <w:rPr>
          <w:rFonts w:hint="eastAsia" w:ascii="方正小标宋简体" w:hAnsi="方正小标宋简体" w:eastAsia="方正小标宋简体" w:cs="方正小标宋简体"/>
          <w:sz w:val="44"/>
          <w:szCs w:val="44"/>
          <w:lang w:eastAsia="zh-CN"/>
        </w:rPr>
        <w:t>井陉县民政局</w:t>
      </w:r>
    </w:p>
    <w:p w14:paraId="3B46D93F">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方正小标宋简体" w:hAnsi="方正小标宋简体" w:eastAsia="方正小标宋简体" w:cs="方正小标宋简体"/>
          <w:sz w:val="44"/>
          <w:szCs w:val="44"/>
          <w:lang w:val="en-US" w:eastAsia="zh-CN"/>
        </w:rPr>
      </w:pPr>
      <w:r>
        <w:rPr>
          <w:rFonts w:hint="eastAsia" w:ascii="方正小标宋简体" w:hAnsi="方正小标宋简体" w:eastAsia="方正小标宋简体" w:cs="方正小标宋简体"/>
          <w:sz w:val="44"/>
          <w:szCs w:val="44"/>
          <w:lang w:eastAsia="zh-CN"/>
        </w:rPr>
        <w:t>关于开展县属社会团体</w:t>
      </w:r>
      <w:r>
        <w:rPr>
          <w:rFonts w:hint="eastAsia" w:ascii="方正小标宋简体" w:hAnsi="方正小标宋简体" w:eastAsia="方正小标宋简体" w:cs="方正小标宋简体"/>
          <w:sz w:val="44"/>
          <w:szCs w:val="44"/>
          <w:lang w:val="en-US" w:eastAsia="zh-CN"/>
        </w:rPr>
        <w:t>2025年度检查</w:t>
      </w:r>
    </w:p>
    <w:p w14:paraId="0264125A">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方正小标宋简体" w:hAnsi="方正小标宋简体" w:eastAsia="方正小标宋简体" w:cs="方正小标宋简体"/>
          <w:sz w:val="44"/>
          <w:szCs w:val="44"/>
          <w:lang w:val="en-US" w:eastAsia="zh-CN"/>
        </w:rPr>
      </w:pPr>
      <w:r>
        <w:rPr>
          <w:rFonts w:hint="eastAsia" w:ascii="方正小标宋简体" w:hAnsi="方正小标宋简体" w:eastAsia="方正小标宋简体" w:cs="方正小标宋简体"/>
          <w:sz w:val="44"/>
          <w:szCs w:val="44"/>
          <w:lang w:val="en-US" w:eastAsia="zh-CN"/>
        </w:rPr>
        <w:t>的工作通知</w:t>
      </w:r>
    </w:p>
    <w:p w14:paraId="56EF0B1B">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方正小标宋简体" w:hAnsi="方正小标宋简体" w:eastAsia="方正小标宋简体" w:cs="方正小标宋简体"/>
          <w:sz w:val="44"/>
          <w:szCs w:val="44"/>
          <w:lang w:val="en-US" w:eastAsia="zh-CN"/>
        </w:rPr>
      </w:pPr>
    </w:p>
    <w:p w14:paraId="2A1FCB38">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eastAsia="zh-CN"/>
        </w:rPr>
        <w:t>县属</w:t>
      </w:r>
      <w:r>
        <w:rPr>
          <w:rFonts w:hint="eastAsia" w:ascii="仿宋_GB2312" w:hAnsi="仿宋_GB2312" w:eastAsia="仿宋_GB2312" w:cs="仿宋_GB2312"/>
          <w:sz w:val="32"/>
          <w:szCs w:val="32"/>
        </w:rPr>
        <w:t>社会团体业务主管单位，</w:t>
      </w:r>
      <w:r>
        <w:rPr>
          <w:rFonts w:hint="eastAsia" w:ascii="仿宋_GB2312" w:hAnsi="仿宋_GB2312" w:eastAsia="仿宋_GB2312" w:cs="仿宋_GB2312"/>
          <w:sz w:val="32"/>
          <w:szCs w:val="32"/>
          <w:lang w:eastAsia="zh-CN"/>
        </w:rPr>
        <w:t>县属</w:t>
      </w:r>
      <w:r>
        <w:rPr>
          <w:rFonts w:hint="eastAsia" w:ascii="仿宋_GB2312" w:hAnsi="仿宋_GB2312" w:eastAsia="仿宋_GB2312" w:cs="仿宋_GB2312"/>
          <w:sz w:val="32"/>
          <w:szCs w:val="32"/>
        </w:rPr>
        <w:t>社会团体：</w:t>
      </w:r>
    </w:p>
    <w:p w14:paraId="7CED266B">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根据</w:t>
      </w:r>
      <w:r>
        <w:rPr>
          <w:rFonts w:hint="eastAsia" w:ascii="仿宋_GB2312" w:hAnsi="仿宋_GB2312" w:eastAsia="仿宋_GB2312" w:cs="仿宋_GB2312"/>
          <w:sz w:val="32"/>
          <w:szCs w:val="32"/>
          <w:lang w:eastAsia="zh-CN"/>
        </w:rPr>
        <w:t>市民政局下发的《关于开展社会团体</w:t>
      </w:r>
      <w:r>
        <w:rPr>
          <w:rFonts w:hint="eastAsia" w:ascii="仿宋_GB2312" w:hAnsi="仿宋_GB2312" w:eastAsia="仿宋_GB2312" w:cs="仿宋_GB2312"/>
          <w:sz w:val="32"/>
          <w:szCs w:val="32"/>
          <w:lang w:val="en-US" w:eastAsia="zh-CN"/>
        </w:rPr>
        <w:t>2025年度检查的函》的文件精神，按照</w:t>
      </w:r>
      <w:r>
        <w:rPr>
          <w:rFonts w:hint="eastAsia" w:ascii="仿宋_GB2312" w:hAnsi="仿宋_GB2312" w:eastAsia="仿宋_GB2312" w:cs="仿宋_GB2312"/>
          <w:sz w:val="32"/>
          <w:szCs w:val="32"/>
        </w:rPr>
        <w:t>《社会团体登记管理条例》《社会团体年度检查办法》等有关法规政策规定，</w:t>
      </w:r>
      <w:r>
        <w:rPr>
          <w:rFonts w:hint="eastAsia" w:ascii="仿宋_GB2312" w:hAnsi="仿宋_GB2312" w:eastAsia="仿宋_GB2312" w:cs="仿宋_GB2312"/>
          <w:sz w:val="32"/>
          <w:szCs w:val="32"/>
          <w:lang w:eastAsia="zh-CN"/>
        </w:rPr>
        <w:t>县</w:t>
      </w:r>
      <w:r>
        <w:rPr>
          <w:rFonts w:hint="eastAsia" w:ascii="仿宋_GB2312" w:hAnsi="仿宋_GB2312" w:eastAsia="仿宋_GB2312" w:cs="仿宋_GB2312"/>
          <w:sz w:val="32"/>
          <w:szCs w:val="32"/>
        </w:rPr>
        <w:t>民政</w:t>
      </w:r>
      <w:r>
        <w:rPr>
          <w:rFonts w:hint="eastAsia" w:ascii="仿宋_GB2312" w:hAnsi="仿宋_GB2312" w:eastAsia="仿宋_GB2312" w:cs="仿宋_GB2312"/>
          <w:sz w:val="32"/>
          <w:szCs w:val="32"/>
          <w:lang w:eastAsia="zh-CN"/>
        </w:rPr>
        <w:t>局</w:t>
      </w:r>
      <w:r>
        <w:rPr>
          <w:rFonts w:hint="eastAsia" w:ascii="仿宋_GB2312" w:hAnsi="仿宋_GB2312" w:eastAsia="仿宋_GB2312" w:cs="仿宋_GB2312"/>
          <w:sz w:val="32"/>
          <w:szCs w:val="32"/>
        </w:rPr>
        <w:t>将对</w:t>
      </w:r>
      <w:r>
        <w:rPr>
          <w:rFonts w:hint="eastAsia" w:ascii="仿宋_GB2312" w:hAnsi="仿宋_GB2312" w:eastAsia="仿宋_GB2312" w:cs="仿宋_GB2312"/>
          <w:sz w:val="32"/>
          <w:szCs w:val="32"/>
          <w:lang w:eastAsia="zh-CN"/>
        </w:rPr>
        <w:t>县属</w:t>
      </w:r>
      <w:r>
        <w:rPr>
          <w:rFonts w:hint="eastAsia" w:ascii="仿宋_GB2312" w:hAnsi="仿宋_GB2312" w:eastAsia="仿宋_GB2312" w:cs="仿宋_GB2312"/>
          <w:sz w:val="32"/>
          <w:szCs w:val="32"/>
        </w:rPr>
        <w:t>社会团体实施2025年度检查（以下简称年检），现将有关事项通知如下：</w:t>
      </w:r>
    </w:p>
    <w:p w14:paraId="2B71771F">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eastAsia" w:ascii="仿宋_GB2312" w:hAnsi="仿宋_GB2312" w:eastAsia="仿宋_GB2312" w:cs="仿宋_GB2312"/>
          <w:sz w:val="32"/>
          <w:szCs w:val="32"/>
        </w:rPr>
      </w:pPr>
      <w:r>
        <w:rPr>
          <w:rFonts w:hint="eastAsia" w:ascii="黑体" w:hAnsi="黑体" w:eastAsia="黑体" w:cs="黑体"/>
          <w:sz w:val="32"/>
          <w:szCs w:val="32"/>
        </w:rPr>
        <w:t>一、年检范围</w:t>
      </w:r>
    </w:p>
    <w:p w14:paraId="1240D2B7">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凡在2025年6月30日前经</w:t>
      </w:r>
      <w:r>
        <w:rPr>
          <w:rFonts w:hint="eastAsia" w:ascii="仿宋_GB2312" w:hAnsi="仿宋_GB2312" w:eastAsia="仿宋_GB2312" w:cs="仿宋_GB2312"/>
          <w:sz w:val="32"/>
          <w:szCs w:val="32"/>
          <w:lang w:eastAsia="zh-CN"/>
        </w:rPr>
        <w:t>登记管理机关</w:t>
      </w:r>
      <w:r>
        <w:rPr>
          <w:rFonts w:hint="eastAsia" w:ascii="仿宋_GB2312" w:hAnsi="仿宋_GB2312" w:eastAsia="仿宋_GB2312" w:cs="仿宋_GB2312"/>
          <w:sz w:val="32"/>
          <w:szCs w:val="32"/>
        </w:rPr>
        <w:t>批准成立的社会团体，均应当参加年检；2025年7月1日至12月31日（含）登记成立的社会团体，可以不参加2025年度年检；已认定为慈善组织的社会团体根据《慈善法》在“慈善中国”参加年报，不再参加年检。</w:t>
      </w:r>
    </w:p>
    <w:p w14:paraId="1E824CF3">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eastAsia" w:ascii="仿宋_GB2312" w:hAnsi="仿宋_GB2312" w:eastAsia="仿宋_GB2312" w:cs="仿宋_GB2312"/>
          <w:sz w:val="32"/>
          <w:szCs w:val="32"/>
        </w:rPr>
      </w:pPr>
      <w:r>
        <w:rPr>
          <w:rFonts w:hint="eastAsia" w:ascii="黑体" w:hAnsi="黑体" w:eastAsia="黑体" w:cs="黑体"/>
          <w:sz w:val="32"/>
          <w:szCs w:val="32"/>
        </w:rPr>
        <w:t>二、年检材料</w:t>
      </w:r>
    </w:p>
    <w:p w14:paraId="4F8C3630">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参检社会团体应当真实、准确、完整地提交以下年检材料：</w:t>
      </w:r>
    </w:p>
    <w:p w14:paraId="53943567">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eastAsia" w:ascii="仿宋_GB2312" w:hAnsi="仿宋_GB2312" w:eastAsia="仿宋_GB2312" w:cs="仿宋_GB2312"/>
          <w:sz w:val="32"/>
          <w:szCs w:val="32"/>
        </w:rPr>
      </w:pPr>
      <w:r>
        <w:rPr>
          <w:rFonts w:hint="eastAsia" w:ascii="楷体" w:hAnsi="楷体" w:eastAsia="楷体" w:cs="楷体"/>
          <w:sz w:val="32"/>
          <w:szCs w:val="32"/>
        </w:rPr>
        <w:t>（一）2025年度工作报告书</w:t>
      </w:r>
      <w:r>
        <w:rPr>
          <w:rFonts w:hint="eastAsia" w:ascii="仿宋_GB2312" w:hAnsi="仿宋_GB2312" w:eastAsia="仿宋_GB2312" w:cs="仿宋_GB2312"/>
          <w:sz w:val="32"/>
          <w:szCs w:val="32"/>
        </w:rPr>
        <w:t>。2026年</w:t>
      </w:r>
      <w:r>
        <w:rPr>
          <w:rFonts w:hint="eastAsia" w:ascii="仿宋_GB2312" w:hAnsi="仿宋_GB2312" w:eastAsia="仿宋_GB2312" w:cs="仿宋_GB2312"/>
          <w:sz w:val="32"/>
          <w:szCs w:val="32"/>
          <w:lang w:val="en-US" w:eastAsia="zh-CN"/>
        </w:rPr>
        <w:t>4</w:t>
      </w:r>
      <w:r>
        <w:rPr>
          <w:rFonts w:hint="eastAsia" w:ascii="仿宋_GB2312" w:hAnsi="仿宋_GB2312" w:eastAsia="仿宋_GB2312" w:cs="仿宋_GB2312"/>
          <w:sz w:val="32"/>
          <w:szCs w:val="32"/>
        </w:rPr>
        <w:t>月</w:t>
      </w:r>
      <w:r>
        <w:rPr>
          <w:rFonts w:hint="eastAsia" w:ascii="仿宋_GB2312" w:hAnsi="仿宋_GB2312" w:eastAsia="仿宋_GB2312" w:cs="仿宋_GB2312"/>
          <w:sz w:val="32"/>
          <w:szCs w:val="32"/>
          <w:lang w:val="en-US" w:eastAsia="zh-CN"/>
        </w:rPr>
        <w:t>1</w:t>
      </w:r>
      <w:r>
        <w:rPr>
          <w:rFonts w:hint="eastAsia" w:ascii="仿宋_GB2312" w:hAnsi="仿宋_GB2312" w:eastAsia="仿宋_GB2312" w:cs="仿宋_GB2312"/>
          <w:sz w:val="32"/>
          <w:szCs w:val="32"/>
        </w:rPr>
        <w:t>日起，社会团体可通过登录“民政一体化政务服务平台”（https://zwfw.mca.gov.cn/）实行网上填报，在首页“登录入口”输入用户名和密码登录，选择“法人服务”栏中“社会团体”，进入后选择菜单栏中“年检年报（试点）”业务的“在线办理”，填写2025年度工作报告书,填报完整、确认无误后，点击“提交”。未注册的，需要先行注册。</w:t>
      </w:r>
    </w:p>
    <w:p w14:paraId="0592DA46">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eastAsia" w:ascii="仿宋_GB2312" w:hAnsi="仿宋_GB2312" w:eastAsia="仿宋_GB2312" w:cs="仿宋_GB2312"/>
          <w:sz w:val="32"/>
          <w:szCs w:val="32"/>
        </w:rPr>
      </w:pPr>
      <w:r>
        <w:rPr>
          <w:rFonts w:hint="eastAsia" w:ascii="楷体" w:hAnsi="楷体" w:eastAsia="楷体" w:cs="楷体"/>
          <w:sz w:val="32"/>
          <w:szCs w:val="32"/>
        </w:rPr>
        <w:t>（二）相关说明材料。</w:t>
      </w:r>
      <w:r>
        <w:rPr>
          <w:rFonts w:hint="eastAsia" w:ascii="仿宋_GB2312" w:hAnsi="仿宋_GB2312" w:eastAsia="仿宋_GB2312" w:cs="仿宋_GB2312"/>
          <w:sz w:val="32"/>
          <w:szCs w:val="32"/>
        </w:rPr>
        <w:t>根据工作需要，我</w:t>
      </w:r>
      <w:r>
        <w:rPr>
          <w:rFonts w:hint="eastAsia" w:ascii="仿宋_GB2312" w:hAnsi="仿宋_GB2312" w:eastAsia="仿宋_GB2312" w:cs="仿宋_GB2312"/>
          <w:sz w:val="32"/>
          <w:szCs w:val="32"/>
          <w:lang w:eastAsia="zh-CN"/>
        </w:rPr>
        <w:t>局</w:t>
      </w:r>
      <w:r>
        <w:rPr>
          <w:rFonts w:hint="eastAsia" w:ascii="仿宋_GB2312" w:hAnsi="仿宋_GB2312" w:eastAsia="仿宋_GB2312" w:cs="仿宋_GB2312"/>
          <w:sz w:val="32"/>
          <w:szCs w:val="32"/>
        </w:rPr>
        <w:t>可要求社会团体提交有关事项说明或必要补充材料。</w:t>
      </w:r>
    </w:p>
    <w:p w14:paraId="4D7EAB11">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eastAsia" w:ascii="仿宋_GB2312" w:hAnsi="仿宋_GB2312" w:eastAsia="仿宋_GB2312" w:cs="仿宋_GB2312"/>
          <w:sz w:val="32"/>
          <w:szCs w:val="32"/>
        </w:rPr>
      </w:pPr>
      <w:r>
        <w:rPr>
          <w:rFonts w:hint="eastAsia" w:ascii="楷体" w:hAnsi="楷体" w:eastAsia="楷体" w:cs="楷体"/>
          <w:sz w:val="32"/>
          <w:szCs w:val="32"/>
        </w:rPr>
        <w:t>（三）专项材料。</w:t>
      </w:r>
      <w:r>
        <w:rPr>
          <w:rFonts w:hint="eastAsia" w:ascii="仿宋_GB2312" w:hAnsi="仿宋_GB2312" w:eastAsia="仿宋_GB2312" w:cs="仿宋_GB2312"/>
          <w:sz w:val="32"/>
          <w:szCs w:val="32"/>
        </w:rPr>
        <w:t>根据《财政部 税务总局 民政部关于公益性捐赠税前扣除有关事项的公告》的规定，已获得公益性捐赠税前扣除资格的社会团体，应当如实填写举办公益慈善活动情况，并按要求报送经审计的上年度专项信息报告；首次确认公益性捐赠税前扣除资格的，应当报送经审计的前两个年度的专项信息报告。</w:t>
      </w:r>
    </w:p>
    <w:p w14:paraId="7E884010">
      <w:pPr>
        <w:keepNext w:val="0"/>
        <w:keepLines w:val="0"/>
        <w:pageBreakBefore w:val="0"/>
        <w:widowControl w:val="0"/>
        <w:kinsoku/>
        <w:wordWrap/>
        <w:overflowPunct/>
        <w:topLinePunct w:val="0"/>
        <w:autoSpaceDE/>
        <w:autoSpaceDN/>
        <w:bidi w:val="0"/>
        <w:adjustRightInd/>
        <w:snapToGrid/>
        <w:spacing w:line="620" w:lineRule="exact"/>
        <w:ind w:firstLine="640" w:firstLineChars="200"/>
        <w:textAlignment w:val="auto"/>
        <w:rPr>
          <w:rFonts w:hint="eastAsia" w:ascii="楷体" w:hAnsi="楷体" w:eastAsia="楷体" w:cs="楷体"/>
          <w:sz w:val="32"/>
          <w:szCs w:val="32"/>
          <w:lang w:eastAsia="zh-CN"/>
        </w:rPr>
      </w:pPr>
      <w:r>
        <w:rPr>
          <w:rFonts w:hint="eastAsia" w:ascii="楷体" w:hAnsi="楷体" w:eastAsia="楷体" w:cs="楷体"/>
          <w:sz w:val="32"/>
          <w:szCs w:val="32"/>
          <w:lang w:eastAsia="zh-CN"/>
        </w:rPr>
        <w:t>（四）报送材料。</w:t>
      </w:r>
    </w:p>
    <w:p w14:paraId="0134EF78">
      <w:pPr>
        <w:keepNext w:val="0"/>
        <w:keepLines w:val="0"/>
        <w:pageBreakBefore w:val="0"/>
        <w:widowControl w:val="0"/>
        <w:kinsoku/>
        <w:wordWrap/>
        <w:overflowPunct/>
        <w:topLinePunct w:val="0"/>
        <w:autoSpaceDE/>
        <w:autoSpaceDN/>
        <w:bidi w:val="0"/>
        <w:adjustRightInd/>
        <w:snapToGrid/>
        <w:spacing w:line="62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①2025年度工作报告</w:t>
      </w:r>
      <w:r>
        <w:rPr>
          <w:rFonts w:hint="eastAsia" w:ascii="仿宋_GB2312" w:hAnsi="仿宋_GB2312" w:eastAsia="仿宋_GB2312" w:cs="仿宋_GB2312"/>
          <w:sz w:val="32"/>
          <w:szCs w:val="32"/>
          <w:lang w:eastAsia="zh-CN"/>
        </w:rPr>
        <w:t>，报告中要写清开展哪些活动、党建开展情况、参与助力乡村振兴活动开展情况等内容，要求有影像、有图片等佐证材料</w:t>
      </w:r>
      <w:r>
        <w:rPr>
          <w:rFonts w:hint="eastAsia" w:ascii="仿宋_GB2312" w:hAnsi="仿宋_GB2312" w:eastAsia="仿宋_GB2312" w:cs="仿宋_GB2312"/>
          <w:sz w:val="32"/>
          <w:szCs w:val="32"/>
        </w:rPr>
        <w:t>；</w:t>
      </w:r>
    </w:p>
    <w:p w14:paraId="1E519D0C">
      <w:pPr>
        <w:keepNext w:val="0"/>
        <w:keepLines w:val="0"/>
        <w:pageBreakBefore w:val="0"/>
        <w:widowControl w:val="0"/>
        <w:kinsoku/>
        <w:wordWrap/>
        <w:overflowPunct/>
        <w:topLinePunct w:val="0"/>
        <w:autoSpaceDE/>
        <w:autoSpaceDN/>
        <w:bidi w:val="0"/>
        <w:adjustRightInd/>
        <w:snapToGrid/>
        <w:spacing w:line="620" w:lineRule="exact"/>
        <w:ind w:firstLine="640" w:firstLineChars="200"/>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②</w:t>
      </w:r>
      <w:r>
        <w:rPr>
          <w:rFonts w:hint="eastAsia" w:ascii="仿宋_GB2312" w:hAnsi="仿宋_GB2312" w:eastAsia="仿宋_GB2312" w:cs="仿宋_GB2312"/>
          <w:sz w:val="32"/>
          <w:szCs w:val="32"/>
        </w:rPr>
        <w:t>社会团体法人登记证书（副本）</w:t>
      </w:r>
      <w:r>
        <w:rPr>
          <w:rFonts w:hint="eastAsia" w:ascii="仿宋_GB2312" w:hAnsi="仿宋_GB2312" w:eastAsia="仿宋_GB2312" w:cs="仿宋_GB2312"/>
          <w:sz w:val="32"/>
          <w:szCs w:val="32"/>
          <w:lang w:eastAsia="zh-CN"/>
        </w:rPr>
        <w:t>。</w:t>
      </w:r>
    </w:p>
    <w:p w14:paraId="39F0A313">
      <w:pPr>
        <w:ind w:firstLine="640" w:firstLineChars="200"/>
        <w:rPr>
          <w:rFonts w:hint="eastAsia" w:ascii="仿宋_GB2312" w:hAnsi="仿宋_GB2312" w:eastAsia="仿宋_GB2312" w:cs="仿宋_GB2312"/>
          <w:sz w:val="32"/>
          <w:szCs w:val="32"/>
          <w:lang w:val="en-US" w:eastAsia="zh-CN"/>
        </w:rPr>
      </w:pPr>
      <w:r>
        <w:rPr>
          <w:rFonts w:hint="eastAsia" w:ascii="楷体" w:hAnsi="楷体" w:eastAsia="楷体" w:cs="楷体"/>
          <w:sz w:val="32"/>
          <w:szCs w:val="32"/>
          <w:lang w:eastAsia="zh-CN"/>
        </w:rPr>
        <w:t>（五）报送地址。</w:t>
      </w:r>
      <w:r>
        <w:rPr>
          <w:rFonts w:hint="eastAsia" w:ascii="仿宋_GB2312" w:hAnsi="仿宋_GB2312" w:eastAsia="仿宋_GB2312" w:cs="仿宋_GB2312"/>
          <w:sz w:val="32"/>
          <w:szCs w:val="32"/>
          <w:lang w:eastAsia="zh-CN"/>
        </w:rPr>
        <w:t>井陉县陉山大道</w:t>
      </w:r>
      <w:r>
        <w:rPr>
          <w:rFonts w:hint="eastAsia" w:ascii="仿宋_GB2312" w:hAnsi="仿宋_GB2312" w:eastAsia="仿宋_GB2312" w:cs="仿宋_GB2312"/>
          <w:sz w:val="32"/>
          <w:szCs w:val="32"/>
          <w:lang w:val="en-US" w:eastAsia="zh-CN"/>
        </w:rPr>
        <w:t>18号民政局六楼608房间。</w:t>
      </w:r>
    </w:p>
    <w:p w14:paraId="0FF5F193">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eastAsia" w:ascii="仿宋_GB2312" w:hAnsi="仿宋_GB2312" w:eastAsia="仿宋_GB2312" w:cs="仿宋_GB2312"/>
          <w:sz w:val="32"/>
          <w:szCs w:val="32"/>
        </w:rPr>
      </w:pPr>
      <w:r>
        <w:rPr>
          <w:rFonts w:hint="eastAsia" w:ascii="黑体" w:hAnsi="黑体" w:eastAsia="黑体" w:cs="黑体"/>
          <w:sz w:val="32"/>
          <w:szCs w:val="32"/>
        </w:rPr>
        <w:t>三、年检审查</w:t>
      </w:r>
    </w:p>
    <w:p w14:paraId="2801ACB7">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参加年检是社会团体的法定义务，请各社会团体对照有关要求如实填报年检材料，确保所提交材料信息真实、准确、完整。请各业务主管单位及时通知并指导、督促业务主管的社会团体按规定要求和时限填报年检材料，对材料内容进行认真审查，及时作出初审结论、完成初审工作。社会团体在提交年检材料前，对存在的违规事项已经自查自纠、主动先行整改或经业务主管单位来函说明存在的问题确有特殊情况的，年检时可视情从轻或免予处理。社会团体年检结论公布后，如发现存在影响当年年检结论情形的，年检结论将予以重新确定。</w:t>
      </w:r>
    </w:p>
    <w:p w14:paraId="1DFB00D9">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1.系统填报截止到</w:t>
      </w:r>
      <w:r>
        <w:rPr>
          <w:rFonts w:hint="eastAsia" w:ascii="仿宋_GB2312" w:hAnsi="仿宋_GB2312" w:eastAsia="仿宋_GB2312" w:cs="仿宋_GB2312"/>
          <w:sz w:val="32"/>
          <w:szCs w:val="32"/>
          <w:lang w:val="en-US" w:eastAsia="zh-CN"/>
        </w:rPr>
        <w:t>7</w:t>
      </w:r>
      <w:r>
        <w:rPr>
          <w:rFonts w:hint="eastAsia" w:ascii="仿宋_GB2312" w:hAnsi="仿宋_GB2312" w:eastAsia="仿宋_GB2312" w:cs="仿宋_GB2312"/>
          <w:sz w:val="32"/>
          <w:szCs w:val="32"/>
        </w:rPr>
        <w:t>月3</w:t>
      </w:r>
      <w:r>
        <w:rPr>
          <w:rFonts w:hint="eastAsia" w:ascii="仿宋_GB2312" w:hAnsi="仿宋_GB2312" w:eastAsia="仿宋_GB2312" w:cs="仿宋_GB2312"/>
          <w:sz w:val="32"/>
          <w:szCs w:val="32"/>
          <w:lang w:val="en-US" w:eastAsia="zh-CN"/>
        </w:rPr>
        <w:t>1</w:t>
      </w:r>
      <w:r>
        <w:rPr>
          <w:rFonts w:hint="eastAsia" w:ascii="仿宋_GB2312" w:hAnsi="仿宋_GB2312" w:eastAsia="仿宋_GB2312" w:cs="仿宋_GB2312"/>
          <w:sz w:val="32"/>
          <w:szCs w:val="32"/>
        </w:rPr>
        <w:t>日关闭，关闭后将不能再填报。对逾期未在系统填报</w:t>
      </w:r>
      <w:r>
        <w:rPr>
          <w:rFonts w:hint="eastAsia" w:ascii="仿宋_GB2312" w:hAnsi="仿宋_GB2312" w:eastAsia="仿宋_GB2312" w:cs="仿宋_GB2312"/>
          <w:sz w:val="32"/>
          <w:szCs w:val="32"/>
          <w:lang w:eastAsia="zh-CN"/>
        </w:rPr>
        <w:t>或填报未提交</w:t>
      </w:r>
      <w:r>
        <w:rPr>
          <w:rFonts w:hint="eastAsia" w:ascii="仿宋_GB2312" w:hAnsi="仿宋_GB2312" w:eastAsia="仿宋_GB2312" w:cs="仿宋_GB2312"/>
          <w:sz w:val="32"/>
          <w:szCs w:val="32"/>
        </w:rPr>
        <w:t>的社会团体，民政</w:t>
      </w:r>
      <w:r>
        <w:rPr>
          <w:rFonts w:hint="eastAsia" w:ascii="仿宋_GB2312" w:hAnsi="仿宋_GB2312" w:eastAsia="仿宋_GB2312" w:cs="仿宋_GB2312"/>
          <w:sz w:val="32"/>
          <w:szCs w:val="32"/>
          <w:lang w:eastAsia="zh-CN"/>
        </w:rPr>
        <w:t>局</w:t>
      </w:r>
      <w:r>
        <w:rPr>
          <w:rFonts w:hint="eastAsia" w:ascii="仿宋_GB2312" w:hAnsi="仿宋_GB2312" w:eastAsia="仿宋_GB2312" w:cs="仿宋_GB2312"/>
          <w:sz w:val="32"/>
          <w:szCs w:val="32"/>
        </w:rPr>
        <w:t>不再接收</w:t>
      </w:r>
      <w:r>
        <w:rPr>
          <w:rFonts w:hint="eastAsia" w:ascii="仿宋_GB2312" w:hAnsi="仿宋_GB2312" w:eastAsia="仿宋_GB2312" w:cs="仿宋_GB2312"/>
          <w:sz w:val="32"/>
          <w:szCs w:val="32"/>
          <w:lang w:eastAsia="zh-CN"/>
        </w:rPr>
        <w:t>纸质</w:t>
      </w:r>
      <w:r>
        <w:rPr>
          <w:rFonts w:hint="eastAsia" w:ascii="仿宋_GB2312" w:hAnsi="仿宋_GB2312" w:eastAsia="仿宋_GB2312" w:cs="仿宋_GB2312"/>
          <w:sz w:val="32"/>
          <w:szCs w:val="32"/>
        </w:rPr>
        <w:t>材料，按照未参加年检处理。</w:t>
      </w:r>
    </w:p>
    <w:p w14:paraId="47E8A547">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2.业务主管单位须认真履行初审责任，在</w:t>
      </w:r>
      <w:r>
        <w:rPr>
          <w:rFonts w:hint="eastAsia" w:ascii="仿宋_GB2312" w:hAnsi="仿宋_GB2312" w:eastAsia="仿宋_GB2312" w:cs="仿宋_GB2312"/>
          <w:sz w:val="32"/>
          <w:szCs w:val="32"/>
          <w:lang w:eastAsia="zh-CN"/>
        </w:rPr>
        <w:t>《年检报告书》检审查意见</w:t>
      </w:r>
      <w:r>
        <w:rPr>
          <w:rFonts w:hint="eastAsia" w:ascii="仿宋_GB2312" w:hAnsi="仿宋_GB2312" w:eastAsia="仿宋_GB2312" w:cs="仿宋_GB2312"/>
          <w:sz w:val="32"/>
          <w:szCs w:val="32"/>
        </w:rPr>
        <w:t>中对年检情况给出初审意见，初审意见为“合格”、“基本合格”和“不合格”</w:t>
      </w:r>
      <w:r>
        <w:rPr>
          <w:rFonts w:hint="eastAsia" w:ascii="仿宋_GB2312" w:hAnsi="仿宋_GB2312" w:eastAsia="仿宋_GB2312" w:cs="仿宋_GB2312"/>
          <w:sz w:val="32"/>
          <w:szCs w:val="32"/>
          <w:lang w:eastAsia="zh-CN"/>
        </w:rPr>
        <w:t>，未填写初审意见的将退回年检报告书</w:t>
      </w:r>
      <w:r>
        <w:rPr>
          <w:rFonts w:hint="eastAsia" w:ascii="仿宋_GB2312" w:hAnsi="仿宋_GB2312" w:eastAsia="仿宋_GB2312" w:cs="仿宋_GB2312"/>
          <w:sz w:val="32"/>
          <w:szCs w:val="32"/>
        </w:rPr>
        <w:t>。</w:t>
      </w:r>
    </w:p>
    <w:p w14:paraId="04B38D33">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3</w:t>
      </w:r>
      <w:r>
        <w:rPr>
          <w:rFonts w:hint="eastAsia" w:ascii="仿宋_GB2312" w:hAnsi="仿宋_GB2312" w:eastAsia="仿宋_GB2312" w:cs="仿宋_GB2312"/>
          <w:sz w:val="32"/>
          <w:szCs w:val="32"/>
        </w:rPr>
        <w:t>.民政</w:t>
      </w:r>
      <w:r>
        <w:rPr>
          <w:rFonts w:hint="eastAsia" w:ascii="仿宋_GB2312" w:hAnsi="仿宋_GB2312" w:eastAsia="仿宋_GB2312" w:cs="仿宋_GB2312"/>
          <w:sz w:val="32"/>
          <w:szCs w:val="32"/>
          <w:lang w:eastAsia="zh-CN"/>
        </w:rPr>
        <w:t>局</w:t>
      </w:r>
      <w:r>
        <w:rPr>
          <w:rFonts w:hint="eastAsia" w:ascii="仿宋_GB2312" w:hAnsi="仿宋_GB2312" w:eastAsia="仿宋_GB2312" w:cs="仿宋_GB2312"/>
          <w:sz w:val="32"/>
          <w:szCs w:val="32"/>
        </w:rPr>
        <w:t>依据《社会团体登记管理条例》《社会团体年度检查办法》等规定，结合业务主管单位初审意见、抽查、实地检查、上一年度发现问题整改情况及其他问题线索等，对社会团体报送的年检材料进行终审，结论分为“合格”、“基本合格”和“不合格”。</w:t>
      </w:r>
    </w:p>
    <w:p w14:paraId="3585CD9C">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4</w:t>
      </w:r>
      <w:r>
        <w:rPr>
          <w:rFonts w:hint="eastAsia" w:ascii="仿宋_GB2312" w:hAnsi="仿宋_GB2312" w:eastAsia="仿宋_GB2312" w:cs="仿宋_GB2312"/>
          <w:sz w:val="32"/>
          <w:szCs w:val="32"/>
        </w:rPr>
        <w:t>.社会团体完成网上填报后，关注年检系统状态，当系统状态为“</w:t>
      </w:r>
      <w:r>
        <w:rPr>
          <w:rFonts w:hint="eastAsia" w:ascii="仿宋_GB2312" w:hAnsi="仿宋_GB2312" w:eastAsia="仿宋_GB2312" w:cs="仿宋_GB2312"/>
          <w:sz w:val="32"/>
          <w:szCs w:val="32"/>
          <w:lang w:eastAsia="zh-CN"/>
        </w:rPr>
        <w:t>已审核</w:t>
      </w:r>
      <w:r>
        <w:rPr>
          <w:rFonts w:hint="eastAsia" w:ascii="仿宋_GB2312" w:hAnsi="仿宋_GB2312" w:eastAsia="仿宋_GB2312" w:cs="仿宋_GB2312"/>
          <w:sz w:val="32"/>
          <w:szCs w:val="32"/>
        </w:rPr>
        <w:t>”时，将</w:t>
      </w:r>
      <w:r>
        <w:rPr>
          <w:rFonts w:hint="eastAsia" w:ascii="仿宋_GB2312" w:hAnsi="仿宋_GB2312" w:eastAsia="仿宋_GB2312" w:cs="仿宋_GB2312"/>
          <w:b w:val="0"/>
          <w:bCs w:val="0"/>
          <w:sz w:val="32"/>
          <w:szCs w:val="32"/>
        </w:rPr>
        <w:t>年度工作报告书打</w:t>
      </w:r>
      <w:r>
        <w:rPr>
          <w:rFonts w:hint="eastAsia" w:ascii="仿宋_GB2312" w:hAnsi="仿宋_GB2312" w:eastAsia="仿宋_GB2312" w:cs="仿宋_GB2312"/>
          <w:sz w:val="32"/>
          <w:szCs w:val="32"/>
        </w:rPr>
        <w:t>印成A4大小纸质文本一份，由法定代表人签字并加盖社会团体印章，报业务主管单位出具初审结论、加盖印章、经办人签字。</w:t>
      </w:r>
    </w:p>
    <w:p w14:paraId="6A57A3FA">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eastAsia" w:ascii="黑体" w:hAnsi="黑体" w:eastAsia="黑体" w:cs="黑体"/>
          <w:sz w:val="32"/>
          <w:szCs w:val="32"/>
        </w:rPr>
      </w:pPr>
      <w:r>
        <w:rPr>
          <w:rFonts w:hint="eastAsia" w:ascii="黑体" w:hAnsi="黑体" w:eastAsia="黑体" w:cs="黑体"/>
          <w:sz w:val="32"/>
          <w:szCs w:val="32"/>
        </w:rPr>
        <w:t>四、年检公告</w:t>
      </w:r>
    </w:p>
    <w:p w14:paraId="3D13E020">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社会团体的年检结论将在中国社会组织政务服务平台-全国社会组织查询-输入社会团体名称点击搜索-“年检（年报）信息”栏目公布，请各社会团体及时关注。</w:t>
      </w:r>
    </w:p>
    <w:p w14:paraId="212F671B">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eastAsia="zh-CN"/>
        </w:rPr>
        <w:t>联系人：白小杰</w:t>
      </w:r>
      <w:r>
        <w:rPr>
          <w:rFonts w:hint="eastAsia" w:ascii="仿宋_GB2312" w:hAnsi="仿宋_GB2312" w:eastAsia="仿宋_GB2312" w:cs="仿宋_GB2312"/>
          <w:sz w:val="32"/>
          <w:szCs w:val="32"/>
          <w:lang w:val="en-US" w:eastAsia="zh-CN"/>
        </w:rPr>
        <w:t xml:space="preserve">  </w:t>
      </w:r>
      <w:r>
        <w:rPr>
          <w:rFonts w:hint="eastAsia" w:ascii="仿宋_GB2312" w:hAnsi="仿宋_GB2312" w:eastAsia="仿宋_GB2312" w:cs="仿宋_GB2312"/>
          <w:sz w:val="32"/>
          <w:szCs w:val="32"/>
        </w:rPr>
        <w:t>电话：</w:t>
      </w:r>
      <w:r>
        <w:rPr>
          <w:rFonts w:hint="eastAsia" w:ascii="仿宋_GB2312" w:hAnsi="仿宋_GB2312" w:eastAsia="仿宋_GB2312" w:cs="仿宋_GB2312"/>
          <w:sz w:val="32"/>
          <w:szCs w:val="32"/>
          <w:lang w:val="en-US" w:eastAsia="zh-CN"/>
        </w:rPr>
        <w:t>82020377</w:t>
      </w:r>
    </w:p>
    <w:p w14:paraId="2D088D62">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center"/>
        <w:textAlignment w:val="auto"/>
        <w:rPr>
          <w:rFonts w:hint="eastAsia" w:ascii="仿宋_GB2312" w:hAnsi="仿宋_GB2312" w:eastAsia="仿宋_GB2312" w:cs="仿宋_GB2312"/>
          <w:sz w:val="32"/>
          <w:szCs w:val="32"/>
          <w:lang w:eastAsia="zh-CN"/>
        </w:rPr>
      </w:pPr>
    </w:p>
    <w:p w14:paraId="3D7CEC48">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center"/>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val="en-US" w:eastAsia="zh-CN"/>
        </w:rPr>
        <w:t xml:space="preserve">               </w:t>
      </w:r>
      <w:r>
        <w:rPr>
          <w:rFonts w:hint="eastAsia" w:ascii="仿宋_GB2312" w:hAnsi="仿宋_GB2312" w:eastAsia="仿宋_GB2312" w:cs="仿宋_GB2312"/>
          <w:sz w:val="32"/>
          <w:szCs w:val="32"/>
          <w:lang w:eastAsia="zh-CN"/>
        </w:rPr>
        <w:t>井陉县民政局</w:t>
      </w:r>
    </w:p>
    <w:p w14:paraId="59AD44A5">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center"/>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 xml:space="preserve">                </w:t>
      </w:r>
      <w:r>
        <w:rPr>
          <w:rFonts w:hint="eastAsia" w:ascii="仿宋_GB2312" w:hAnsi="仿宋_GB2312" w:eastAsia="仿宋_GB2312" w:cs="仿宋_GB2312"/>
          <w:sz w:val="32"/>
          <w:szCs w:val="32"/>
        </w:rPr>
        <w:t>2026年</w:t>
      </w:r>
      <w:r>
        <w:rPr>
          <w:rFonts w:hint="eastAsia" w:ascii="仿宋_GB2312" w:hAnsi="仿宋_GB2312" w:eastAsia="仿宋_GB2312" w:cs="仿宋_GB2312"/>
          <w:sz w:val="32"/>
          <w:szCs w:val="32"/>
          <w:lang w:val="en-US" w:eastAsia="zh-CN"/>
        </w:rPr>
        <w:t>4</w:t>
      </w:r>
      <w:r>
        <w:rPr>
          <w:rFonts w:hint="eastAsia" w:ascii="仿宋_GB2312" w:hAnsi="仿宋_GB2312" w:eastAsia="仿宋_GB2312" w:cs="仿宋_GB2312"/>
          <w:sz w:val="32"/>
          <w:szCs w:val="32"/>
        </w:rPr>
        <w:t>月</w:t>
      </w:r>
      <w:r>
        <w:rPr>
          <w:rFonts w:hint="eastAsia" w:ascii="仿宋_GB2312" w:hAnsi="仿宋_GB2312" w:eastAsia="仿宋_GB2312" w:cs="仿宋_GB2312"/>
          <w:sz w:val="32"/>
          <w:szCs w:val="32"/>
          <w:lang w:val="en-US" w:eastAsia="zh-CN"/>
        </w:rPr>
        <w:t>1</w:t>
      </w:r>
      <w:r>
        <w:rPr>
          <w:rFonts w:hint="eastAsia" w:ascii="仿宋_GB2312" w:hAnsi="仿宋_GB2312" w:eastAsia="仿宋_GB2312" w:cs="仿宋_GB2312"/>
          <w:sz w:val="32"/>
          <w:szCs w:val="32"/>
        </w:rPr>
        <w:t>日</w:t>
      </w:r>
    </w:p>
    <w:p w14:paraId="59348F83">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eastAsia" w:ascii="仿宋_GB2312" w:hAnsi="仿宋_GB2312" w:eastAsia="仿宋_GB2312" w:cs="仿宋_GB2312"/>
          <w:sz w:val="32"/>
          <w:szCs w:val="32"/>
        </w:rPr>
      </w:pPr>
    </w:p>
    <w:p w14:paraId="1330D458">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eastAsia" w:ascii="仿宋_GB2312" w:hAnsi="仿宋_GB2312" w:eastAsia="仿宋_GB2312" w:cs="仿宋_GB2312"/>
          <w:sz w:val="32"/>
          <w:szCs w:val="32"/>
        </w:rPr>
      </w:pPr>
    </w:p>
    <w:p w14:paraId="0696B0B3">
      <w:pPr>
        <w:pStyle w:val="5"/>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460" w:lineRule="exact"/>
        <w:ind w:left="0" w:right="0" w:firstLine="4800" w:firstLineChars="1500"/>
        <w:jc w:val="both"/>
        <w:textAlignment w:val="auto"/>
        <w:rPr>
          <w:rFonts w:hint="default" w:ascii="方正仿宋简体" w:hAnsi="方正仿宋简体" w:eastAsia="方正仿宋简体" w:cs="方正仿宋简体"/>
          <w:sz w:val="32"/>
          <w:szCs w:val="32"/>
          <w:lang w:val="en-US" w:eastAsia="zh-CN"/>
        </w:rPr>
      </w:pPr>
      <w:bookmarkStart w:id="0" w:name="_GoBack"/>
      <w:bookmarkEnd w:id="0"/>
    </w:p>
    <w:sectPr>
      <w:footerReference r:id="rId3" w:type="default"/>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F18C27DB-ACEB-4BD8-A1A4-58DCE1940411}"/>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楷体_GB2312">
    <w:altName w:val="楷体"/>
    <w:panose1 w:val="02010609030101010101"/>
    <w:charset w:val="86"/>
    <w:family w:val="auto"/>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embedRegular r:id="rId2" w:fontKey="{1E9083C0-3108-4167-B056-FEB52A3C3CDB}"/>
  </w:font>
  <w:font w:name="方正小标宋简体">
    <w:panose1 w:val="02000000000000000000"/>
    <w:charset w:val="86"/>
    <w:family w:val="auto"/>
    <w:pitch w:val="default"/>
    <w:sig w:usb0="00000001" w:usb1="08000000" w:usb2="00000000" w:usb3="00000000" w:csb0="00040000" w:csb1="00000000"/>
    <w:embedRegular r:id="rId3" w:fontKey="{0D5B80F0-987C-440A-98F2-4F05CD136C46}"/>
  </w:font>
  <w:font w:name="仿宋_GB2312">
    <w:altName w:val="仿宋"/>
    <w:panose1 w:val="02010609030101010101"/>
    <w:charset w:val="86"/>
    <w:family w:val="auto"/>
    <w:pitch w:val="default"/>
    <w:sig w:usb0="00000000" w:usb1="00000000" w:usb2="00000000" w:usb3="00000000" w:csb0="00040000" w:csb1="00000000"/>
    <w:embedRegular r:id="rId4" w:fontKey="{73FF6E7B-E7A4-4083-9E80-6DCC090F30A9}"/>
  </w:font>
  <w:font w:name="仿宋">
    <w:panose1 w:val="02010609060101010101"/>
    <w:charset w:val="86"/>
    <w:family w:val="auto"/>
    <w:pitch w:val="default"/>
    <w:sig w:usb0="800002BF" w:usb1="38CF7CFA" w:usb2="00000016" w:usb3="00000000" w:csb0="00040001" w:csb1="00000000"/>
  </w:font>
  <w:font w:name="方正仿宋简体">
    <w:panose1 w:val="02000000000000000000"/>
    <w:charset w:val="86"/>
    <w:family w:val="auto"/>
    <w:pitch w:val="default"/>
    <w:sig w:usb0="A00002BF" w:usb1="184F6CFA" w:usb2="00000012" w:usb3="00000000" w:csb0="00040001" w:csb1="00000000"/>
    <w:embedRegular r:id="rId5" w:fontKey="{F7CF1C75-75B3-495F-9E13-CBECD84E325C}"/>
  </w:font>
  <w:font w:name="KSOFE44F9426">
    <w:panose1 w:val="02010609060101010101"/>
    <w:charset w:val="86"/>
    <w:family w:val="auto"/>
    <w:pitch w:val="default"/>
    <w:sig w:usb0="00000001" w:usb1="00000000" w:usb2="00000000" w:usb3="00000000" w:csb0="00040001" w:csb1="00000000"/>
  </w:font>
  <w:font w:name="KSOFF9CBECC6">
    <w:panose1 w:val="02010609060101010101"/>
    <w:charset w:val="86"/>
    <w:family w:val="auto"/>
    <w:pitch w:val="default"/>
    <w:sig w:usb0="00000001"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FA9FCDF">
    <w:pPr>
      <w:pStyle w:val="3"/>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3695580A">
                          <w:pPr>
                            <w:pStyle w:val="3"/>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14:paraId="3695580A">
                    <w:pPr>
                      <w:pStyle w:val="3"/>
                    </w:pPr>
                    <w:r>
                      <w:fldChar w:fldCharType="begin"/>
                    </w:r>
                    <w:r>
                      <w:instrText xml:space="preserve"> PAGE  \* MERGEFORMAT </w:instrText>
                    </w:r>
                    <w:r>
                      <w:fldChar w:fldCharType="separate"/>
                    </w:r>
                    <w:r>
                      <w:t>1</w:t>
                    </w:r>
                    <w: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4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392D4E02"/>
    <w:rsid w:val="008E5591"/>
    <w:rsid w:val="07A87AA0"/>
    <w:rsid w:val="090A3073"/>
    <w:rsid w:val="10036C9C"/>
    <w:rsid w:val="212F74FC"/>
    <w:rsid w:val="286700E7"/>
    <w:rsid w:val="2E962402"/>
    <w:rsid w:val="392D4E02"/>
    <w:rsid w:val="47717ABD"/>
    <w:rsid w:val="62B24402"/>
    <w:rsid w:val="76225FA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nhideWhenUsed="0" w:uiPriority="0" w:semiHidden="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4"/>
    <w:basedOn w:val="1"/>
    <w:next w:val="1"/>
    <w:qFormat/>
    <w:uiPriority w:val="0"/>
    <w:pPr>
      <w:keepNext/>
      <w:keepLines/>
      <w:spacing w:beforeLines="0" w:beforeAutospacing="0" w:afterLines="0" w:afterAutospacing="0" w:line="579" w:lineRule="exact"/>
      <w:ind w:firstLine="632" w:firstLineChars="200"/>
      <w:outlineLvl w:val="3"/>
    </w:pPr>
    <w:rPr>
      <w:rFonts w:ascii="楷体_GB2312" w:hAnsi="楷体_GB2312" w:eastAsia="楷体_GB2312"/>
    </w:rPr>
  </w:style>
  <w:style w:type="character" w:default="1" w:styleId="7">
    <w:name w:val="Default Paragraph Font"/>
    <w:semiHidden/>
    <w:qFormat/>
    <w:uiPriority w:val="0"/>
  </w:style>
  <w:style w:type="table" w:default="1" w:styleId="6">
    <w:name w:val="Normal Table"/>
    <w:semiHidden/>
    <w:qFormat/>
    <w:uiPriority w:val="0"/>
    <w:tblPr>
      <w:tblCellMar>
        <w:top w:w="0" w:type="dxa"/>
        <w:left w:w="108" w:type="dxa"/>
        <w:bottom w:w="0" w:type="dxa"/>
        <w:right w:w="108" w:type="dxa"/>
      </w:tblCellMar>
    </w:tblPr>
  </w:style>
  <w:style w:type="paragraph" w:styleId="3">
    <w:name w:val="footer"/>
    <w:basedOn w:val="1"/>
    <w:qFormat/>
    <w:uiPriority w:val="0"/>
    <w:pPr>
      <w:tabs>
        <w:tab w:val="center" w:pos="4153"/>
        <w:tab w:val="right" w:pos="8306"/>
      </w:tabs>
      <w:snapToGrid w:val="0"/>
      <w:jc w:val="left"/>
    </w:pPr>
    <w:rPr>
      <w:sz w:val="18"/>
    </w:rPr>
  </w:style>
  <w:style w:type="paragraph" w:styleId="4">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5">
    <w:name w:val="Normal (Web)"/>
    <w:basedOn w:val="1"/>
    <w:qFormat/>
    <w:uiPriority w:val="0"/>
    <w:pPr>
      <w:spacing w:before="100" w:beforeAutospacing="1" w:after="100" w:afterAutospacing="1"/>
      <w:ind w:left="0" w:right="0"/>
      <w:jc w:val="left"/>
    </w:pPr>
    <w:rPr>
      <w:kern w:val="0"/>
      <w:sz w:val="24"/>
      <w:lang w:val="en-US" w:eastAsia="zh-CN" w:bidi="ar"/>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4</Pages>
  <Words>458</Words>
  <Characters>511</Characters>
  <Lines>0</Lines>
  <Paragraphs>0</Paragraphs>
  <TotalTime>1</TotalTime>
  <ScaleCrop>false</ScaleCrop>
  <LinksUpToDate>false</LinksUpToDate>
  <CharactersWithSpaces>511</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2025-01-22T02:39:00Z</dcterms:created>
  <dc:creator>Administrator</dc:creator>
  <cp:lastModifiedBy>白小杰</cp:lastModifiedBy>
  <cp:lastPrinted>2026-03-03T02:10:00Z</cp:lastPrinted>
  <dcterms:modified xsi:type="dcterms:W3CDTF">2026-04-16T06:45:26Z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ICV">
    <vt:lpwstr>1537FD41A1EE4DB38D9D42E45FCCA0A7_13</vt:lpwstr>
  </property>
  <property fmtid="{D5CDD505-2E9C-101B-9397-08002B2CF9AE}" pid="4" name="KSOTemplateDocerSaveRecord">
    <vt:lpwstr>eyJoZGlkIjoiYjBkODk5Y2UzNjJhOTZmM2U2OGRkZWNkODBkMDY0OTAiLCJ1c2VySWQiOiIzODUyMjI2MzUifQ==</vt:lpwstr>
  </property>
</Properties>
</file>