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spacing w:line="560" w:lineRule="exact"/>
        <w:jc w:val="center"/>
        <w:rPr>
          <w:rFonts w:ascii="宋体" w:hAnsi="宋体" w:cs="宋体"/>
          <w:b/>
          <w:bCs/>
          <w:sz w:val="44"/>
          <w:szCs w:val="44"/>
        </w:rPr>
      </w:pPr>
    </w:p>
    <w:p>
      <w:pPr>
        <w:spacing w:line="560" w:lineRule="exact"/>
        <w:jc w:val="center"/>
        <w:rPr>
          <w:rFonts w:hint="eastAsia" w:ascii="宋体" w:hAnsi="宋体" w:cs="宋体"/>
          <w:b/>
          <w:bCs/>
          <w:sz w:val="44"/>
          <w:szCs w:val="44"/>
        </w:rPr>
      </w:pPr>
      <w:r>
        <w:rPr>
          <w:rFonts w:hint="eastAsia" w:ascii="宋体" w:hAnsi="宋体" w:cs="宋体"/>
          <w:b/>
          <w:bCs/>
          <w:sz w:val="44"/>
          <w:szCs w:val="44"/>
          <w:lang w:eastAsia="zh-CN"/>
        </w:rPr>
        <w:t>井陉县商务局</w:t>
      </w:r>
      <w:r>
        <w:rPr>
          <w:rFonts w:hint="eastAsia" w:ascii="宋体" w:hAnsi="宋体" w:cs="宋体"/>
          <w:b/>
          <w:bCs/>
          <w:sz w:val="44"/>
          <w:szCs w:val="44"/>
        </w:rPr>
        <w:t>部门</w:t>
      </w:r>
    </w:p>
    <w:p>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pPr>
        <w:spacing w:line="560" w:lineRule="exact"/>
        <w:jc w:val="center"/>
        <w:rPr>
          <w:rFonts w:ascii="华文楷体" w:eastAsia="华文楷体"/>
          <w:sz w:val="32"/>
          <w:szCs w:val="32"/>
        </w:rPr>
      </w:pPr>
    </w:p>
    <w:p>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val="en-US" w:eastAsia="zh-CN"/>
        </w:rPr>
        <w:t>井陉县商务局</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pPr>
        <w:numPr>
          <w:ilvl w:val="0"/>
          <w:numId w:val="1"/>
        </w:numPr>
        <w:adjustRightInd w:val="0"/>
        <w:snapToGrid w:val="0"/>
        <w:spacing w:line="560" w:lineRule="exact"/>
        <w:ind w:firstLine="643" w:firstLineChars="200"/>
        <w:rPr>
          <w:rFonts w:hint="eastAsia" w:ascii="仿宋" w:hAnsi="仿宋" w:eastAsia="仿宋"/>
          <w:b/>
          <w:bCs/>
          <w:sz w:val="32"/>
          <w:szCs w:val="32"/>
          <w:highlight w:val="none"/>
          <w:lang w:val="en-US" w:eastAsia="zh-CN"/>
        </w:rPr>
      </w:pPr>
      <w:r>
        <w:rPr>
          <w:rFonts w:hint="eastAsia" w:ascii="仿宋" w:hAnsi="仿宋" w:eastAsia="仿宋"/>
          <w:b/>
          <w:bCs/>
          <w:sz w:val="32"/>
          <w:szCs w:val="32"/>
          <w:highlight w:val="none"/>
          <w:lang w:val="en-US" w:eastAsia="zh-CN"/>
        </w:rPr>
        <w:t>部门职能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w:t>
      </w:r>
      <w:r>
        <w:rPr>
          <w:rFonts w:hint="eastAsia" w:ascii="仿宋" w:hAnsi="仿宋" w:eastAsia="仿宋"/>
          <w:sz w:val="32"/>
          <w:szCs w:val="32"/>
        </w:rPr>
        <w:t>）贯彻落实国家有关国内外贸易方针、政策和法律法规规章。拟订全县商务发展规划、政策措施和年度计划并组织实施，研究经济全球化、区域经济合作、现代流通方式的发展趋势并提出建议。</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2</w:t>
      </w:r>
      <w:r>
        <w:rPr>
          <w:rFonts w:hint="eastAsia" w:ascii="仿宋" w:hAnsi="仿宋" w:eastAsia="仿宋"/>
          <w:sz w:val="32"/>
          <w:szCs w:val="32"/>
        </w:rPr>
        <w:t>）拟订全县国内贸易发展规划。负责全县商业网点规划、商业体系建设工作；推进农村市场体系建设，组织实施农村现代流通网络工程。</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3</w:t>
      </w:r>
      <w:r>
        <w:rPr>
          <w:rFonts w:hint="eastAsia" w:ascii="仿宋" w:hAnsi="仿宋" w:eastAsia="仿宋"/>
          <w:sz w:val="32"/>
          <w:szCs w:val="32"/>
        </w:rPr>
        <w:t>）提出流通体制改革建议。负责推进流通产业结构调整，培育商贸流通主体，推动流通企业改革、商贸服务业和社区商业发展，提出促进商贸中小企业发展的政策建议，推动流通标准化和连锁经营、商贸物流配送、电子商务等现代流通方式的发展，负责全县流通领域信息网络和电子商务建设。</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4</w:t>
      </w:r>
      <w:r>
        <w:rPr>
          <w:rFonts w:hint="eastAsia" w:ascii="仿宋" w:hAnsi="仿宋" w:eastAsia="仿宋"/>
          <w:sz w:val="32"/>
          <w:szCs w:val="32"/>
        </w:rPr>
        <w:t>）牵头推进商务领域信用体系建设。规范商贸企业交易行为，按照有关规定配合上级部门对拍卖等特殊流通行业进行监督管理，按照有关规定对汽车销售、报废汽车回收（含拆解）、成品油经营等进行监督管理；承担餐饮业、住宿业等生活服务业的行业管理相关工作；指导督促商贸流通行业安全生产，牵头推动重要产品追溯体系建设，对酒类流通发展进行指导。</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5</w:t>
      </w:r>
      <w:r>
        <w:rPr>
          <w:rFonts w:hint="eastAsia" w:ascii="仿宋" w:hAnsi="仿宋" w:eastAsia="仿宋"/>
          <w:sz w:val="32"/>
          <w:szCs w:val="32"/>
        </w:rPr>
        <w:t>）组织实施重要消费品市场监测。负责建立健全生活必需品市场供应应急管理机制，监测分析市场运行、商品供求状况，调查分析商品价格信息，进行预测预警和信息引导；按分工负责重要消费品储备管理和市场调控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6</w:t>
      </w:r>
      <w:r>
        <w:rPr>
          <w:rFonts w:hint="eastAsia" w:ascii="仿宋" w:hAnsi="仿宋" w:eastAsia="仿宋"/>
          <w:sz w:val="32"/>
          <w:szCs w:val="32"/>
        </w:rPr>
        <w:t>）执行国家制定的进出口商品、加工贸易管理办法和进出口商品、技术目录。贯彻执行国家促进外贸增长方式转变的政策措施，会同有关部门协调大宗进出口商品，组织指导贸易促进活动和外贸促进体系建设。</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7</w:t>
      </w:r>
      <w:r>
        <w:rPr>
          <w:rFonts w:hint="eastAsia" w:ascii="仿宋" w:hAnsi="仿宋" w:eastAsia="仿宋"/>
          <w:sz w:val="32"/>
          <w:szCs w:val="32"/>
        </w:rPr>
        <w:t>）贯彻执行国家对外技术贸易、进出口管制以及鼓励技术和成套设备进出口的贸易政策。拟订和推进全县科技兴贸战略，依法监督技术引进、设备进口、国家限制出口技术。</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8</w:t>
      </w:r>
      <w:r>
        <w:rPr>
          <w:rFonts w:hint="eastAsia" w:ascii="仿宋" w:hAnsi="仿宋" w:eastAsia="仿宋"/>
          <w:sz w:val="32"/>
          <w:szCs w:val="32"/>
        </w:rPr>
        <w:t>）会同有关部门贯彻执行国家促进服务出口和服务外包发展的规划、政策，牵头拟订全县服务贸易发展规划并组织实施。</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9</w:t>
      </w:r>
      <w:r>
        <w:rPr>
          <w:rFonts w:hint="eastAsia" w:ascii="仿宋" w:hAnsi="仿宋" w:eastAsia="仿宋"/>
          <w:sz w:val="32"/>
          <w:szCs w:val="32"/>
        </w:rPr>
        <w:t>）负责对外投资和经济合作工作。贯彻执行对外经济合作政策，配合上级部门依法管理和监督对外投资、对外承包工程、对外劳务合作等，配合上级部门做好外派劳务和境外就业人员的权益保护工作、对外援助有关工作、对外投资和经济合作促进工作，负责全县对外投资和经济合作统计工作。</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10</w:t>
      </w:r>
      <w:r>
        <w:rPr>
          <w:rFonts w:hint="eastAsia" w:ascii="仿宋" w:hAnsi="仿宋" w:eastAsia="仿宋"/>
          <w:sz w:val="32"/>
          <w:szCs w:val="32"/>
        </w:rPr>
        <w:t>）负责会展业的促进与管理工作。拟订会展业发展规划、政策措施并组织实施，组织指导境内外对外经济技术展览会和赴境外非商业性办展活动。</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11</w:t>
      </w:r>
      <w:r>
        <w:rPr>
          <w:rFonts w:hint="eastAsia" w:ascii="仿宋" w:hAnsi="仿宋" w:eastAsia="仿宋"/>
          <w:sz w:val="32"/>
          <w:szCs w:val="32"/>
        </w:rPr>
        <w:t xml:space="preserve">）监测分析全县商务运行情况，承担全县商务系统对外宣传和信息发布工作。 </w:t>
      </w:r>
    </w:p>
    <w:p>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w:t>
      </w:r>
      <w:r>
        <w:rPr>
          <w:rFonts w:hint="eastAsia" w:ascii="仿宋" w:hAnsi="仿宋" w:eastAsia="仿宋"/>
          <w:sz w:val="32"/>
          <w:szCs w:val="32"/>
          <w:lang w:val="en-US" w:eastAsia="zh-CN"/>
        </w:rPr>
        <w:t>12</w:t>
      </w:r>
      <w:r>
        <w:rPr>
          <w:rFonts w:hint="eastAsia" w:ascii="仿宋" w:hAnsi="仿宋" w:eastAsia="仿宋"/>
          <w:sz w:val="32"/>
          <w:szCs w:val="32"/>
        </w:rPr>
        <w:t>）完成县委、县政府交办的其他任务。</w:t>
      </w:r>
    </w:p>
    <w:p>
      <w:pPr>
        <w:widowControl w:val="0"/>
        <w:wordWrap/>
        <w:adjustRightInd w:val="0"/>
        <w:snapToGrid w:val="0"/>
        <w:spacing w:line="560" w:lineRule="exact"/>
        <w:ind w:left="0" w:leftChars="0" w:right="0" w:firstLine="643" w:firstLineChars="200"/>
        <w:jc w:val="both"/>
        <w:textAlignment w:val="auto"/>
        <w:outlineLvl w:val="9"/>
        <w:rPr>
          <w:rFonts w:hint="default" w:ascii="仿宋" w:hAnsi="仿宋" w:eastAsia="仿宋"/>
          <w:b/>
          <w:bCs/>
          <w:sz w:val="32"/>
          <w:szCs w:val="32"/>
          <w:lang w:val="en-US" w:eastAsia="zh-CN"/>
        </w:rPr>
      </w:pPr>
      <w:r>
        <w:rPr>
          <w:rFonts w:hint="eastAsia" w:ascii="仿宋" w:hAnsi="仿宋" w:eastAsia="仿宋"/>
          <w:b/>
          <w:bCs/>
          <w:sz w:val="32"/>
          <w:szCs w:val="32"/>
          <w:lang w:val="en-US" w:eastAsia="zh-CN"/>
        </w:rPr>
        <w:t>2、组织机构及人员</w:t>
      </w:r>
    </w:p>
    <w:p>
      <w:pPr>
        <w:jc w:val="center"/>
        <w:rPr>
          <w:rFonts w:hint="eastAsia" w:ascii="仿宋" w:hAnsi="仿宋" w:eastAsia="仿宋" w:cs="仿宋"/>
          <w:sz w:val="32"/>
        </w:rPr>
      </w:pPr>
      <w:r>
        <w:rPr>
          <w:rFonts w:hint="eastAsia" w:ascii="仿宋" w:hAnsi="仿宋" w:eastAsia="仿宋" w:cs="仿宋"/>
          <w:sz w:val="32"/>
        </w:rPr>
        <w:t>部门机构设置情况</w:t>
      </w:r>
    </w:p>
    <w:tbl>
      <w:tblPr>
        <w:tblStyle w:val="7"/>
        <w:tblW w:w="90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426"/>
        <w:gridCol w:w="1393"/>
        <w:gridCol w:w="1393"/>
        <w:gridCol w:w="28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50" w:hRule="atLeast"/>
          <w:tblHeader/>
          <w:jc w:val="center"/>
        </w:trPr>
        <w:tc>
          <w:tcPr>
            <w:tcW w:w="3426" w:type="dxa"/>
            <w:noWrap w:val="0"/>
            <w:vAlign w:val="center"/>
          </w:tcPr>
          <w:p>
            <w:pPr>
              <w:snapToGrid w:val="0"/>
              <w:spacing w:line="240" w:lineRule="auto"/>
              <w:ind w:left="0" w:leftChars="0" w:right="0" w:rightChars="0" w:firstLine="0" w:firstLineChars="0"/>
              <w:jc w:val="center"/>
              <w:rPr>
                <w:rFonts w:hint="eastAsia" w:ascii="仿宋" w:hAnsi="仿宋" w:eastAsia="仿宋" w:cs="仿宋"/>
                <w:b/>
                <w:sz w:val="28"/>
                <w:szCs w:val="28"/>
              </w:rPr>
            </w:pPr>
            <w:r>
              <w:rPr>
                <w:rFonts w:hint="eastAsia" w:ascii="仿宋" w:hAnsi="仿宋" w:eastAsia="仿宋" w:cs="仿宋"/>
                <w:b/>
                <w:sz w:val="28"/>
                <w:szCs w:val="28"/>
              </w:rPr>
              <w:t>单位名称</w:t>
            </w:r>
          </w:p>
        </w:tc>
        <w:tc>
          <w:tcPr>
            <w:tcW w:w="1393" w:type="dxa"/>
            <w:noWrap w:val="0"/>
            <w:vAlign w:val="center"/>
          </w:tcPr>
          <w:p>
            <w:pPr>
              <w:snapToGrid w:val="0"/>
              <w:spacing w:line="240" w:lineRule="auto"/>
              <w:ind w:left="0" w:leftChars="0" w:right="0" w:rightChars="0" w:firstLine="0" w:firstLineChars="0"/>
              <w:jc w:val="center"/>
              <w:rPr>
                <w:rFonts w:hint="eastAsia" w:ascii="仿宋" w:hAnsi="仿宋" w:eastAsia="仿宋" w:cs="仿宋"/>
                <w:b/>
                <w:sz w:val="28"/>
                <w:szCs w:val="28"/>
              </w:rPr>
            </w:pPr>
            <w:r>
              <w:rPr>
                <w:rFonts w:hint="eastAsia" w:ascii="仿宋" w:hAnsi="仿宋" w:eastAsia="仿宋" w:cs="仿宋"/>
                <w:b/>
                <w:sz w:val="28"/>
                <w:szCs w:val="28"/>
              </w:rPr>
              <w:t>单位性质</w:t>
            </w:r>
          </w:p>
        </w:tc>
        <w:tc>
          <w:tcPr>
            <w:tcW w:w="1393" w:type="dxa"/>
            <w:noWrap w:val="0"/>
            <w:vAlign w:val="center"/>
          </w:tcPr>
          <w:p>
            <w:pPr>
              <w:snapToGrid w:val="0"/>
              <w:spacing w:line="240" w:lineRule="auto"/>
              <w:ind w:left="0" w:leftChars="0" w:right="0" w:rightChars="0" w:firstLine="0" w:firstLineChars="0"/>
              <w:jc w:val="center"/>
              <w:rPr>
                <w:rFonts w:hint="eastAsia" w:ascii="仿宋" w:hAnsi="仿宋" w:eastAsia="仿宋" w:cs="仿宋"/>
                <w:b/>
                <w:sz w:val="28"/>
                <w:szCs w:val="28"/>
              </w:rPr>
            </w:pPr>
            <w:r>
              <w:rPr>
                <w:rFonts w:hint="eastAsia" w:ascii="仿宋" w:hAnsi="仿宋" w:eastAsia="仿宋" w:cs="仿宋"/>
                <w:b/>
                <w:sz w:val="28"/>
                <w:szCs w:val="28"/>
              </w:rPr>
              <w:t>单位规格</w:t>
            </w:r>
          </w:p>
        </w:tc>
        <w:tc>
          <w:tcPr>
            <w:tcW w:w="2844" w:type="dxa"/>
            <w:noWrap w:val="0"/>
            <w:vAlign w:val="center"/>
          </w:tcPr>
          <w:p>
            <w:pPr>
              <w:snapToGrid w:val="0"/>
              <w:spacing w:line="240" w:lineRule="auto"/>
              <w:ind w:left="0" w:leftChars="0" w:right="0" w:rightChars="0" w:firstLine="0" w:firstLineChars="0"/>
              <w:jc w:val="center"/>
              <w:rPr>
                <w:rFonts w:hint="eastAsia" w:ascii="仿宋" w:hAnsi="仿宋" w:eastAsia="仿宋" w:cs="仿宋"/>
                <w:b/>
                <w:sz w:val="28"/>
                <w:szCs w:val="28"/>
              </w:rPr>
            </w:pPr>
            <w:r>
              <w:rPr>
                <w:rFonts w:hint="eastAsia" w:ascii="仿宋" w:hAnsi="仿宋" w:eastAsia="仿宋" w:cs="仿宋"/>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2" w:hRule="atLeast"/>
          <w:jc w:val="center"/>
        </w:trPr>
        <w:tc>
          <w:tcPr>
            <w:tcW w:w="3426" w:type="dxa"/>
            <w:noWrap w:val="0"/>
            <w:vAlign w:val="center"/>
          </w:tcPr>
          <w:p>
            <w:pPr>
              <w:snapToGrid w:val="0"/>
              <w:spacing w:line="240" w:lineRule="auto"/>
              <w:ind w:left="0" w:leftChars="0" w:right="0" w:rightChars="0" w:firstLine="0" w:firstLineChars="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井陉县商务局本级</w:t>
            </w:r>
          </w:p>
        </w:tc>
        <w:tc>
          <w:tcPr>
            <w:tcW w:w="1393" w:type="dxa"/>
            <w:noWrap w:val="0"/>
            <w:vAlign w:val="center"/>
          </w:tcPr>
          <w:p>
            <w:pPr>
              <w:snapToGrid w:val="0"/>
              <w:spacing w:line="240" w:lineRule="auto"/>
              <w:ind w:left="0" w:leftChars="0" w:right="0" w:rightChars="0" w:firstLine="0" w:firstLineChars="0"/>
              <w:jc w:val="left"/>
              <w:rPr>
                <w:rFonts w:hint="eastAsia" w:ascii="仿宋" w:hAnsi="仿宋" w:eastAsia="仿宋" w:cs="仿宋"/>
                <w:sz w:val="28"/>
                <w:szCs w:val="28"/>
              </w:rPr>
            </w:pPr>
            <w:r>
              <w:rPr>
                <w:rFonts w:hint="eastAsia" w:ascii="仿宋" w:hAnsi="仿宋" w:eastAsia="仿宋" w:cs="仿宋"/>
                <w:sz w:val="28"/>
                <w:szCs w:val="28"/>
              </w:rPr>
              <w:t>行政</w:t>
            </w:r>
          </w:p>
        </w:tc>
        <w:tc>
          <w:tcPr>
            <w:tcW w:w="1393" w:type="dxa"/>
            <w:noWrap w:val="0"/>
            <w:vAlign w:val="center"/>
          </w:tcPr>
          <w:p>
            <w:pPr>
              <w:snapToGrid w:val="0"/>
              <w:spacing w:line="240" w:lineRule="auto"/>
              <w:ind w:left="0" w:leftChars="0" w:right="0" w:rightChars="0" w:firstLine="0" w:firstLineChars="0"/>
              <w:jc w:val="center"/>
              <w:rPr>
                <w:rFonts w:hint="eastAsia" w:ascii="仿宋" w:hAnsi="仿宋" w:eastAsia="仿宋" w:cs="仿宋"/>
                <w:sz w:val="28"/>
                <w:szCs w:val="28"/>
              </w:rPr>
            </w:pPr>
            <w:r>
              <w:rPr>
                <w:rFonts w:hint="eastAsia" w:ascii="仿宋" w:hAnsi="仿宋" w:eastAsia="仿宋" w:cs="仿宋"/>
                <w:sz w:val="28"/>
                <w:szCs w:val="28"/>
              </w:rPr>
              <w:t>正</w:t>
            </w:r>
            <w:r>
              <w:rPr>
                <w:rFonts w:hint="eastAsia" w:ascii="仿宋" w:hAnsi="仿宋" w:eastAsia="仿宋" w:cs="仿宋"/>
                <w:sz w:val="28"/>
                <w:szCs w:val="28"/>
                <w:lang w:val="en-US" w:eastAsia="zh-CN"/>
              </w:rPr>
              <w:t>科</w:t>
            </w:r>
            <w:r>
              <w:rPr>
                <w:rFonts w:hint="eastAsia" w:ascii="仿宋" w:hAnsi="仿宋" w:eastAsia="仿宋" w:cs="仿宋"/>
                <w:sz w:val="28"/>
                <w:szCs w:val="28"/>
              </w:rPr>
              <w:t>级</w:t>
            </w:r>
          </w:p>
        </w:tc>
        <w:tc>
          <w:tcPr>
            <w:tcW w:w="2844" w:type="dxa"/>
            <w:noWrap w:val="0"/>
            <w:vAlign w:val="center"/>
          </w:tcPr>
          <w:p>
            <w:pPr>
              <w:snapToGrid w:val="0"/>
              <w:spacing w:line="240" w:lineRule="auto"/>
              <w:ind w:left="0" w:leftChars="0" w:right="0" w:rightChars="0" w:firstLine="0" w:firstLineChars="0"/>
              <w:jc w:val="left"/>
              <w:rPr>
                <w:rFonts w:hint="eastAsia" w:ascii="仿宋" w:hAnsi="仿宋" w:eastAsia="仿宋" w:cs="仿宋"/>
                <w:sz w:val="28"/>
                <w:szCs w:val="28"/>
              </w:rPr>
            </w:pPr>
            <w:r>
              <w:rPr>
                <w:rFonts w:hint="eastAsia" w:ascii="仿宋" w:hAnsi="仿宋" w:eastAsia="仿宋" w:cs="仿宋"/>
                <w:sz w:val="28"/>
                <w:szCs w:val="28"/>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79" w:hRule="atLeast"/>
          <w:jc w:val="center"/>
        </w:trPr>
        <w:tc>
          <w:tcPr>
            <w:tcW w:w="3426" w:type="dxa"/>
            <w:noWrap w:val="0"/>
            <w:vAlign w:val="center"/>
          </w:tcPr>
          <w:p>
            <w:pPr>
              <w:snapToGrid w:val="0"/>
              <w:spacing w:line="240" w:lineRule="auto"/>
              <w:ind w:left="0" w:leftChars="0" w:right="0" w:rightChars="0" w:firstLine="0" w:firstLineChars="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井陉县投资促进服务中心</w:t>
            </w:r>
          </w:p>
        </w:tc>
        <w:tc>
          <w:tcPr>
            <w:tcW w:w="1393" w:type="dxa"/>
            <w:noWrap w:val="0"/>
            <w:vAlign w:val="center"/>
          </w:tcPr>
          <w:p>
            <w:pPr>
              <w:snapToGrid w:val="0"/>
              <w:spacing w:line="240" w:lineRule="auto"/>
              <w:ind w:left="0" w:leftChars="0" w:right="0" w:rightChars="0" w:firstLine="0" w:firstLineChars="0"/>
              <w:jc w:val="left"/>
              <w:rPr>
                <w:rFonts w:hint="eastAsia" w:ascii="仿宋" w:hAnsi="仿宋" w:eastAsia="仿宋" w:cs="仿宋"/>
                <w:sz w:val="28"/>
                <w:szCs w:val="28"/>
              </w:rPr>
            </w:pPr>
            <w:r>
              <w:rPr>
                <w:rFonts w:hint="eastAsia" w:ascii="仿宋" w:hAnsi="仿宋" w:eastAsia="仿宋" w:cs="仿宋"/>
                <w:sz w:val="28"/>
                <w:szCs w:val="28"/>
              </w:rPr>
              <w:t>事业</w:t>
            </w:r>
          </w:p>
        </w:tc>
        <w:tc>
          <w:tcPr>
            <w:tcW w:w="1393" w:type="dxa"/>
            <w:noWrap w:val="0"/>
            <w:vAlign w:val="center"/>
          </w:tcPr>
          <w:p>
            <w:pPr>
              <w:snapToGrid w:val="0"/>
              <w:spacing w:line="240" w:lineRule="auto"/>
              <w:ind w:left="0" w:leftChars="0" w:right="0" w:rightChars="0" w:firstLine="0" w:firstLineChars="0"/>
              <w:jc w:val="center"/>
              <w:rPr>
                <w:rFonts w:hint="eastAsia" w:ascii="仿宋" w:hAnsi="仿宋" w:eastAsia="仿宋" w:cs="仿宋"/>
                <w:sz w:val="28"/>
                <w:szCs w:val="28"/>
                <w:lang w:val="en-US" w:eastAsia="zh-CN"/>
              </w:rPr>
            </w:pPr>
            <w:r>
              <w:rPr>
                <w:rFonts w:hint="eastAsia" w:ascii="仿宋" w:hAnsi="仿宋" w:eastAsia="仿宋" w:cs="仿宋"/>
                <w:sz w:val="28"/>
                <w:szCs w:val="28"/>
                <w:lang w:val="en-US" w:eastAsia="zh-CN"/>
              </w:rPr>
              <w:t>股级</w:t>
            </w:r>
          </w:p>
        </w:tc>
        <w:tc>
          <w:tcPr>
            <w:tcW w:w="2844" w:type="dxa"/>
            <w:noWrap w:val="0"/>
            <w:vAlign w:val="center"/>
          </w:tcPr>
          <w:p>
            <w:pPr>
              <w:snapToGrid w:val="0"/>
              <w:spacing w:line="240" w:lineRule="auto"/>
              <w:ind w:left="0" w:leftChars="0" w:right="0" w:rightChars="0" w:firstLine="0" w:firstLineChars="0"/>
              <w:jc w:val="left"/>
              <w:rPr>
                <w:rFonts w:hint="eastAsia" w:ascii="仿宋" w:hAnsi="仿宋" w:eastAsia="仿宋" w:cs="仿宋"/>
                <w:sz w:val="28"/>
                <w:szCs w:val="28"/>
              </w:rPr>
            </w:pPr>
            <w:r>
              <w:rPr>
                <w:rFonts w:hint="eastAsia" w:ascii="仿宋" w:hAnsi="仿宋" w:eastAsia="仿宋" w:cs="仿宋"/>
                <w:sz w:val="28"/>
                <w:szCs w:val="28"/>
              </w:rPr>
              <w:t>财政性资金基本保证</w:t>
            </w:r>
          </w:p>
        </w:tc>
      </w:tr>
    </w:tbl>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jc w:val="both"/>
        <w:textAlignment w:val="auto"/>
        <w:outlineLvl w:val="9"/>
        <w:rPr>
          <w:rFonts w:hint="eastAsia" w:ascii="仿宋" w:hAnsi="仿宋" w:eastAsia="仿宋"/>
          <w:sz w:val="32"/>
          <w:szCs w:val="32"/>
          <w:lang w:val="en-US" w:eastAsia="zh-CN"/>
        </w:rPr>
      </w:pP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jc w:val="both"/>
        <w:textAlignment w:val="auto"/>
        <w:outlineLvl w:val="9"/>
        <w:rPr>
          <w:rFonts w:hint="eastAsia" w:ascii="仿宋" w:hAnsi="仿宋" w:eastAsia="仿宋"/>
          <w:sz w:val="32"/>
          <w:szCs w:val="32"/>
          <w:lang w:val="en-US" w:eastAsia="zh-CN"/>
        </w:rPr>
      </w:pPr>
      <w:r>
        <w:rPr>
          <w:rFonts w:hint="eastAsia" w:ascii="仿宋" w:hAnsi="仿宋" w:eastAsia="仿宋"/>
          <w:sz w:val="32"/>
          <w:szCs w:val="32"/>
          <w:lang w:val="en-US" w:eastAsia="zh-CN"/>
        </w:rPr>
        <w:t>井陉县投资促进服务中心不独立核算，与井陉县商务局本级一起核算。</w:t>
      </w:r>
    </w:p>
    <w:p>
      <w:pPr>
        <w:keepNext w:val="0"/>
        <w:keepLines w:val="0"/>
        <w:pageBreakBefore w:val="0"/>
        <w:widowControl w:val="0"/>
        <w:kinsoku/>
        <w:wordWrap/>
        <w:overflowPunct/>
        <w:topLinePunct w:val="0"/>
        <w:autoSpaceDE/>
        <w:autoSpaceDN/>
        <w:bidi w:val="0"/>
        <w:adjustRightInd w:val="0"/>
        <w:snapToGrid w:val="0"/>
        <w:spacing w:line="560" w:lineRule="exact"/>
        <w:ind w:left="0" w:leftChars="0" w:right="0" w:firstLine="640" w:firstLineChars="200"/>
        <w:jc w:val="both"/>
        <w:textAlignment w:val="auto"/>
        <w:outlineLvl w:val="9"/>
        <w:rPr>
          <w:rFonts w:hint="eastAsia" w:ascii="仿宋" w:hAnsi="仿宋" w:eastAsia="仿宋"/>
          <w:b/>
          <w:bCs/>
          <w:sz w:val="32"/>
          <w:szCs w:val="32"/>
          <w:lang w:val="en-US" w:eastAsia="zh-CN"/>
        </w:rPr>
      </w:pPr>
      <w:r>
        <w:rPr>
          <w:rFonts w:hint="eastAsia" w:ascii="仿宋" w:hAnsi="仿宋" w:eastAsia="仿宋"/>
          <w:sz w:val="32"/>
          <w:szCs w:val="32"/>
          <w:lang w:val="en-US" w:eastAsia="zh-CN"/>
        </w:rPr>
        <w:t>2025年末，在职局本级9人，投资促进服务中心10人；退休局本级22人，投资促进服务中心5人。</w:t>
      </w:r>
    </w:p>
    <w:p>
      <w:pPr>
        <w:widowControl w:val="0"/>
        <w:wordWrap/>
        <w:adjustRightInd w:val="0"/>
        <w:snapToGrid w:val="0"/>
        <w:spacing w:line="560" w:lineRule="exact"/>
        <w:ind w:left="0" w:leftChars="0" w:right="0" w:firstLine="643" w:firstLineChars="200"/>
        <w:jc w:val="both"/>
        <w:textAlignment w:val="auto"/>
        <w:outlineLvl w:val="9"/>
        <w:rPr>
          <w:rFonts w:hint="eastAsia" w:ascii="仿宋" w:hAnsi="仿宋" w:eastAsia="仿宋"/>
          <w:b/>
          <w:bCs/>
          <w:sz w:val="32"/>
          <w:szCs w:val="32"/>
          <w:lang w:val="en-US" w:eastAsia="zh-CN"/>
        </w:rPr>
      </w:pPr>
      <w:r>
        <w:rPr>
          <w:rFonts w:hint="eastAsia" w:ascii="仿宋" w:hAnsi="仿宋" w:eastAsia="仿宋"/>
          <w:b/>
          <w:bCs/>
          <w:sz w:val="32"/>
          <w:szCs w:val="32"/>
          <w:lang w:val="en-US" w:eastAsia="zh-CN"/>
        </w:rPr>
        <w:t>3、资产情况</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截至2025年12月31日，局本级流动资产117.47万元，固定资产原值34.94万元，净值6.62万元；无形资产原值0.66万元，净值0.57万元，资产大多比较老化。</w:t>
      </w:r>
    </w:p>
    <w:p>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2025年预算收入761.91万元，其中：一般公共预算收入751.91万元，基金预算收入10万元，财政专户核拨收入0万元，其他来源收入0万元，上年结转0万元。2025年度决算总收入713.09万元，其中财政拨款收入为703.09万元，政府性基金收入10万元。</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2025年部门预算支出安排761.91万元，决算总支出713.09万元，按功能分类来看，一般公共服务支出258.14万元，社会保障和就业支出91.10万元，卫生健康支出10.29万元，城乡社区支出10万元，商业服务业等支出322.94万元，住房保障支出20.61万元。</w:t>
      </w:r>
    </w:p>
    <w:p>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pPr>
        <w:spacing w:before="10" w:after="10"/>
        <w:ind w:firstLine="640" w:firstLineChars="200"/>
        <w:jc w:val="left"/>
        <w:outlineLvl w:val="1"/>
        <w:rPr>
          <w:rFonts w:hint="eastAsia" w:ascii="仿宋" w:hAnsi="仿宋" w:eastAsia="仿宋"/>
          <w:color w:val="0000FF"/>
          <w:sz w:val="32"/>
          <w:szCs w:val="32"/>
        </w:rPr>
      </w:pPr>
      <w:bookmarkStart w:id="0" w:name="_Toc_2_2_0000000001"/>
      <w:r>
        <w:rPr>
          <w:rFonts w:hint="eastAsia" w:ascii="仿宋" w:hAnsi="仿宋" w:eastAsia="仿宋" w:cs="仿宋"/>
          <w:color w:val="000000"/>
          <w:sz w:val="32"/>
          <w:szCs w:val="32"/>
          <w:lang w:val="en-US" w:eastAsia="zh-CN"/>
        </w:rPr>
        <w:t>1、</w:t>
      </w:r>
      <w:r>
        <w:rPr>
          <w:rFonts w:hint="eastAsia" w:ascii="仿宋" w:hAnsi="仿宋" w:eastAsia="仿宋" w:cs="仿宋"/>
          <w:color w:val="000000"/>
          <w:sz w:val="32"/>
          <w:szCs w:val="32"/>
        </w:rPr>
        <w:t>总体绩效目标</w:t>
      </w:r>
      <w:bookmarkEnd w:id="0"/>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拟订全县商务发展规划、政策措施和年度计划并组织实施，拟订全县国内贸易发展规划。推进我县商贸体系建设，提出流通体制改革建议，负责全县流通领域信息网络和电子商务建设。按照有关规定配合上级部门对拍卖等特殊流通行业进行监督管理，按照有关规定对汽车销售、报废汽车回收（含拆解）、成品油经营等进行监督管理；承担餐饮业、住宿等服务业的行业管理相关工作。组织实施重要消费品市场监测，负责建立健全生活必需品市场供应应急管理机制，监测分析市场运行、商品供求状况，进行预测预警和信息引导。贯彻执行国家促进外贸增长方式转变的政策措施，会同有关部门协调大宗进出口商品，组织指导贸易促进活动和外贸促进体系建设，拟订和推进全县科技兴贸战略，贯彻执行国家促进服务出口和服务外包发展的规划、政策，牵头拟订全县服务贸易发展规划并组织实施。负责全县对外投资和经济合作统计工作。负责全县招商引资工作，积极参加省、市等大型招商活动，营造良好的招商环境，拓宽招商渠道，努力实现招商引资工作新突破。</w:t>
      </w:r>
    </w:p>
    <w:p>
      <w:pPr>
        <w:pStyle w:val="3"/>
        <w:keepNext w:val="0"/>
        <w:keepLines w:val="0"/>
        <w:pageBreakBefore w:val="0"/>
        <w:widowControl w:val="0"/>
        <w:numPr>
          <w:ilvl w:val="0"/>
          <w:numId w:val="3"/>
        </w:numPr>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cs="仿宋"/>
          <w:color w:val="000000"/>
          <w:sz w:val="32"/>
          <w:szCs w:val="32"/>
          <w:lang w:val="en-US" w:eastAsia="zh-CN"/>
        </w:rPr>
      </w:pPr>
      <w:r>
        <w:rPr>
          <w:rFonts w:hint="eastAsia" w:ascii="仿宋" w:hAnsi="仿宋" w:eastAsia="仿宋" w:cs="仿宋"/>
          <w:color w:val="000000"/>
          <w:sz w:val="32"/>
          <w:szCs w:val="32"/>
          <w:lang w:val="en-US" w:eastAsia="zh-CN"/>
        </w:rPr>
        <w:t>分项绩效目标</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（1）对内贸易发展规划</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绩效目标：推进农村市场体系建设和重点商贸项目的建设</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绩效指标：项目完成率</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（2）市场监测工作</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绩效目标：负责重要消费品储备管理和市场调控工作，监测分析市场运行、商品供求状况</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绩效指标：市场监测完成率</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（3）监督检查工作</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绩效目标：按照有关规定对成品油经营、汽车销售、报废汽车回收（含拆解）等进行监督管理</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绩效指标：监督检查完成率</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（4）经济指标工作</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绩效目标:承担社会零售品总额、实际利用外资等经济数据上报</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绩效指标：经济指标完成率</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（5）招商引资</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绩效目标：招引符合我县发展的项目</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仿宋" w:hAnsi="仿宋" w:eastAsia="仿宋"/>
          <w:sz w:val="32"/>
          <w:szCs w:val="32"/>
          <w:lang w:val="en-US" w:eastAsia="zh-CN"/>
        </w:rPr>
      </w:pPr>
      <w:r>
        <w:rPr>
          <w:rFonts w:hint="eastAsia" w:ascii="仿宋" w:hAnsi="仿宋" w:eastAsia="仿宋"/>
          <w:sz w:val="32"/>
          <w:szCs w:val="32"/>
          <w:lang w:val="en-US" w:eastAsia="zh-CN"/>
        </w:rPr>
        <w:t>绩效指标：项目签约率、落地率</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pPr>
        <w:keepNext w:val="0"/>
        <w:keepLines w:val="0"/>
        <w:pageBreakBefore w:val="0"/>
        <w:widowControl w:val="0"/>
        <w:numPr>
          <w:ilvl w:val="0"/>
          <w:numId w:val="0"/>
        </w:numPr>
        <w:kinsoku/>
        <w:wordWrap/>
        <w:overflowPunct/>
        <w:topLinePunct w:val="0"/>
        <w:bidi w:val="0"/>
        <w:snapToGrid/>
        <w:spacing w:line="240" w:lineRule="atLeast"/>
        <w:ind w:firstLine="640" w:firstLineChars="200"/>
        <w:textAlignment w:val="auto"/>
        <w:rPr>
          <w:rFonts w:ascii="仿宋" w:hAnsi="仿宋" w:eastAsia="仿宋"/>
          <w:sz w:val="32"/>
          <w:szCs w:val="32"/>
        </w:rPr>
      </w:pPr>
      <w:r>
        <w:rPr>
          <w:rFonts w:hint="eastAsia" w:ascii="仿宋" w:hAnsi="仿宋" w:eastAsia="仿宋" w:cs="仿宋"/>
          <w:sz w:val="32"/>
          <w:szCs w:val="32"/>
          <w:lang w:eastAsia="zh-CN"/>
        </w:rPr>
        <w:t>根据县财政局《关于开展</w:t>
      </w:r>
      <w:r>
        <w:rPr>
          <w:rFonts w:hint="eastAsia" w:ascii="仿宋" w:hAnsi="仿宋" w:eastAsia="仿宋" w:cs="仿宋"/>
          <w:sz w:val="32"/>
          <w:szCs w:val="32"/>
          <w:lang w:val="en-US" w:eastAsia="zh-CN"/>
        </w:rPr>
        <w:t>2025年绩效自评工作的通知</w:t>
      </w:r>
      <w:r>
        <w:rPr>
          <w:rFonts w:hint="eastAsia" w:ascii="仿宋" w:hAnsi="仿宋" w:eastAsia="仿宋" w:cs="仿宋"/>
          <w:sz w:val="32"/>
          <w:szCs w:val="32"/>
          <w:lang w:eastAsia="zh-CN"/>
        </w:rPr>
        <w:t>》文件要求，我局迅速抽调相关业务部门的工作人员组成以</w:t>
      </w:r>
      <w:r>
        <w:rPr>
          <w:rFonts w:hint="eastAsia" w:ascii="仿宋" w:hAnsi="仿宋" w:eastAsia="仿宋" w:cs="仿宋"/>
          <w:sz w:val="32"/>
          <w:szCs w:val="32"/>
          <w:lang w:val="en-US" w:eastAsia="zh-CN"/>
        </w:rPr>
        <w:t>袁盛东</w:t>
      </w:r>
      <w:r>
        <w:rPr>
          <w:rFonts w:hint="eastAsia" w:ascii="仿宋" w:hAnsi="仿宋" w:eastAsia="仿宋" w:cs="仿宋"/>
          <w:sz w:val="32"/>
          <w:szCs w:val="32"/>
          <w:lang w:eastAsia="zh-CN"/>
        </w:rPr>
        <w:t>局长为组长的自评工作小组，开展我部门的项目绩效评价工作。</w:t>
      </w:r>
    </w:p>
    <w:p>
      <w:pPr>
        <w:numPr>
          <w:ilvl w:val="0"/>
          <w:numId w:val="4"/>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pPr>
        <w:keepNext w:val="0"/>
        <w:keepLines w:val="0"/>
        <w:pageBreakBefore w:val="0"/>
        <w:widowControl w:val="0"/>
        <w:numPr>
          <w:ilvl w:val="0"/>
          <w:numId w:val="0"/>
        </w:numPr>
        <w:kinsoku/>
        <w:wordWrap/>
        <w:overflowPunct/>
        <w:topLinePunct w:val="0"/>
        <w:bidi w:val="0"/>
        <w:snapToGrid/>
        <w:spacing w:line="240" w:lineRule="atLeast"/>
        <w:ind w:firstLine="640" w:firstLineChars="200"/>
        <w:textAlignment w:val="auto"/>
        <w:rPr>
          <w:rFonts w:ascii="楷体" w:hAnsi="楷体" w:eastAsia="楷体" w:cs="楷体_GB2312"/>
          <w:bCs/>
          <w:sz w:val="32"/>
          <w:szCs w:val="32"/>
        </w:rPr>
      </w:pPr>
      <w:r>
        <w:rPr>
          <w:rFonts w:hint="eastAsia" w:ascii="仿宋" w:hAnsi="仿宋" w:eastAsia="仿宋" w:cs="仿宋"/>
          <w:sz w:val="32"/>
          <w:szCs w:val="32"/>
          <w:lang w:eastAsia="zh-CN"/>
        </w:rPr>
        <w:t>评价工作先由项目涉及的业务科室按照公平公正、科学规范的原则对项目进行自评，并按照评价标准和规范对各项指标进行计算和打分，形成上报项目自评表；对县级重点项目，先由业务科室自评，再由自评工作小组对业务科室上报的相关材料进行审查、复核和测评，最终形成上报项目自评表和自评报告。</w:t>
      </w:r>
    </w:p>
    <w:p>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pPr>
        <w:numPr>
          <w:ilvl w:val="0"/>
          <w:numId w:val="5"/>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pPr>
        <w:keepNext w:val="0"/>
        <w:keepLines w:val="0"/>
        <w:pageBreakBefore w:val="0"/>
        <w:widowControl w:val="0"/>
        <w:kinsoku/>
        <w:wordWrap/>
        <w:overflowPunct/>
        <w:topLinePunct w:val="0"/>
        <w:autoSpaceDE/>
        <w:autoSpaceDN/>
        <w:bidi w:val="0"/>
        <w:adjustRightInd/>
        <w:snapToGrid/>
        <w:spacing w:line="560" w:lineRule="exact"/>
        <w:ind w:left="0" w:right="0" w:firstLine="643" w:firstLineChars="200"/>
        <w:textAlignment w:val="auto"/>
        <w:rPr>
          <w:rFonts w:hint="eastAsia" w:ascii="仿宋" w:hAnsi="仿宋" w:eastAsia="仿宋" w:cs="Times New Roman"/>
          <w:kern w:val="2"/>
          <w:sz w:val="32"/>
          <w:szCs w:val="32"/>
          <w:lang w:val="en-US" w:eastAsia="zh-CN" w:bidi="ar-SA"/>
        </w:rPr>
      </w:pPr>
      <w:r>
        <w:rPr>
          <w:rFonts w:hint="eastAsia" w:ascii="仿宋" w:hAnsi="仿宋" w:eastAsia="仿宋" w:cs="Times New Roman"/>
          <w:b/>
          <w:bCs/>
          <w:kern w:val="2"/>
          <w:sz w:val="32"/>
          <w:szCs w:val="32"/>
          <w:lang w:val="en-US" w:eastAsia="zh-CN" w:bidi="ar-SA"/>
        </w:rPr>
        <w:t>1.社会消费品零售总额：</w:t>
      </w:r>
      <w:r>
        <w:rPr>
          <w:rFonts w:hint="eastAsia" w:ascii="仿宋" w:hAnsi="仿宋" w:eastAsia="仿宋" w:cs="Times New Roman"/>
          <w:kern w:val="2"/>
          <w:sz w:val="32"/>
          <w:szCs w:val="32"/>
          <w:lang w:val="en-US" w:eastAsia="zh-CN" w:bidi="ar-SA"/>
        </w:rPr>
        <w:t>前三个季度，全县社零额完成33.4亿元，同比增长6.9%，增速高于全市（5.3%）1.6个百分点，居全市第十位。1-10月限上零售额完成1.74亿元，增速为7.1%，排位第十。1-11月限上零售额预计完成2.04亿元，预估增速为9.7%，全年限上零售额预计完成2.38亿元，预估增速为5%。</w:t>
      </w:r>
    </w:p>
    <w:p>
      <w:pPr>
        <w:pStyle w:val="10"/>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ascii="仿宋" w:hAnsi="仿宋" w:eastAsia="仿宋" w:cs="Times New Roman"/>
          <w:kern w:val="2"/>
          <w:sz w:val="32"/>
          <w:szCs w:val="32"/>
          <w:lang w:val="en-US" w:eastAsia="zh-CN" w:bidi="ar-SA"/>
        </w:rPr>
      </w:pPr>
      <w:r>
        <w:rPr>
          <w:rFonts w:hint="eastAsia" w:ascii="仿宋" w:hAnsi="仿宋" w:eastAsia="仿宋" w:cs="Times New Roman"/>
          <w:b/>
          <w:bCs/>
          <w:kern w:val="2"/>
          <w:sz w:val="32"/>
          <w:szCs w:val="32"/>
          <w:lang w:val="en-US" w:eastAsia="zh-CN" w:bidi="ar-SA"/>
        </w:rPr>
        <w:t>2.招商引资：</w:t>
      </w:r>
      <w:r>
        <w:rPr>
          <w:rFonts w:hint="eastAsia" w:ascii="仿宋" w:hAnsi="仿宋" w:eastAsia="仿宋" w:cs="Times New Roman"/>
          <w:kern w:val="2"/>
          <w:sz w:val="32"/>
          <w:szCs w:val="32"/>
          <w:lang w:val="en-US" w:eastAsia="zh-CN" w:bidi="ar-SA"/>
        </w:rPr>
        <w:t>已签约“石家庄市龙腾机械有限公司投资石家庄市井陉县流体动力系统装备生产项目、中广核井陉县100MW/400MWh独立储能电站项目、深圳景行时代科技有限公司超强轻量化金属复合材料项目”等项目34个，总投资66.042亿元，落地项目25个，总投资23.302亿元。</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仿宋" w:hAnsi="仿宋" w:eastAsia="仿宋" w:cs="Times New Roman"/>
          <w:kern w:val="2"/>
          <w:sz w:val="32"/>
          <w:szCs w:val="32"/>
          <w:lang w:val="en-US" w:eastAsia="zh-CN" w:bidi="ar-SA"/>
        </w:rPr>
      </w:pPr>
      <w:r>
        <w:rPr>
          <w:rFonts w:hint="eastAsia" w:ascii="仿宋" w:hAnsi="仿宋" w:eastAsia="仿宋" w:cs="Times New Roman"/>
          <w:b/>
          <w:bCs/>
          <w:kern w:val="2"/>
          <w:sz w:val="32"/>
          <w:szCs w:val="32"/>
          <w:lang w:val="en-US" w:eastAsia="zh-CN" w:bidi="ar-SA"/>
        </w:rPr>
        <w:t>3.实际利用外资：</w:t>
      </w:r>
      <w:r>
        <w:rPr>
          <w:rFonts w:hint="eastAsia" w:ascii="仿宋" w:hAnsi="仿宋" w:eastAsia="仿宋" w:cs="Times New Roman"/>
          <w:kern w:val="2"/>
          <w:sz w:val="32"/>
          <w:szCs w:val="32"/>
          <w:lang w:val="en-US" w:eastAsia="zh-CN" w:bidi="ar-SA"/>
        </w:rPr>
        <w:t>河北国昇文化传播有限公司注册资本金项目拟分笔注入港资1050万元人民币，截至目前已完成外资注册资本金51.4万美元到位，预计12月累计到位100万美元。</w:t>
      </w:r>
    </w:p>
    <w:p>
      <w:pPr>
        <w:spacing w:line="560" w:lineRule="exact"/>
        <w:rPr>
          <w:rFonts w:hint="eastAsia" w:ascii="仿宋" w:hAnsi="仿宋" w:eastAsia="仿宋" w:cs="Times New Roman"/>
          <w:kern w:val="2"/>
          <w:sz w:val="32"/>
          <w:szCs w:val="32"/>
          <w:lang w:val="en-US" w:eastAsia="zh-CN" w:bidi="ar-SA"/>
        </w:rPr>
      </w:pPr>
      <w:r>
        <w:rPr>
          <w:rFonts w:hint="eastAsia" w:ascii="仿宋" w:hAnsi="仿宋" w:eastAsia="仿宋" w:cs="Times New Roman"/>
          <w:kern w:val="2"/>
          <w:sz w:val="32"/>
          <w:szCs w:val="32"/>
          <w:lang w:val="en-US" w:eastAsia="zh-CN" w:bidi="ar-SA"/>
        </w:rPr>
        <w:t xml:space="preserve">    （二）分项绩效目标实现情况及指标分析</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（1）对内贸易发展规划</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绩效目标：推进农村市场体系建设和重点商贸项目的建设</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绩效指标：项目完成率</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0" w:leftChars="0" w:firstLine="643" w:firstLineChars="0"/>
        <w:jc w:val="left"/>
        <w:textAlignment w:val="auto"/>
        <w:rPr>
          <w:rFonts w:hint="eastAsia" w:ascii="仿宋" w:hAnsi="仿宋" w:eastAsia="仿宋" w:cs="仿宋"/>
          <w:b w:val="0"/>
          <w:bCs w:val="0"/>
          <w:sz w:val="32"/>
          <w:szCs w:val="32"/>
          <w:lang w:val="en-US" w:eastAsia="zh-CN"/>
        </w:rPr>
      </w:pPr>
      <w:r>
        <w:rPr>
          <w:rFonts w:hint="eastAsia" w:ascii="仿宋" w:hAnsi="仿宋" w:eastAsia="仿宋"/>
          <w:sz w:val="32"/>
          <w:szCs w:val="32"/>
          <w:lang w:val="en-US" w:eastAsia="zh-CN"/>
        </w:rPr>
        <w:t>完成情况：</w:t>
      </w:r>
      <w:r>
        <w:rPr>
          <w:rFonts w:hint="eastAsia" w:ascii="仿宋" w:hAnsi="仿宋" w:eastAsia="仿宋" w:cs="仿宋"/>
          <w:b w:val="0"/>
          <w:bCs w:val="0"/>
          <w:kern w:val="2"/>
          <w:sz w:val="32"/>
          <w:szCs w:val="32"/>
          <w:lang w:val="en-US" w:eastAsia="zh-CN" w:bidi="ar-SA"/>
        </w:rPr>
        <w:t>井陉县金蔓街再次入选石家庄2025年石家庄国际啤酒节分会场，打造“酒+文化+娱乐”融合消费场景；</w:t>
      </w:r>
      <w:r>
        <w:rPr>
          <w:rFonts w:hint="eastAsia" w:ascii="仿宋" w:hAnsi="仿宋" w:eastAsia="仿宋" w:cs="仿宋"/>
          <w:b w:val="0"/>
          <w:bCs w:val="0"/>
          <w:sz w:val="32"/>
          <w:szCs w:val="40"/>
          <w:lang w:val="en-US" w:eastAsia="zh-CN"/>
        </w:rPr>
        <w:t>同时，井陉北国商城有限责任公司、井陉县万瑞福商贸有限公司2家大型商超积极参与石家庄市夜经济惠民红包活动，通过补贴发放直接拉动夜间零售消费增长。</w:t>
      </w:r>
      <w:r>
        <w:rPr>
          <w:rFonts w:hint="eastAsia" w:ascii="仿宋" w:hAnsi="仿宋" w:eastAsia="仿宋" w:cs="仿宋"/>
          <w:b w:val="0"/>
          <w:bCs w:val="0"/>
          <w:sz w:val="32"/>
          <w:szCs w:val="32"/>
          <w:lang w:val="en-US" w:eastAsia="zh-CN"/>
        </w:rPr>
        <w:t>河北和平农业技术开发有限公司顺利纳入第四批“河北净菜”商标拟授权名单，为本地优质农产品打响区域特色品牌、提升市场竞争力注入关键动能；际华三五一四制革制鞋有限公司、河北华魂根雕工艺品有限公司斩获“石家庄老字号”“河北老字号”，充分彰显本土传统产业的深厚文化底蕴与强劲市场竞争力。陶瓷文化街、金蔓街2025年以来已先后举办“山货大集”“雪乡乐园”“陶艺沙龙”“陉马半程马拉松赛事”等系列特色活动，显著提升我县特色商业街区的品牌知名度与影响力，推动“商街经济”焕发蓬勃生机。</w:t>
      </w:r>
    </w:p>
    <w:p>
      <w:pPr>
        <w:pStyle w:val="6"/>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eastAsia" w:ascii="仿宋" w:hAnsi="仿宋" w:eastAsia="仿宋" w:cs="仿宋"/>
          <w:kern w:val="2"/>
          <w:sz w:val="32"/>
          <w:szCs w:val="32"/>
          <w:lang w:val="en-US" w:eastAsia="zh-CN" w:bidi="ar-SA"/>
        </w:rPr>
      </w:pPr>
      <w:r>
        <w:rPr>
          <w:rFonts w:hint="eastAsia" w:ascii="仿宋" w:hAnsi="仿宋" w:eastAsia="仿宋" w:cs="仿宋"/>
          <w:b w:val="0"/>
          <w:i w:val="0"/>
          <w:color w:val="222222"/>
          <w:spacing w:val="8"/>
          <w:w w:val="100"/>
          <w:kern w:val="0"/>
          <w:sz w:val="32"/>
          <w:szCs w:val="32"/>
          <w:lang w:val="en-US" w:eastAsia="zh-CN" w:bidi="ar"/>
        </w:rPr>
        <w:t>重项商贸项目建设全部完成，达到预期目标，综合得分100分。</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（2）市场监测工作</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绩效目标：负责重要消费品储备管理和市场调控工作，监测分析市场运行、商品供求状况</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绩效指标：市场监测完成率</w:t>
      </w:r>
    </w:p>
    <w:p>
      <w:pPr>
        <w:keepNext w:val="0"/>
        <w:keepLines w:val="0"/>
        <w:pageBreakBefore w:val="0"/>
        <w:widowControl/>
        <w:numPr>
          <w:ilvl w:val="0"/>
          <w:numId w:val="0"/>
        </w:numPr>
        <w:suppressLineNumbers w:val="0"/>
        <w:kinsoku/>
        <w:wordWrap/>
        <w:overflowPunct/>
        <w:topLinePunct w:val="0"/>
        <w:autoSpaceDE/>
        <w:autoSpaceDN/>
        <w:bidi w:val="0"/>
        <w:adjustRightInd/>
        <w:snapToGrid/>
        <w:spacing w:line="560" w:lineRule="exact"/>
        <w:ind w:left="0" w:leftChars="0" w:firstLine="643" w:firstLineChars="0"/>
        <w:jc w:val="left"/>
        <w:textAlignment w:val="auto"/>
        <w:rPr>
          <w:rFonts w:hint="eastAsia" w:ascii="仿宋" w:hAnsi="仿宋" w:eastAsia="仿宋" w:cs="仿宋"/>
          <w:kern w:val="2"/>
          <w:sz w:val="32"/>
          <w:szCs w:val="32"/>
          <w:lang w:val="en-US" w:eastAsia="zh-CN" w:bidi="ar-SA"/>
        </w:rPr>
      </w:pPr>
      <w:r>
        <w:rPr>
          <w:rFonts w:hint="eastAsia" w:ascii="仿宋" w:hAnsi="仿宋" w:eastAsia="仿宋"/>
          <w:sz w:val="32"/>
          <w:szCs w:val="32"/>
          <w:lang w:val="en-US" w:eastAsia="zh-CN"/>
        </w:rPr>
        <w:t>完成情况：持续分析市场运行情况，以“</w:t>
      </w:r>
      <w:r>
        <w:rPr>
          <w:rFonts w:hint="eastAsia" w:ascii="仿宋" w:hAnsi="仿宋" w:eastAsia="仿宋" w:cs="仿宋"/>
          <w:b w:val="0"/>
          <w:bCs w:val="0"/>
          <w:kern w:val="2"/>
          <w:sz w:val="32"/>
          <w:szCs w:val="40"/>
          <w:lang w:val="en-US" w:eastAsia="zh-CN" w:bidi="ar-SA"/>
        </w:rPr>
        <w:t>以旧换新</w:t>
      </w:r>
      <w:r>
        <w:rPr>
          <w:rFonts w:hint="eastAsia" w:ascii="仿宋" w:hAnsi="仿宋" w:eastAsia="仿宋"/>
          <w:sz w:val="32"/>
          <w:szCs w:val="32"/>
          <w:lang w:val="en-US" w:eastAsia="zh-CN"/>
        </w:rPr>
        <w:t>”</w:t>
      </w:r>
      <w:r>
        <w:rPr>
          <w:rFonts w:hint="eastAsia" w:ascii="仿宋" w:hAnsi="仿宋" w:eastAsia="仿宋" w:cs="仿宋"/>
          <w:b w:val="0"/>
          <w:bCs w:val="0"/>
          <w:sz w:val="32"/>
          <w:szCs w:val="40"/>
          <w:lang w:val="en-US" w:eastAsia="zh-CN"/>
        </w:rPr>
        <w:t>活动为契机，持续释放大宗消费与传统消费市场活力，累计培育本地承办商户95家，发放补贴777.29万元，实现家电、电动自行车、家装、数码3C四大品类全覆盖</w:t>
      </w:r>
      <w:bookmarkStart w:id="1" w:name="_GoBack"/>
      <w:bookmarkEnd w:id="1"/>
      <w:r>
        <w:rPr>
          <w:rFonts w:hint="eastAsia" w:ascii="仿宋" w:hAnsi="仿宋" w:eastAsia="仿宋" w:cs="仿宋"/>
          <w:b w:val="0"/>
          <w:bCs w:val="0"/>
          <w:sz w:val="32"/>
          <w:szCs w:val="40"/>
          <w:lang w:val="en-US" w:eastAsia="zh-CN"/>
        </w:rPr>
        <w:t>。同时，为维护消费者合法权益，积极开展以旧换新专项监管行动，切实保障政策公平公正实施。</w:t>
      </w:r>
      <w:r>
        <w:rPr>
          <w:rFonts w:hint="eastAsia" w:ascii="仿宋" w:hAnsi="仿宋" w:eastAsia="仿宋" w:cs="仿宋"/>
          <w:kern w:val="2"/>
          <w:sz w:val="32"/>
          <w:szCs w:val="32"/>
          <w:lang w:val="en-US" w:eastAsia="zh-CN" w:bidi="ar-SA"/>
        </w:rPr>
        <w:t>持续深化限上商贸服务业企业帮扶，累计走访企业55家次，针对企业发展痛点难点“面对面”出谋划策，累计收集并妥善解决企业诉求20余条，为企业纾困解难、提振发展信心，助推全县商贸服务业企业实现健康有序发展。</w:t>
      </w:r>
    </w:p>
    <w:p>
      <w:pPr>
        <w:pStyle w:val="6"/>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default"/>
          <w:lang w:val="en-US" w:eastAsia="zh-CN"/>
        </w:rPr>
      </w:pPr>
      <w:r>
        <w:rPr>
          <w:rFonts w:hint="eastAsia" w:ascii="仿宋" w:hAnsi="仿宋" w:eastAsia="仿宋" w:cs="仿宋"/>
          <w:b w:val="0"/>
          <w:i w:val="0"/>
          <w:color w:val="222222"/>
          <w:spacing w:val="8"/>
          <w:w w:val="100"/>
          <w:kern w:val="0"/>
          <w:sz w:val="32"/>
          <w:szCs w:val="32"/>
          <w:lang w:val="en-US" w:eastAsia="zh-CN" w:bidi="ar"/>
        </w:rPr>
        <w:t>综合得分100分。</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（3）监督检查工作</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绩效目标：按照有关规定对成品油经营、汽车销售、报废汽车回收（含拆解）等进行监督管理</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绩效指标：监督检查完成率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eastAsia" w:ascii="仿宋" w:hAnsi="仿宋" w:eastAsia="仿宋" w:cs="仿宋"/>
          <w:sz w:val="32"/>
          <w:szCs w:val="40"/>
          <w:lang w:val="en-US" w:eastAsia="zh-CN"/>
        </w:rPr>
      </w:pPr>
      <w:r>
        <w:rPr>
          <w:rFonts w:hint="eastAsia" w:ascii="仿宋" w:hAnsi="仿宋" w:eastAsia="仿宋"/>
          <w:sz w:val="32"/>
          <w:szCs w:val="32"/>
          <w:lang w:val="en-US" w:eastAsia="zh-CN"/>
        </w:rPr>
        <w:t>完成情况：</w:t>
      </w:r>
      <w:r>
        <w:rPr>
          <w:rFonts w:hint="eastAsia" w:ascii="仿宋" w:hAnsi="仿宋" w:eastAsia="仿宋" w:cs="仿宋"/>
          <w:sz w:val="32"/>
          <w:szCs w:val="40"/>
          <w:lang w:val="en-US" w:eastAsia="zh-CN"/>
        </w:rPr>
        <w:t>累计对县域内25家商场、超市、酒店等重点商贸企业，及70家加油站点开展安全检查，重点聚焦燃气使用安全、消防设施、安全通道等关键环节，实现重点企业安全检查100%全覆盖。通过细致排查，累计整改消除日常一般安全隐患40余条、重大安全隐患3条，切实将安全风险化解在萌芽状态，有力保障商贸行业安全稳定运行。</w:t>
      </w:r>
    </w:p>
    <w:p>
      <w:pPr>
        <w:pStyle w:val="6"/>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default"/>
          <w:lang w:val="en-US" w:eastAsia="zh-CN"/>
        </w:rPr>
      </w:pPr>
      <w:r>
        <w:rPr>
          <w:rFonts w:hint="eastAsia" w:ascii="仿宋" w:hAnsi="仿宋" w:eastAsia="仿宋" w:cs="仿宋"/>
          <w:b w:val="0"/>
          <w:i w:val="0"/>
          <w:color w:val="222222"/>
          <w:spacing w:val="8"/>
          <w:w w:val="100"/>
          <w:kern w:val="0"/>
          <w:sz w:val="32"/>
          <w:szCs w:val="32"/>
          <w:lang w:val="en-US" w:eastAsia="zh-CN" w:bidi="ar"/>
        </w:rPr>
        <w:t>综合得分100分。</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（4）经济指标工作</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绩效目标:承担社会零售品总额、实际利用外资等经济数据上报</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绩效指标：经济指标完成率</w:t>
      </w:r>
    </w:p>
    <w:p>
      <w:pPr>
        <w:keepNext w:val="0"/>
        <w:keepLines w:val="0"/>
        <w:pageBreakBefore w:val="0"/>
        <w:widowControl w:val="0"/>
        <w:kinsoku/>
        <w:wordWrap/>
        <w:overflowPunct/>
        <w:topLinePunct w:val="0"/>
        <w:autoSpaceDE/>
        <w:autoSpaceDN/>
        <w:bidi w:val="0"/>
        <w:adjustRightInd/>
        <w:snapToGrid/>
        <w:spacing w:line="560" w:lineRule="exact"/>
        <w:ind w:left="0" w:right="0" w:firstLine="640" w:firstLineChars="200"/>
        <w:textAlignment w:val="auto"/>
        <w:rPr>
          <w:rFonts w:hint="eastAsia" w:ascii="仿宋" w:hAnsi="仿宋" w:eastAsia="仿宋" w:cs="Times New Roman"/>
          <w:kern w:val="2"/>
          <w:sz w:val="32"/>
          <w:szCs w:val="32"/>
          <w:lang w:val="en-US" w:eastAsia="zh-CN" w:bidi="ar-SA"/>
        </w:rPr>
      </w:pPr>
      <w:r>
        <w:rPr>
          <w:rFonts w:hint="eastAsia" w:ascii="仿宋" w:hAnsi="仿宋" w:eastAsia="仿宋"/>
          <w:sz w:val="32"/>
          <w:szCs w:val="32"/>
          <w:lang w:val="en-US" w:eastAsia="zh-CN"/>
        </w:rPr>
        <w:t>完成情况：</w:t>
      </w:r>
      <w:r>
        <w:rPr>
          <w:rFonts w:hint="eastAsia" w:ascii="仿宋" w:hAnsi="仿宋" w:eastAsia="仿宋" w:cs="Times New Roman"/>
          <w:kern w:val="2"/>
          <w:sz w:val="32"/>
          <w:szCs w:val="32"/>
          <w:lang w:val="en-US" w:eastAsia="zh-CN" w:bidi="ar-SA"/>
        </w:rPr>
        <w:t>前三个季度，全县社零额完成33.4亿元，同比增长6.9%，增速高于全市（5.3%）1.6个百分点，居全市第十位。1-10月限上零售额完成1.74亿元，增速为7.1%，排位第十。1-11月限上零售额预计完成2.04亿元，预估增速为9.7%，全年限上零售额预计完成2.38亿元，预估增速为5%。</w:t>
      </w:r>
    </w:p>
    <w:p>
      <w:pPr>
        <w:pStyle w:val="6"/>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default"/>
          <w:lang w:val="en-US" w:eastAsia="zh-CN"/>
        </w:rPr>
      </w:pPr>
      <w:r>
        <w:rPr>
          <w:rFonts w:hint="eastAsia" w:ascii="仿宋" w:hAnsi="仿宋" w:eastAsia="仿宋" w:cs="仿宋"/>
          <w:b w:val="0"/>
          <w:i w:val="0"/>
          <w:color w:val="222222"/>
          <w:spacing w:val="8"/>
          <w:w w:val="100"/>
          <w:kern w:val="0"/>
          <w:sz w:val="32"/>
          <w:szCs w:val="32"/>
          <w:lang w:val="en-US" w:eastAsia="zh-CN" w:bidi="ar"/>
        </w:rPr>
        <w:t>综合得分100分。</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（5）招商引资</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绩效目标：招引符合我县发展的项目</w:t>
      </w:r>
    </w:p>
    <w:p>
      <w:pPr>
        <w:pStyle w:val="3"/>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 w:hAnsi="仿宋" w:eastAsia="仿宋"/>
          <w:sz w:val="32"/>
          <w:szCs w:val="32"/>
          <w:lang w:val="en-US" w:eastAsia="zh-CN"/>
        </w:rPr>
      </w:pPr>
      <w:r>
        <w:rPr>
          <w:rFonts w:hint="eastAsia" w:ascii="仿宋" w:hAnsi="仿宋" w:eastAsia="仿宋"/>
          <w:sz w:val="32"/>
          <w:szCs w:val="32"/>
          <w:lang w:val="en-US" w:eastAsia="zh-CN"/>
        </w:rPr>
        <w:t>绩效指标：项目签约率、落地率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right="0" w:rightChars="0" w:firstLine="640" w:firstLineChars="200"/>
        <w:jc w:val="both"/>
        <w:textAlignment w:val="auto"/>
        <w:rPr>
          <w:rFonts w:hint="eastAsia" w:ascii="仿宋" w:hAnsi="仿宋" w:eastAsia="仿宋" w:cs="仿宋"/>
          <w:b w:val="0"/>
          <w:bCs w:val="0"/>
          <w:i w:val="0"/>
          <w:caps w:val="0"/>
          <w:color w:val="auto"/>
          <w:spacing w:val="0"/>
          <w:w w:val="100"/>
          <w:sz w:val="32"/>
          <w:szCs w:val="32"/>
          <w:u w:val="none"/>
          <w:lang w:val="en-US" w:eastAsia="zh-CN"/>
        </w:rPr>
      </w:pPr>
      <w:r>
        <w:rPr>
          <w:rFonts w:hint="eastAsia" w:ascii="仿宋" w:hAnsi="仿宋" w:eastAsia="仿宋"/>
          <w:sz w:val="32"/>
          <w:szCs w:val="32"/>
          <w:lang w:val="en-US" w:eastAsia="zh-CN"/>
        </w:rPr>
        <w:t>完成情况：</w:t>
      </w:r>
      <w:r>
        <w:rPr>
          <w:rFonts w:hint="eastAsia" w:ascii="仿宋" w:hAnsi="仿宋" w:eastAsia="仿宋" w:cs="仿宋"/>
          <w:b w:val="0"/>
          <w:bCs w:val="0"/>
          <w:i w:val="0"/>
          <w:caps w:val="0"/>
          <w:color w:val="auto"/>
          <w:spacing w:val="0"/>
          <w:w w:val="100"/>
          <w:sz w:val="32"/>
          <w:szCs w:val="32"/>
          <w:u w:val="none"/>
          <w:lang w:val="en-US" w:eastAsia="zh-CN"/>
        </w:rPr>
        <w:t>已签约“石家庄市龙腾机械有限公司投资石家庄市井陉县流体动力系统装备生产项目、中广核井陉县100MW/400MWh独立储能电站项目、深圳景行时代科技有限公司超强轻量化金属复合材料项目”等项目34个，总投资66.042亿元，落地项目25个，总投资23.302亿元，落地率73.5%。</w:t>
      </w:r>
    </w:p>
    <w:p>
      <w:pPr>
        <w:pStyle w:val="6"/>
        <w:keepNext w:val="0"/>
        <w:keepLines w:val="0"/>
        <w:pageBreakBefore w:val="0"/>
        <w:widowControl/>
        <w:kinsoku/>
        <w:wordWrap/>
        <w:overflowPunct/>
        <w:topLinePunct w:val="0"/>
        <w:autoSpaceDE/>
        <w:autoSpaceDN/>
        <w:bidi w:val="0"/>
        <w:snapToGrid/>
        <w:spacing w:before="0" w:beforeAutospacing="0" w:after="0" w:afterAutospacing="0" w:line="540" w:lineRule="exact"/>
        <w:ind w:right="120" w:firstLine="672" w:firstLineChars="200"/>
        <w:jc w:val="both"/>
        <w:textAlignment w:val="baseline"/>
        <w:rPr>
          <w:rFonts w:hint="default"/>
          <w:lang w:val="en-US" w:eastAsia="zh-CN"/>
        </w:rPr>
      </w:pPr>
      <w:r>
        <w:rPr>
          <w:rFonts w:hint="eastAsia" w:ascii="仿宋" w:hAnsi="仿宋" w:eastAsia="仿宋" w:cs="仿宋"/>
          <w:b w:val="0"/>
          <w:i w:val="0"/>
          <w:color w:val="222222"/>
          <w:spacing w:val="8"/>
          <w:w w:val="100"/>
          <w:kern w:val="0"/>
          <w:sz w:val="32"/>
          <w:szCs w:val="32"/>
          <w:lang w:val="en-US" w:eastAsia="zh-CN" w:bidi="ar"/>
        </w:rPr>
        <w:t>综合得分100分。</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w:t>
      </w:r>
      <w:r>
        <w:rPr>
          <w:rFonts w:hint="eastAsia" w:ascii="仿宋" w:hAnsi="仿宋" w:eastAsia="仿宋"/>
          <w:sz w:val="32"/>
          <w:szCs w:val="32"/>
          <w:lang w:eastAsia="zh-CN"/>
        </w:rPr>
        <w:t>部门职责定位和各项工作履职情况进行综合评价</w:t>
      </w:r>
      <w:r>
        <w:rPr>
          <w:rFonts w:hint="eastAsia" w:ascii="仿宋" w:hAnsi="仿宋" w:eastAsia="仿宋"/>
          <w:sz w:val="32"/>
          <w:szCs w:val="32"/>
        </w:rPr>
        <w:t>，给出总得分</w:t>
      </w:r>
      <w:r>
        <w:rPr>
          <w:rFonts w:hint="eastAsia" w:ascii="仿宋" w:hAnsi="仿宋" w:eastAsia="仿宋"/>
          <w:color w:val="auto"/>
          <w:sz w:val="32"/>
          <w:szCs w:val="32"/>
          <w:lang w:val="en-US" w:eastAsia="zh-CN"/>
        </w:rPr>
        <w:t>500</w:t>
      </w:r>
      <w:r>
        <w:rPr>
          <w:rFonts w:hint="eastAsia" w:ascii="仿宋" w:hAnsi="仿宋" w:eastAsia="仿宋"/>
          <w:sz w:val="32"/>
          <w:szCs w:val="32"/>
          <w:lang w:val="en-US" w:eastAsia="zh-CN"/>
        </w:rPr>
        <w:t>分</w:t>
      </w:r>
      <w:r>
        <w:rPr>
          <w:rFonts w:hint="eastAsia" w:ascii="仿宋" w:hAnsi="仿宋" w:eastAsia="仿宋"/>
          <w:sz w:val="32"/>
          <w:szCs w:val="32"/>
        </w:rPr>
        <w:t>，满分</w:t>
      </w:r>
      <w:r>
        <w:rPr>
          <w:rFonts w:hint="eastAsia" w:ascii="仿宋" w:hAnsi="仿宋" w:eastAsia="仿宋"/>
          <w:sz w:val="32"/>
          <w:szCs w:val="32"/>
          <w:lang w:val="en-US" w:eastAsia="zh-CN"/>
        </w:rPr>
        <w:t>5</w:t>
      </w:r>
      <w:r>
        <w:rPr>
          <w:rFonts w:hint="eastAsia" w:ascii="仿宋" w:hAnsi="仿宋" w:eastAsia="仿宋"/>
          <w:color w:val="auto"/>
          <w:sz w:val="32"/>
          <w:szCs w:val="32"/>
          <w:lang w:val="en-US" w:eastAsia="zh-CN"/>
        </w:rPr>
        <w:t>00</w:t>
      </w:r>
      <w:r>
        <w:rPr>
          <w:rFonts w:hint="eastAsia" w:ascii="仿宋" w:hAnsi="仿宋" w:eastAsia="仿宋"/>
          <w:sz w:val="32"/>
          <w:szCs w:val="32"/>
        </w:rPr>
        <w:t>分，得出综合绩效评价</w:t>
      </w:r>
      <w:r>
        <w:rPr>
          <w:rFonts w:hint="eastAsia" w:ascii="仿宋" w:hAnsi="仿宋" w:eastAsia="仿宋"/>
          <w:sz w:val="32"/>
          <w:szCs w:val="32"/>
          <w:lang w:val="en-US" w:eastAsia="zh-CN"/>
        </w:rPr>
        <w:t>为优秀</w:t>
      </w:r>
      <w:r>
        <w:rPr>
          <w:rFonts w:hint="eastAsia" w:ascii="仿宋" w:hAnsi="仿宋" w:eastAsia="仿宋"/>
          <w:sz w:val="32"/>
          <w:szCs w:val="32"/>
        </w:rPr>
        <w:t>。</w:t>
      </w:r>
    </w:p>
    <w:p>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pPr>
        <w:pStyle w:val="3"/>
        <w:rPr>
          <w:rFonts w:hint="default" w:ascii="仿宋" w:hAnsi="仿宋" w:eastAsia="仿宋" w:cs="黑体"/>
          <w:kern w:val="2"/>
          <w:sz w:val="32"/>
          <w:szCs w:val="32"/>
          <w:lang w:val="en-US" w:eastAsia="zh-CN" w:bidi="ar-SA"/>
        </w:rPr>
      </w:pPr>
      <w:r>
        <w:rPr>
          <w:rFonts w:hint="eastAsia" w:ascii="楷体" w:hAnsi="楷体" w:eastAsia="楷体"/>
          <w:bCs/>
          <w:sz w:val="32"/>
          <w:szCs w:val="32"/>
          <w:lang w:val="en-US" w:eastAsia="zh-CN"/>
        </w:rPr>
        <w:t xml:space="preserve">   </w:t>
      </w:r>
      <w:r>
        <w:rPr>
          <w:rFonts w:hint="eastAsia" w:ascii="仿宋" w:hAnsi="仿宋" w:eastAsia="仿宋" w:cs="黑体"/>
          <w:kern w:val="2"/>
          <w:sz w:val="32"/>
          <w:szCs w:val="32"/>
          <w:lang w:val="en-US" w:eastAsia="zh-CN" w:bidi="ar-SA"/>
        </w:rPr>
        <w:t xml:space="preserve"> 无</w:t>
      </w:r>
    </w:p>
    <w:p>
      <w:pPr>
        <w:numPr>
          <w:ilvl w:val="0"/>
          <w:numId w:val="5"/>
        </w:numPr>
        <w:spacing w:line="560" w:lineRule="exact"/>
        <w:ind w:left="0" w:leftChars="0" w:firstLine="640" w:firstLineChars="200"/>
      </w:pPr>
      <w:r>
        <w:rPr>
          <w:rFonts w:hint="eastAsia" w:ascii="楷体" w:hAnsi="楷体" w:eastAsia="楷体"/>
          <w:bCs/>
          <w:sz w:val="32"/>
          <w:szCs w:val="32"/>
        </w:rPr>
        <w:t>针对问题提出具体的改进措施或建议</w:t>
      </w:r>
    </w:p>
    <w:p>
      <w:pPr>
        <w:keepNext w:val="0"/>
        <w:keepLines w:val="0"/>
        <w:pageBreakBefore w:val="0"/>
        <w:widowControl w:val="0"/>
        <w:kinsoku/>
        <w:wordWrap/>
        <w:overflowPunct/>
        <w:topLinePunct w:val="0"/>
        <w:autoSpaceDE/>
        <w:autoSpaceDN/>
        <w:bidi w:val="0"/>
        <w:adjustRightInd/>
        <w:spacing w:line="240" w:lineRule="auto"/>
        <w:ind w:firstLine="640" w:firstLineChars="200"/>
        <w:jc w:val="both"/>
        <w:textAlignment w:val="auto"/>
      </w:pPr>
      <w:r>
        <w:rPr>
          <w:rFonts w:hint="eastAsia" w:ascii="仿宋" w:hAnsi="仿宋" w:eastAsia="仿宋" w:cs="仿宋"/>
          <w:sz w:val="32"/>
          <w:szCs w:val="32"/>
          <w:lang w:val="en-US" w:eastAsia="zh-CN"/>
        </w:rPr>
        <w:t>2025年项目绩效目标设定质量较高，今后将进一步认真做好项目绩效工作，</w:t>
      </w:r>
      <w:r>
        <w:rPr>
          <w:rFonts w:hint="eastAsia" w:ascii="仿宋" w:hAnsi="仿宋" w:eastAsia="仿宋" w:cs="仿宋"/>
          <w:b w:val="0"/>
          <w:bCs/>
          <w:color w:val="000000"/>
          <w:kern w:val="0"/>
          <w:sz w:val="32"/>
          <w:szCs w:val="32"/>
          <w:lang w:val="en-US" w:eastAsia="zh-CN" w:bidi="ar"/>
        </w:rPr>
        <w:t>使绩效管理更加合理化。</w:t>
      </w:r>
    </w:p>
    <w:p>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8"/>
        <w:tblW w:w="93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2"/>
        <w:gridCol w:w="3150"/>
        <w:gridCol w:w="2620"/>
        <w:gridCol w:w="2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34" w:hRule="atLeast"/>
        </w:trPr>
        <w:tc>
          <w:tcPr>
            <w:tcW w:w="1232"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c>
          <w:tcPr>
            <w:tcW w:w="315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工作单位</w:t>
            </w:r>
          </w:p>
        </w:tc>
        <w:tc>
          <w:tcPr>
            <w:tcW w:w="262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9" w:hRule="atLeast"/>
        </w:trPr>
        <w:tc>
          <w:tcPr>
            <w:tcW w:w="1232"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袁盛东</w:t>
            </w:r>
          </w:p>
        </w:tc>
        <w:tc>
          <w:tcPr>
            <w:tcW w:w="315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井陉县商务局</w:t>
            </w:r>
          </w:p>
        </w:tc>
        <w:tc>
          <w:tcPr>
            <w:tcW w:w="262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党组书记、局长</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09" w:hRule="atLeas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许海霞</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井陉县商务局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副局长</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4" w:hRule="atLeast"/>
        </w:trPr>
        <w:tc>
          <w:tcPr>
            <w:tcW w:w="1232"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贾彦斌</w:t>
            </w:r>
          </w:p>
        </w:tc>
        <w:tc>
          <w:tcPr>
            <w:tcW w:w="315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井陉县商务局</w:t>
            </w:r>
          </w:p>
        </w:tc>
        <w:tc>
          <w:tcPr>
            <w:tcW w:w="262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三级主任科员</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4" w:hRule="atLeast"/>
        </w:trPr>
        <w:tc>
          <w:tcPr>
            <w:tcW w:w="1232"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黄一冰</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井陉县商务局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三级主任科员</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4" w:hRule="atLeast"/>
        </w:trPr>
        <w:tc>
          <w:tcPr>
            <w:tcW w:w="1232"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刘春通</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井陉县商务局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办公室主任</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atLeast"/>
        </w:trPr>
        <w:tc>
          <w:tcPr>
            <w:tcW w:w="1232"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王秀芳</w:t>
            </w:r>
          </w:p>
        </w:tc>
        <w:tc>
          <w:tcPr>
            <w:tcW w:w="315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井陉县商务局</w:t>
            </w:r>
          </w:p>
        </w:tc>
        <w:tc>
          <w:tcPr>
            <w:tcW w:w="262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科员</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atLeast"/>
        </w:trPr>
        <w:tc>
          <w:tcPr>
            <w:tcW w:w="1232"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王海泉</w:t>
            </w:r>
          </w:p>
        </w:tc>
        <w:tc>
          <w:tcPr>
            <w:tcW w:w="315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井陉县商务局</w:t>
            </w:r>
          </w:p>
        </w:tc>
        <w:tc>
          <w:tcPr>
            <w:tcW w:w="262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综合执法</w:t>
            </w:r>
            <w:r>
              <w:rPr>
                <w:rFonts w:hint="eastAsia" w:ascii="仿宋" w:hAnsi="仿宋" w:eastAsia="仿宋" w:cs="仿宋"/>
                <w:sz w:val="32"/>
                <w:szCs w:val="32"/>
                <w:vertAlign w:val="baseline"/>
                <w:lang w:val="en-US" w:eastAsia="zh-CN"/>
              </w:rPr>
              <w:t>股股</w:t>
            </w:r>
            <w:r>
              <w:rPr>
                <w:rFonts w:hint="eastAsia" w:ascii="仿宋" w:hAnsi="仿宋" w:eastAsia="仿宋" w:cs="仿宋"/>
                <w:sz w:val="32"/>
                <w:szCs w:val="32"/>
                <w:vertAlign w:val="baseline"/>
                <w:lang w:eastAsia="zh-CN"/>
              </w:rPr>
              <w:t>长</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atLeast"/>
        </w:trPr>
        <w:tc>
          <w:tcPr>
            <w:tcW w:w="1232"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梁彦庭</w:t>
            </w:r>
          </w:p>
        </w:tc>
        <w:tc>
          <w:tcPr>
            <w:tcW w:w="315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井陉县商务局</w:t>
            </w:r>
          </w:p>
        </w:tc>
        <w:tc>
          <w:tcPr>
            <w:tcW w:w="262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商</w:t>
            </w:r>
            <w:r>
              <w:rPr>
                <w:rFonts w:hint="eastAsia" w:ascii="仿宋" w:hAnsi="仿宋" w:eastAsia="仿宋" w:cs="仿宋"/>
                <w:sz w:val="32"/>
                <w:szCs w:val="32"/>
                <w:vertAlign w:val="baseline"/>
                <w:lang w:val="en-US" w:eastAsia="zh-CN"/>
              </w:rPr>
              <w:t>务管理股股</w:t>
            </w:r>
            <w:r>
              <w:rPr>
                <w:rFonts w:hint="eastAsia" w:ascii="仿宋" w:hAnsi="仿宋" w:eastAsia="仿宋" w:cs="仿宋"/>
                <w:sz w:val="32"/>
                <w:szCs w:val="32"/>
                <w:vertAlign w:val="baseline"/>
                <w:lang w:eastAsia="zh-CN"/>
              </w:rPr>
              <w:t>长</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09" w:hRule="atLeast"/>
        </w:trPr>
        <w:tc>
          <w:tcPr>
            <w:tcW w:w="1232"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石贺</w:t>
            </w:r>
          </w:p>
        </w:tc>
        <w:tc>
          <w:tcPr>
            <w:tcW w:w="315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井陉县商务局</w:t>
            </w:r>
          </w:p>
        </w:tc>
        <w:tc>
          <w:tcPr>
            <w:tcW w:w="2620"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val="en-US" w:eastAsia="zh-CN"/>
              </w:rPr>
              <w:t>投资促进股股</w:t>
            </w:r>
            <w:r>
              <w:rPr>
                <w:rFonts w:hint="eastAsia" w:ascii="仿宋" w:hAnsi="仿宋" w:eastAsia="仿宋" w:cs="仿宋"/>
                <w:sz w:val="32"/>
                <w:szCs w:val="32"/>
                <w:vertAlign w:val="baseline"/>
                <w:lang w:eastAsia="zh-CN"/>
              </w:rPr>
              <w:t>长</w:t>
            </w:r>
          </w:p>
        </w:tc>
        <w:tc>
          <w:tcPr>
            <w:tcW w:w="2345" w:type="dxa"/>
          </w:tcPr>
          <w:p>
            <w:pPr>
              <w:keepNext w:val="0"/>
              <w:keepLines w:val="0"/>
              <w:pageBreakBefore w:val="0"/>
              <w:widowControl w:val="0"/>
              <w:kinsoku/>
              <w:wordWrap/>
              <w:overflowPunct/>
              <w:topLinePunct w:val="0"/>
              <w:autoSpaceDE w:val="0"/>
              <w:autoSpaceDN w:val="0"/>
              <w:bidi w:val="0"/>
              <w:adjustRightInd w:val="0"/>
              <w:snapToGrid/>
              <w:spacing w:line="240" w:lineRule="atLeast"/>
              <w:jc w:val="both"/>
              <w:textAlignment w:val="auto"/>
              <w:rPr>
                <w:rFonts w:hint="eastAsia" w:ascii="仿宋" w:hAnsi="仿宋" w:eastAsia="仿宋" w:cs="仿宋"/>
                <w:sz w:val="32"/>
                <w:szCs w:val="32"/>
                <w:vertAlign w:val="baseline"/>
              </w:rPr>
            </w:pPr>
          </w:p>
        </w:tc>
      </w:tr>
    </w:tbl>
    <w:p>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5510BAA"/>
    <w:multiLevelType w:val="singleLevel"/>
    <w:tmpl w:val="F5510BAA"/>
    <w:lvl w:ilvl="0" w:tentative="0">
      <w:start w:val="2"/>
      <w:numFmt w:val="decimal"/>
      <w:suff w:val="nothing"/>
      <w:lvlText w:val="%1、"/>
      <w:lvlJc w:val="left"/>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093F015D"/>
    <w:multiLevelType w:val="singleLevel"/>
    <w:tmpl w:val="093F015D"/>
    <w:lvl w:ilvl="0" w:tentative="0">
      <w:start w:val="2"/>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4">
    <w:nsid w:val="65085E6A"/>
    <w:multiLevelType w:val="singleLevel"/>
    <w:tmpl w:val="65085E6A"/>
    <w:lvl w:ilvl="0" w:tentative="0">
      <w:start w:val="1"/>
      <w:numFmt w:val="decimal"/>
      <w:lvlText w:val="%1."/>
      <w:lvlJc w:val="left"/>
      <w:pPr>
        <w:tabs>
          <w:tab w:val="left" w:pos="312"/>
        </w:tabs>
      </w:pPr>
    </w:lvl>
  </w:abstractNum>
  <w:num w:numId="1">
    <w:abstractNumId w:val="4"/>
  </w:num>
  <w:num w:numId="2">
    <w:abstractNumId w:val="2"/>
  </w:num>
  <w:num w:numId="3">
    <w:abstractNumId w:val="0"/>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22004"/>
    <w:rsid w:val="00B478EA"/>
    <w:rsid w:val="00B6553A"/>
    <w:rsid w:val="00BC6576"/>
    <w:rsid w:val="00CE06BA"/>
    <w:rsid w:val="00F441CC"/>
    <w:rsid w:val="017B5688"/>
    <w:rsid w:val="01B104CA"/>
    <w:rsid w:val="02106AB0"/>
    <w:rsid w:val="02690BFE"/>
    <w:rsid w:val="02B43A28"/>
    <w:rsid w:val="046F331E"/>
    <w:rsid w:val="04A06EB1"/>
    <w:rsid w:val="06342133"/>
    <w:rsid w:val="075A24C6"/>
    <w:rsid w:val="07630750"/>
    <w:rsid w:val="07956271"/>
    <w:rsid w:val="08FF3773"/>
    <w:rsid w:val="09721397"/>
    <w:rsid w:val="09F7267E"/>
    <w:rsid w:val="0B1B2625"/>
    <w:rsid w:val="0B404479"/>
    <w:rsid w:val="0BB63BED"/>
    <w:rsid w:val="0BFC4791"/>
    <w:rsid w:val="0DD04666"/>
    <w:rsid w:val="0EB97A43"/>
    <w:rsid w:val="0EBD2122"/>
    <w:rsid w:val="0F214EAE"/>
    <w:rsid w:val="0FF445E9"/>
    <w:rsid w:val="11B71E6A"/>
    <w:rsid w:val="12916787"/>
    <w:rsid w:val="12B05050"/>
    <w:rsid w:val="140B3945"/>
    <w:rsid w:val="144B521C"/>
    <w:rsid w:val="150E039D"/>
    <w:rsid w:val="15100D3F"/>
    <w:rsid w:val="15232676"/>
    <w:rsid w:val="17044FA8"/>
    <w:rsid w:val="18392EA8"/>
    <w:rsid w:val="199A6C22"/>
    <w:rsid w:val="19C36EB7"/>
    <w:rsid w:val="1A322903"/>
    <w:rsid w:val="1AAF0063"/>
    <w:rsid w:val="1BE140DE"/>
    <w:rsid w:val="1C7D19B1"/>
    <w:rsid w:val="1C954FA3"/>
    <w:rsid w:val="1D952A86"/>
    <w:rsid w:val="215103D7"/>
    <w:rsid w:val="21617F9F"/>
    <w:rsid w:val="22056B7C"/>
    <w:rsid w:val="225D669D"/>
    <w:rsid w:val="24512832"/>
    <w:rsid w:val="248C197D"/>
    <w:rsid w:val="252959AF"/>
    <w:rsid w:val="277A6671"/>
    <w:rsid w:val="292D35B7"/>
    <w:rsid w:val="295C6AE1"/>
    <w:rsid w:val="2A8F6D4E"/>
    <w:rsid w:val="2AB73872"/>
    <w:rsid w:val="2B994242"/>
    <w:rsid w:val="2B9E68AA"/>
    <w:rsid w:val="2E2E1209"/>
    <w:rsid w:val="2E5A6C75"/>
    <w:rsid w:val="2FAE1621"/>
    <w:rsid w:val="2FCC0CD9"/>
    <w:rsid w:val="2FFF7964"/>
    <w:rsid w:val="301C7F9C"/>
    <w:rsid w:val="31141D7B"/>
    <w:rsid w:val="31151E97"/>
    <w:rsid w:val="31D644AB"/>
    <w:rsid w:val="330423DA"/>
    <w:rsid w:val="33EB6CFF"/>
    <w:rsid w:val="34BB131C"/>
    <w:rsid w:val="35A12947"/>
    <w:rsid w:val="37387040"/>
    <w:rsid w:val="37DF1880"/>
    <w:rsid w:val="390151F8"/>
    <w:rsid w:val="396672A6"/>
    <w:rsid w:val="3B0548E0"/>
    <w:rsid w:val="3B526578"/>
    <w:rsid w:val="3B625C0A"/>
    <w:rsid w:val="3BFC64A2"/>
    <w:rsid w:val="3CC302A5"/>
    <w:rsid w:val="3CEE1963"/>
    <w:rsid w:val="3D0108B6"/>
    <w:rsid w:val="3D2300EC"/>
    <w:rsid w:val="3E9A720C"/>
    <w:rsid w:val="3F093E39"/>
    <w:rsid w:val="3FE978C4"/>
    <w:rsid w:val="436B78D3"/>
    <w:rsid w:val="44BA4D7C"/>
    <w:rsid w:val="45AF12DB"/>
    <w:rsid w:val="45B969A1"/>
    <w:rsid w:val="489A107C"/>
    <w:rsid w:val="48B60C1B"/>
    <w:rsid w:val="48E6475C"/>
    <w:rsid w:val="49E07403"/>
    <w:rsid w:val="4C9C27FE"/>
    <w:rsid w:val="4D312113"/>
    <w:rsid w:val="4DA8648A"/>
    <w:rsid w:val="4E4A0070"/>
    <w:rsid w:val="50B417C7"/>
    <w:rsid w:val="50C11611"/>
    <w:rsid w:val="512260B4"/>
    <w:rsid w:val="51855E29"/>
    <w:rsid w:val="52021389"/>
    <w:rsid w:val="52520C7F"/>
    <w:rsid w:val="52A3476C"/>
    <w:rsid w:val="52BD6ACB"/>
    <w:rsid w:val="52BE788C"/>
    <w:rsid w:val="532C590C"/>
    <w:rsid w:val="53514D8C"/>
    <w:rsid w:val="54BD1118"/>
    <w:rsid w:val="55537534"/>
    <w:rsid w:val="55787277"/>
    <w:rsid w:val="55A82D9F"/>
    <w:rsid w:val="561A74F1"/>
    <w:rsid w:val="563A7BBD"/>
    <w:rsid w:val="56A50134"/>
    <w:rsid w:val="56B07280"/>
    <w:rsid w:val="57950A9C"/>
    <w:rsid w:val="59343993"/>
    <w:rsid w:val="594B0611"/>
    <w:rsid w:val="597244E8"/>
    <w:rsid w:val="5AFF16B3"/>
    <w:rsid w:val="5B2E4835"/>
    <w:rsid w:val="5B333D21"/>
    <w:rsid w:val="5B982023"/>
    <w:rsid w:val="5C246334"/>
    <w:rsid w:val="5C935B4D"/>
    <w:rsid w:val="5CBC5664"/>
    <w:rsid w:val="5D7731D3"/>
    <w:rsid w:val="5EB71C30"/>
    <w:rsid w:val="5EE33014"/>
    <w:rsid w:val="608B0D7F"/>
    <w:rsid w:val="60B54D6F"/>
    <w:rsid w:val="61FC1136"/>
    <w:rsid w:val="63D26F12"/>
    <w:rsid w:val="64181AB6"/>
    <w:rsid w:val="6480520A"/>
    <w:rsid w:val="65402FF4"/>
    <w:rsid w:val="66AF0CE5"/>
    <w:rsid w:val="67D814FB"/>
    <w:rsid w:val="68CA50AF"/>
    <w:rsid w:val="698E180B"/>
    <w:rsid w:val="6A8C1010"/>
    <w:rsid w:val="6AA27932"/>
    <w:rsid w:val="6AC537CF"/>
    <w:rsid w:val="6B5C6C38"/>
    <w:rsid w:val="6D3B2BBD"/>
    <w:rsid w:val="6DC7258A"/>
    <w:rsid w:val="6E2C1895"/>
    <w:rsid w:val="6E5B14A6"/>
    <w:rsid w:val="711B255E"/>
    <w:rsid w:val="719D32E5"/>
    <w:rsid w:val="72263B1A"/>
    <w:rsid w:val="738E6F4C"/>
    <w:rsid w:val="749C0EB0"/>
    <w:rsid w:val="75661AB5"/>
    <w:rsid w:val="77804029"/>
    <w:rsid w:val="797852E0"/>
    <w:rsid w:val="798C48E2"/>
    <w:rsid w:val="7A58342F"/>
    <w:rsid w:val="7A8A0B42"/>
    <w:rsid w:val="7B424F78"/>
    <w:rsid w:val="7B5D3D82"/>
    <w:rsid w:val="7BB51E06"/>
    <w:rsid w:val="7C387F7C"/>
    <w:rsid w:val="7C603B87"/>
    <w:rsid w:val="7E5D22DA"/>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qFormat="1"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endnote text"/>
    <w:qFormat/>
    <w:uiPriority w:val="0"/>
    <w:pPr>
      <w:widowControl w:val="0"/>
      <w:jc w:val="both"/>
    </w:pPr>
    <w:rPr>
      <w:rFonts w:ascii="Calibri" w:hAnsi="Calibri" w:eastAsia="宋体" w:cs="Times New Roman"/>
      <w:kern w:val="2"/>
      <w:sz w:val="21"/>
      <w:szCs w:val="24"/>
      <w:lang w:val="en-US" w:eastAsia="zh-CN" w:bidi="ar-SA"/>
    </w:rPr>
  </w:style>
  <w:style w:type="paragraph" w:styleId="3">
    <w:name w:val="Plain Text"/>
    <w:basedOn w:val="1"/>
    <w:qFormat/>
    <w:uiPriority w:val="0"/>
    <w:rPr>
      <w:rFonts w:ascii="宋体" w:hAnsi="Courier New" w:cs="Times New Roman"/>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spacing w:before="100" w:beforeAutospacing="1" w:after="100" w:afterAutospacing="1"/>
      <w:jc w:val="left"/>
    </w:pPr>
    <w:rPr>
      <w:rFonts w:cs="Times New Roman" w:asciiTheme="minorHAnsi" w:hAnsiTheme="minorHAnsi" w:eastAsiaTheme="minorEastAsia"/>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0">
    <w:name w:val="正文-公1"/>
    <w:basedOn w:val="11"/>
    <w:next w:val="1"/>
    <w:qFormat/>
    <w:uiPriority w:val="0"/>
    <w:pPr>
      <w:ind w:firstLine="200" w:firstLineChars="200"/>
    </w:pPr>
  </w:style>
  <w:style w:type="paragraph" w:customStyle="1" w:styleId="11">
    <w:name w:val="正文 New New New New New New New New New New New New New New New New New New New New New New New New New New New New New New New New New New New New New New New New New New New New New New New New New New New New New New New New New New New New New New Ne"/>
    <w:next w:val="10"/>
    <w:qFormat/>
    <w:uiPriority w:val="0"/>
    <w:pPr>
      <w:widowControl w:val="0"/>
      <w:jc w:val="both"/>
    </w:pPr>
    <w:rPr>
      <w:rFonts w:ascii="Times New Roman" w:hAnsi="Times New Roman" w:eastAsia="宋体" w:cs="Times New Roman"/>
      <w:kern w:val="2"/>
      <w:sz w:val="21"/>
      <w:lang w:val="en-US" w:eastAsia="zh-CN"/>
    </w:rPr>
  </w:style>
  <w:style w:type="paragraph" w:customStyle="1" w:styleId="1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2356</Words>
  <Characters>2534</Characters>
  <Lines>4</Lines>
  <Paragraphs>1</Paragraphs>
  <TotalTime>1</TotalTime>
  <ScaleCrop>false</ScaleCrop>
  <LinksUpToDate>false</LinksUpToDate>
  <CharactersWithSpaces>2561</CharactersWithSpaces>
  <Application>WPS Office_11.8.2.8721_F1E327BC-269C-435d-A152-05C5408002CA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2026-04-09T08:26:01Z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2052-11.8.2.8721</vt:lpwstr>
  </property>
  <property fmtid="{D5CDD505-2E9C-101B-9397-08002B2CF9AE}" pid="3" name="ICV">
    <vt:lpwstr>807859DDDB204D7484EDDFBB4E9D1D2E</vt:lpwstr>
  </property>
  <property fmtid="{D5CDD505-2E9C-101B-9397-08002B2CF9AE}" pid="4" name="KSOTemplateDocerSaveRecord">
    <vt:lpwstr>eyJoZGlkIjoiN2RhNTZjMWQ1NjNhYWRhMjVjNzEwNjk4YjQ2MTZmM2EiLCJ1c2VySWQiOiI2NzczNDU1MzgifQ==</vt:lpwstr>
  </property>
</Properties>
</file>