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井陉县工商业联合会</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井陉县工商业联合会</w:t>
      </w:r>
      <w:r>
        <w:rPr>
          <w:rFonts w:hint="eastAsia" w:ascii="仿宋" w:hAnsi="仿宋" w:eastAsia="仿宋"/>
          <w:sz w:val="32"/>
          <w:szCs w:val="32"/>
        </w:rPr>
        <w:t>部门</w:t>
      </w:r>
      <w:r>
        <w:rPr>
          <w:rFonts w:hint="eastAsia" w:ascii="仿宋" w:hAnsi="仿宋" w:eastAsia="仿宋"/>
          <w:sz w:val="32"/>
          <w:szCs w:val="32"/>
          <w:lang w:eastAsia="zh-CN"/>
        </w:rPr>
        <w:t>2025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ind w:firstLine="640" w:firstLineChars="200"/>
        <w:rPr>
          <w:rFonts w:hint="eastAsia" w:ascii="Times New Roman" w:hAnsi="Times New Roman" w:eastAsia="仿宋" w:cs="Times New Roman"/>
          <w:sz w:val="32"/>
          <w:szCs w:val="32"/>
        </w:rPr>
      </w:pPr>
      <w:r>
        <w:rPr>
          <w:rFonts w:hint="eastAsia" w:ascii="仿宋" w:hAnsi="仿宋" w:eastAsia="仿宋"/>
          <w:sz w:val="32"/>
          <w:szCs w:val="32"/>
          <w:lang w:val="en-US" w:eastAsia="zh-CN"/>
        </w:rPr>
        <w:t>1、</w:t>
      </w:r>
      <w:r>
        <w:rPr>
          <w:rFonts w:hint="eastAsia" w:ascii="仿宋" w:hAnsi="仿宋" w:eastAsia="仿宋"/>
          <w:sz w:val="32"/>
          <w:szCs w:val="32"/>
          <w:lang w:eastAsia="zh-CN"/>
        </w:rPr>
        <w:t>部门职能</w:t>
      </w:r>
      <w:r>
        <w:rPr>
          <w:rFonts w:hint="eastAsia" w:ascii="仿宋" w:hAnsi="仿宋" w:eastAsia="仿宋"/>
          <w:sz w:val="32"/>
          <w:szCs w:val="32"/>
        </w:rPr>
        <w:t>：加强和改进民营经济人士思想政治工作；参与政治协商，发挥民主监督作用，积极参政议政；协助政府管理和服务民营经济；培育和发展中国特色商会组织；培育和建设高素质的民营经济人士队伍；参与协调劳动关系，协同社会治理，促进社会和谐稳定；引导民营企业和民营经济人士依法治企、依法经营、依法维权。</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b w:val="0"/>
          <w:bCs w:val="0"/>
          <w:sz w:val="32"/>
          <w:szCs w:val="32"/>
          <w:lang w:val="en-US" w:eastAsia="zh-CN"/>
        </w:rPr>
        <w:t>2、</w:t>
      </w:r>
      <w:r>
        <w:rPr>
          <w:rFonts w:hint="eastAsia" w:ascii="仿宋" w:hAnsi="仿宋" w:eastAsia="仿宋"/>
          <w:b w:val="0"/>
          <w:bCs w:val="0"/>
          <w:sz w:val="32"/>
          <w:szCs w:val="32"/>
          <w:lang w:eastAsia="zh-CN"/>
        </w:rPr>
        <w:t>组织机构及</w:t>
      </w:r>
      <w:r>
        <w:rPr>
          <w:rFonts w:hint="eastAsia" w:ascii="仿宋" w:hAnsi="仿宋" w:eastAsia="仿宋"/>
          <w:b w:val="0"/>
          <w:bCs w:val="0"/>
          <w:color w:val="auto"/>
          <w:sz w:val="32"/>
          <w:szCs w:val="32"/>
          <w:lang w:eastAsia="zh-CN"/>
        </w:rPr>
        <w:t>人员</w:t>
      </w:r>
      <w:r>
        <w:rPr>
          <w:rFonts w:hint="eastAsia" w:ascii="仿宋" w:hAnsi="仿宋" w:eastAsia="仿宋"/>
          <w:b w:val="0"/>
          <w:bCs w:val="0"/>
          <w:sz w:val="32"/>
          <w:szCs w:val="32"/>
          <w:lang w:eastAsia="zh-CN"/>
        </w:rPr>
        <w:t>：</w:t>
      </w:r>
      <w:r>
        <w:rPr>
          <w:rFonts w:hint="eastAsia" w:ascii="仿宋" w:hAnsi="仿宋" w:eastAsia="仿宋"/>
          <w:sz w:val="32"/>
          <w:szCs w:val="32"/>
          <w:lang w:eastAsia="zh-CN"/>
        </w:rPr>
        <w:t>井陉县工商业联合会是财政拨款的正科级行政机关，编制</w:t>
      </w:r>
      <w:r>
        <w:rPr>
          <w:rFonts w:hint="eastAsia" w:ascii="仿宋" w:hAnsi="仿宋" w:eastAsia="仿宋"/>
          <w:sz w:val="32"/>
          <w:szCs w:val="32"/>
          <w:lang w:val="en-US" w:eastAsia="zh-CN"/>
        </w:rPr>
        <w:t>3人，实际在职人数5人。</w:t>
      </w:r>
    </w:p>
    <w:p>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b w:val="0"/>
          <w:bCs w:val="0"/>
          <w:sz w:val="32"/>
          <w:szCs w:val="32"/>
          <w:lang w:eastAsia="zh-CN"/>
        </w:rPr>
        <w:t>资产情况：</w:t>
      </w:r>
      <w:r>
        <w:rPr>
          <w:rFonts w:hint="eastAsia" w:ascii="仿宋" w:hAnsi="仿宋" w:eastAsia="仿宋" w:cs="仿宋"/>
          <w:color w:val="auto"/>
          <w:sz w:val="32"/>
          <w:szCs w:val="32"/>
        </w:rPr>
        <w:t>截至</w:t>
      </w:r>
      <w:r>
        <w:rPr>
          <w:rFonts w:hint="eastAsia" w:ascii="仿宋" w:hAnsi="仿宋" w:eastAsia="仿宋" w:cs="仿宋"/>
          <w:color w:val="auto"/>
          <w:sz w:val="32"/>
          <w:szCs w:val="32"/>
          <w:lang w:eastAsia="zh-CN"/>
        </w:rPr>
        <w:t>2025</w:t>
      </w:r>
      <w:r>
        <w:rPr>
          <w:rFonts w:hint="eastAsia" w:ascii="仿宋" w:hAnsi="仿宋" w:eastAsia="仿宋" w:cs="仿宋"/>
          <w:color w:val="auto"/>
          <w:sz w:val="32"/>
          <w:szCs w:val="32"/>
        </w:rPr>
        <w:t>年12月31日，</w:t>
      </w:r>
      <w:r>
        <w:rPr>
          <w:rFonts w:hint="eastAsia" w:ascii="仿宋" w:hAnsi="仿宋" w:eastAsia="仿宋"/>
          <w:color w:val="auto"/>
          <w:sz w:val="32"/>
          <w:szCs w:val="32"/>
          <w:lang w:eastAsia="zh-CN"/>
        </w:rPr>
        <w:t>井陉县工商业联合会</w:t>
      </w:r>
      <w:r>
        <w:rPr>
          <w:rFonts w:hint="eastAsia" w:ascii="仿宋" w:hAnsi="仿宋" w:eastAsia="仿宋" w:cs="仿宋"/>
          <w:color w:val="auto"/>
          <w:sz w:val="32"/>
          <w:szCs w:val="32"/>
        </w:rPr>
        <w:t>资产总额（账面净值）</w:t>
      </w:r>
      <w:r>
        <w:rPr>
          <w:rFonts w:hint="eastAsia" w:ascii="仿宋" w:hAnsi="仿宋" w:eastAsia="仿宋" w:cs="仿宋"/>
          <w:color w:val="auto"/>
          <w:sz w:val="32"/>
          <w:szCs w:val="32"/>
          <w:lang w:val="en-US" w:eastAsia="zh-CN"/>
        </w:rPr>
        <w:t>2.51</w:t>
      </w:r>
      <w:r>
        <w:rPr>
          <w:rFonts w:hint="eastAsia" w:ascii="仿宋" w:hAnsi="仿宋" w:eastAsia="仿宋" w:cs="仿宋"/>
          <w:color w:val="auto"/>
          <w:sz w:val="32"/>
          <w:szCs w:val="32"/>
        </w:rPr>
        <w:t>万元，负债总额</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万元，净资产</w:t>
      </w:r>
      <w:r>
        <w:rPr>
          <w:rFonts w:hint="eastAsia" w:ascii="仿宋" w:hAnsi="仿宋" w:eastAsia="仿宋" w:cs="仿宋"/>
          <w:color w:val="auto"/>
          <w:sz w:val="32"/>
          <w:szCs w:val="32"/>
          <w:lang w:val="en-US" w:eastAsia="zh-CN"/>
        </w:rPr>
        <w:t>2.51</w:t>
      </w:r>
      <w:r>
        <w:rPr>
          <w:rFonts w:hint="eastAsia" w:ascii="仿宋" w:hAnsi="仿宋" w:eastAsia="仿宋" w:cs="仿宋"/>
          <w:color w:val="auto"/>
          <w:sz w:val="32"/>
          <w:szCs w:val="32"/>
        </w:rPr>
        <w:t>万元。流动资产</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万元，固定资产</w:t>
      </w:r>
      <w:r>
        <w:rPr>
          <w:rFonts w:hint="eastAsia" w:ascii="仿宋" w:hAnsi="仿宋" w:eastAsia="仿宋" w:cs="仿宋"/>
          <w:color w:val="auto"/>
          <w:sz w:val="32"/>
          <w:szCs w:val="32"/>
          <w:lang w:val="en-US" w:eastAsia="zh-CN"/>
        </w:rPr>
        <w:t>5.90</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，无形资产</w:t>
      </w:r>
      <w:r>
        <w:rPr>
          <w:rFonts w:hint="eastAsia" w:ascii="仿宋" w:hAnsi="仿宋" w:eastAsia="仿宋" w:cs="仿宋"/>
          <w:color w:val="auto"/>
          <w:sz w:val="32"/>
          <w:szCs w:val="32"/>
          <w:lang w:val="en-US" w:eastAsia="zh-CN"/>
        </w:rPr>
        <w:t>0.17万元。</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度井陉县工商业联合会总收入100.76万元，全部是一般公共预算财政拨款，比年初预算68.55万元增加32.21万元，增长47%；2025年度总支出100.76万元，比年初预算68.55万元增加32.21万元，增长47%；一般公共服务支出60.46万元，比年初预算44.08万元增加16.38万元，增长37.2%，社会保障和就业支出32.40万元，比年初预算17.97万元增加14.43万元，增长80.3%，卫生和健康支出2.78万元，比年初预算2.29万元增加0.49万元，增长21.4%，住房保障支出5.12万元，比年初预算4.21万元增加0.91万元，增长21.6%；基本支出中的人员经费83.85万元，比年初预算66.15万元增加17.70万元，增长26.8%，公用经费4.51万元，比年初预算4.03万增加0.48万元，增长11.9%；项目支出12.40万元，比年初预算2.40万元增加10万元，增长416.7%。</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（三）部门整体支出绩效目标、指标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2025年，围绕中心，服务大局，充分发挥工商联职能作用，组织学习、培训服务，培训人数达到100人次；推荐非公有制经济人士参政议政；稳步推进组织建设，成立乡镇商会2个；完成新址办公场所搬迁改造。</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二、自评工作开展情况</w:t>
      </w:r>
    </w:p>
    <w:p>
      <w:pPr>
        <w:ind w:firstLine="640" w:firstLineChars="20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（一）自评的组织工作</w:t>
      </w:r>
      <w:bookmarkStart w:id="0" w:name="_GoBack"/>
      <w:bookmarkEnd w:id="0"/>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 xml:space="preserve"> 成立了以党组书记为组长、办公室主任为副组长的绩效评价工作领导小组，具体负责组织和指导工商联绩效自评工作。</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（二）自评的方法和过程</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组织绩效自评小组成员认真学习了县财政局关于专项资金绩效评价的文件精神，明确自评的目的、内容、方法和要求。通过收集资料，查看工作计划、工作实施方案、工作总结、向上级呈报有关项目的请示、 申请、报告、会议记录、会议纪要、财务报表等，对我单位预算执行及财政财务收支等情况进行调查了解，自评小组针对申报内容、实施情况、财务管理、社会效益等做出自我评价，运用定量分析和定性分析相结合的方法做好自评工作。</w:t>
      </w:r>
    </w:p>
    <w:p>
      <w:pPr>
        <w:ind w:firstLine="640"/>
        <w:jc w:val="left"/>
        <w:rPr>
          <w:rFonts w:hint="eastAsia" w:ascii="仿宋" w:hAnsi="仿宋" w:eastAsia="仿宋"/>
          <w:b w:val="0"/>
          <w:bCs w:val="0"/>
          <w:color w:val="auto"/>
          <w:sz w:val="32"/>
          <w:szCs w:val="32"/>
          <w:lang w:val="en-US" w:eastAsia="zh-CN"/>
        </w:rPr>
      </w:pPr>
      <w:r>
        <w:rPr>
          <w:rFonts w:hint="eastAsia" w:ascii="仿宋" w:hAnsi="仿宋" w:eastAsia="仿宋"/>
          <w:b w:val="0"/>
          <w:bCs w:val="0"/>
          <w:color w:val="auto"/>
          <w:sz w:val="32"/>
          <w:szCs w:val="32"/>
          <w:lang w:val="en-US" w:eastAsia="zh-CN"/>
        </w:rPr>
        <w:t xml:space="preserve"> 三、部门整体支出绩效目标实现情况及指标分析</w:t>
      </w:r>
    </w:p>
    <w:p>
      <w:pPr>
        <w:ind w:firstLine="640"/>
        <w:jc w:val="left"/>
        <w:rPr>
          <w:rFonts w:hint="eastAsia" w:ascii="仿宋" w:hAnsi="仿宋" w:eastAsia="仿宋"/>
          <w:b w:val="0"/>
          <w:bCs w:val="0"/>
          <w:color w:val="auto"/>
          <w:sz w:val="32"/>
          <w:szCs w:val="32"/>
          <w:lang w:val="en-US" w:eastAsia="zh-CN"/>
        </w:rPr>
      </w:pPr>
      <w:r>
        <w:rPr>
          <w:rFonts w:hint="eastAsia" w:ascii="仿宋" w:hAnsi="仿宋" w:eastAsia="仿宋"/>
          <w:b w:val="0"/>
          <w:bCs w:val="0"/>
          <w:color w:val="auto"/>
          <w:sz w:val="32"/>
          <w:szCs w:val="32"/>
          <w:lang w:val="en-US" w:eastAsia="zh-CN"/>
        </w:rPr>
        <w:t>（一）总体绩效目标实现情况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围绕中心，服务大局，充分发挥工商联职能作用，多次组织学习、培训服务，培训人数达到100人次；推荐非公有制经济人士参政议政；稳步推进组织建设，成立乡镇商会2个；完成新址办公场所搬迁改造。圆满完成年初既定绩效目标，运行理想。</w:t>
      </w:r>
    </w:p>
    <w:p>
      <w:pPr>
        <w:ind w:firstLine="640"/>
        <w:jc w:val="left"/>
        <w:rPr>
          <w:rFonts w:hint="eastAsia" w:ascii="仿宋" w:hAnsi="仿宋" w:eastAsia="仿宋"/>
          <w:b w:val="0"/>
          <w:bCs w:val="0"/>
          <w:color w:val="auto"/>
          <w:sz w:val="32"/>
          <w:szCs w:val="32"/>
          <w:lang w:val="en-US" w:eastAsia="zh-CN"/>
        </w:rPr>
      </w:pPr>
      <w:r>
        <w:rPr>
          <w:rFonts w:hint="eastAsia" w:ascii="仿宋" w:hAnsi="仿宋" w:eastAsia="仿宋"/>
          <w:b w:val="0"/>
          <w:bCs w:val="0"/>
          <w:color w:val="auto"/>
          <w:sz w:val="32"/>
          <w:szCs w:val="32"/>
          <w:lang w:val="en-US" w:eastAsia="zh-CN"/>
        </w:rPr>
        <w:t>（二）分项绩效目标实现情况及指标分析</w:t>
      </w:r>
    </w:p>
    <w:p>
      <w:pPr>
        <w:ind w:firstLine="640"/>
        <w:jc w:val="left"/>
        <w:rPr>
          <w:rFonts w:hint="eastAsia" w:ascii="仿宋" w:hAnsi="仿宋" w:eastAsia="仿宋"/>
          <w:b w:val="0"/>
          <w:bCs w:val="0"/>
          <w:color w:val="auto"/>
          <w:sz w:val="32"/>
          <w:szCs w:val="32"/>
          <w:lang w:val="en-US" w:eastAsia="zh-CN"/>
        </w:rPr>
      </w:pPr>
      <w:r>
        <w:rPr>
          <w:rFonts w:hint="eastAsia" w:ascii="仿宋" w:hAnsi="仿宋" w:eastAsia="仿宋"/>
          <w:b w:val="0"/>
          <w:bCs w:val="0"/>
          <w:color w:val="auto"/>
          <w:sz w:val="32"/>
          <w:szCs w:val="32"/>
          <w:lang w:val="en-US" w:eastAsia="zh-CN"/>
        </w:rPr>
        <w:t>1、参政议政绩效目标：包括参政议政、社会服务等事项。</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数量指标：组织活动2次，完成率100%。</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质量指标：全部完成年初工作目标，实际完成值100%；</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时效指标：按时完成年初既定绩效目标；</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成本指标：按照预算开展工作，完成率100%。</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2、组织建设绩效目标：包括组织建设及宣传教育、培训等事项。</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数量指标：规范商会建设，筹建成立乡镇商会2个，发展新业态会员，召开学习培训4次，为企业解决实际难题，实现完成率100%。</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质量指标：全部完成年初工作目标，实际完成值100%；</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时效指标：活动参与率100%；</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成本指标：按照预算开展工作，完成率100%。</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3、工商联事务管理绩效目标：保证工商联日常工作的正常运转。</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数量指标：搬迁改造5间办公室，圆满完成各项日常工作，人员工资足额发放，完成率100%。</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质量指标：足额发放工资，机关工作正常运转，各项活动正常开展，实际完成值100%；</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时效指标：按时发放工资，各项工作在年内全部完成，完成率100%；</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成本指标：按照预算开展工作，完成率100%。</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四、评价结论和评价等级</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井陉县工商业联合会认真履行职责职能，严格按照财务规定和制度使用、管理经费，成效明显。会员教育培训、调研、组织建设及新址办公场所搬迁改造等各项工作紧紧围绕着中央和省市县委有关精神的安排与部署，大胆开拓创新，充分发挥职能作用，较好完成各项工作任务，实现了预期目标，按“财政支出绩效评价指标体系”进行综合评价，综合得分100分，评价等次为“优”。</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五、存在的问题及改进措施</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（一）存在的主要问题</w:t>
      </w:r>
    </w:p>
    <w:p>
      <w:pPr>
        <w:ind w:firstLine="640"/>
        <w:jc w:val="left"/>
        <w:rPr>
          <w:rFonts w:hint="eastAsia" w:ascii="仿宋" w:hAnsi="仿宋" w:eastAsia="仿宋"/>
          <w:b w:val="0"/>
          <w:bCs w:val="0"/>
          <w:sz w:val="32"/>
          <w:szCs w:val="32"/>
          <w:lang w:val="en-US" w:eastAsia="zh-CN"/>
        </w:rPr>
      </w:pPr>
      <w:r>
        <w:rPr>
          <w:rFonts w:hint="eastAsia" w:ascii="仿宋" w:hAnsi="仿宋" w:eastAsia="仿宋"/>
          <w:sz w:val="32"/>
          <w:szCs w:val="32"/>
          <w:lang w:val="en-US" w:eastAsia="zh-CN"/>
        </w:rPr>
        <w:t>在绩效设置细节、业务拓展和优化管理流程上还需要进一步改进和完善。</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（二）针对问题提出具体的改进措施或建议</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1、提高预算编制的科学性、合理性、严谨性和可控性。</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2、严格预算执行，提高资金使用效率。在执行预算管理过程中，合理、合规、合法的使用财政资金，进一步加强预算支出的审核、跟踪及预算执行情况分析。</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六、评价工作组人员名单及签字</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何彦生  工商联党组书记</w:t>
      </w:r>
    </w:p>
    <w:p>
      <w:pPr>
        <w:ind w:firstLine="640"/>
        <w:jc w:val="left"/>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梁计廷  工商联办公室主任</w:t>
      </w:r>
    </w:p>
    <w:p>
      <w:pPr>
        <w:ind w:firstLine="640"/>
        <w:jc w:val="left"/>
        <w:rPr>
          <w:rFonts w:hint="eastAsia" w:ascii="仿宋" w:hAnsi="仿宋" w:eastAsia="仿宋"/>
          <w:b w:val="0"/>
          <w:bCs w:val="0"/>
          <w:sz w:val="32"/>
          <w:szCs w:val="32"/>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F46A4D"/>
    <w:multiLevelType w:val="singleLevel"/>
    <w:tmpl w:val="24F46A4D"/>
    <w:lvl w:ilvl="0" w:tentative="0">
      <w:start w:val="2"/>
      <w:numFmt w:val="chineseCounting"/>
      <w:suff w:val="nothing"/>
      <w:lvlText w:val="（%1）"/>
      <w:lvlJc w:val="left"/>
      <w:rPr>
        <w:rFonts w:hint="eastAsia"/>
      </w:rPr>
    </w:lvl>
  </w:abstractNum>
  <w:abstractNum w:abstractNumId="1">
    <w:nsid w:val="7CD825C5"/>
    <w:multiLevelType w:val="singleLevel"/>
    <w:tmpl w:val="7CD825C5"/>
    <w:lvl w:ilvl="0" w:tentative="0">
      <w:start w:val="3"/>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A94E6A"/>
    <w:rsid w:val="07956271"/>
    <w:rsid w:val="09721397"/>
    <w:rsid w:val="0B8803DE"/>
    <w:rsid w:val="0BB63BED"/>
    <w:rsid w:val="0EB97A43"/>
    <w:rsid w:val="0EBD2122"/>
    <w:rsid w:val="0F214EAE"/>
    <w:rsid w:val="115D0283"/>
    <w:rsid w:val="11B71E6A"/>
    <w:rsid w:val="158F5FFD"/>
    <w:rsid w:val="159817E8"/>
    <w:rsid w:val="17C42DC7"/>
    <w:rsid w:val="17F2033E"/>
    <w:rsid w:val="1AAF0063"/>
    <w:rsid w:val="1BBE35C9"/>
    <w:rsid w:val="1BE140DE"/>
    <w:rsid w:val="1E6D00B9"/>
    <w:rsid w:val="200E63A6"/>
    <w:rsid w:val="209754FA"/>
    <w:rsid w:val="248C197D"/>
    <w:rsid w:val="252959AF"/>
    <w:rsid w:val="274067FE"/>
    <w:rsid w:val="277A6671"/>
    <w:rsid w:val="292D35B7"/>
    <w:rsid w:val="2E1D1E0C"/>
    <w:rsid w:val="30874999"/>
    <w:rsid w:val="31151E97"/>
    <w:rsid w:val="318066A5"/>
    <w:rsid w:val="33EB6CFF"/>
    <w:rsid w:val="35A12947"/>
    <w:rsid w:val="37387040"/>
    <w:rsid w:val="3B0548E0"/>
    <w:rsid w:val="3B625C0A"/>
    <w:rsid w:val="3CEE1963"/>
    <w:rsid w:val="3E4C5C3B"/>
    <w:rsid w:val="41643D98"/>
    <w:rsid w:val="436B78D3"/>
    <w:rsid w:val="448E3524"/>
    <w:rsid w:val="4C9C27FE"/>
    <w:rsid w:val="4D7C737A"/>
    <w:rsid w:val="50286A9C"/>
    <w:rsid w:val="512260B4"/>
    <w:rsid w:val="51E270FB"/>
    <w:rsid w:val="52BD6ACB"/>
    <w:rsid w:val="53331A39"/>
    <w:rsid w:val="55537534"/>
    <w:rsid w:val="561A74F1"/>
    <w:rsid w:val="5738078E"/>
    <w:rsid w:val="58812226"/>
    <w:rsid w:val="58BB6D1F"/>
    <w:rsid w:val="59056A0B"/>
    <w:rsid w:val="597244E8"/>
    <w:rsid w:val="5B123328"/>
    <w:rsid w:val="5EB71C30"/>
    <w:rsid w:val="5EE012F2"/>
    <w:rsid w:val="5F044ED6"/>
    <w:rsid w:val="5FCA3E46"/>
    <w:rsid w:val="63F51D96"/>
    <w:rsid w:val="66AF0CE5"/>
    <w:rsid w:val="670F50C6"/>
    <w:rsid w:val="69D1519B"/>
    <w:rsid w:val="6AA27932"/>
    <w:rsid w:val="6AC537CF"/>
    <w:rsid w:val="6E5B14A6"/>
    <w:rsid w:val="6F3E2688"/>
    <w:rsid w:val="711B255E"/>
    <w:rsid w:val="71B23C8C"/>
    <w:rsid w:val="78C9291F"/>
    <w:rsid w:val="7A545FBD"/>
    <w:rsid w:val="7ABA60D8"/>
    <w:rsid w:val="7BB51E06"/>
    <w:rsid w:val="7C387F7C"/>
    <w:rsid w:val="7D6A2FB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正文-公1"/>
    <w:basedOn w:val="3"/>
    <w:next w:val="1"/>
    <w:qFormat/>
    <w:uiPriority w:val="0"/>
    <w:pPr>
      <w:ind w:firstLine="200" w:firstLineChars="200"/>
    </w:pPr>
  </w:style>
  <w:style w:type="paragraph" w:customStyle="1" w:styleId="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
    <w:qFormat/>
    <w:uiPriority w:val="0"/>
    <w:pPr>
      <w:widowControl w:val="0"/>
      <w:jc w:val="both"/>
    </w:pPr>
    <w:rPr>
      <w:rFonts w:ascii="Times New Roman" w:hAnsi="Times New Roman" w:eastAsia="宋体" w:cs="Times New Roman"/>
      <w:kern w:val="2"/>
      <w:sz w:val="21"/>
      <w:lang w:val="en-US" w:eastAsia="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footnote text"/>
    <w:basedOn w:val="1"/>
    <w:qFormat/>
    <w:uiPriority w:val="0"/>
    <w:rPr>
      <w:sz w:val="20"/>
      <w:szCs w:val="20"/>
    </w:rPr>
  </w:style>
  <w:style w:type="paragraph" w:customStyle="1" w:styleId="9">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7</TotalTime>
  <ScaleCrop>false</ScaleCrop>
  <LinksUpToDate>false</LinksUpToDate>
  <CharactersWithSpaces>669</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2026-03-26T01:54:53Z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y fmtid="{D5CDD505-2E9C-101B-9397-08002B2CF9AE}" pid="3" name="ICV">
    <vt:lpwstr>807859DDDB204D7484EDDFBB4E9D1D2E</vt:lpwstr>
  </property>
</Properties>
</file>