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rPr>
          <w:rFonts w:hint="eastAsia" w:ascii="黑体" w:hAnsi="黑体" w:eastAsia="黑体" w:cs="黑体"/>
          <w:b/>
          <w:color w:val="000000"/>
          <w:sz w:val="44"/>
          <w:lang w:eastAsia="zh-CN"/>
        </w:rPr>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w:t>
      </w:r>
      <w:r>
        <w:rPr>
          <w:rFonts w:hint="eastAsia" w:ascii="黑体" w:hAnsi="黑体" w:eastAsia="黑体" w:cs="黑体"/>
          <w:b/>
          <w:color w:val="000000"/>
          <w:sz w:val="44"/>
          <w:lang w:eastAsia="zh-CN"/>
        </w:rPr>
        <w:t>本级及下属单位</w:t>
      </w:r>
    </w:p>
    <w:p>
      <w:pPr>
        <w:spacing w:before="0" w:after="0"/>
        <w:ind w:firstLine="0"/>
        <w:jc w:val="center"/>
      </w:pPr>
      <w:r>
        <w:rPr>
          <w:rFonts w:ascii="黑体" w:hAnsi="黑体" w:eastAsia="黑体" w:cs="黑体"/>
          <w:b/>
          <w:color w:val="000000"/>
          <w:sz w:val="44"/>
        </w:rPr>
        <w:t>预算信息公开目录</w:t>
      </w: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9622"/>
        </w:tabs>
        <w:rPr>
          <w:rFonts w:ascii="方正楷体_GBK" w:hAnsi="方正楷体_GBK" w:eastAsia="方正楷体_GBK" w:cs="方正楷体_GBK"/>
          <w:b/>
          <w:color w:val="000000"/>
          <w:sz w:val="28"/>
        </w:rPr>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2"/>
        </w:rPr>
      </w:pPr>
      <w:bookmarkStart w:id="0" w:name="_Toc_2_2_0000000002"/>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预算</w:t>
      </w:r>
      <w:r>
        <w:rPr>
          <w:rFonts w:hint="eastAsia" w:ascii="方正小标宋_GBK" w:hAnsi="方正小标宋_GBK" w:eastAsia="方正小标宋_GBK" w:cs="方正小标宋_GBK"/>
          <w:color w:val="000000"/>
          <w:sz w:val="32"/>
          <w:lang w:eastAsia="zh-CN"/>
        </w:rPr>
        <w:t>收支</w:t>
      </w:r>
      <w:r>
        <w:rPr>
          <w:rFonts w:ascii="方正小标宋_GBK" w:hAnsi="方正小标宋_GBK" w:eastAsia="方正小标宋_GBK" w:cs="方正小标宋_GBK"/>
          <w:color w:val="000000"/>
          <w:sz w:val="32"/>
        </w:rPr>
        <w:t>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426001井陉县应急管理局本级</w:t>
            </w:r>
          </w:p>
        </w:tc>
        <w:tc>
          <w:tcPr>
            <w:tcW w:w="2126"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6"/>
              <w:ind w:firstLine="0" w:firstLineChars="0"/>
            </w:pPr>
            <w:r>
              <w:t>12585868.80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6"/>
              <w:ind w:firstLine="0" w:firstLineChars="0"/>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ind w:firstLine="0" w:firstLineChars="0"/>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ind w:firstLine="0" w:firstLineChars="0"/>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ind w:firstLine="0" w:firstLineChars="0"/>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ind w:firstLine="0" w:firstLineChars="0"/>
            </w:pPr>
          </w:p>
        </w:tc>
        <w:tc>
          <w:tcPr>
            <w:tcW w:w="4535" w:type="dxa"/>
            <w:vAlign w:val="center"/>
          </w:tcPr>
          <w:p>
            <w:pPr>
              <w:pStyle w:val="13"/>
            </w:pPr>
            <w:r>
              <w:t>六、科学技术支出</w:t>
            </w:r>
          </w:p>
        </w:tc>
        <w:tc>
          <w:tcPr>
            <w:tcW w:w="2126" w:type="dxa"/>
            <w:vAlign w:val="center"/>
          </w:tcPr>
          <w:p>
            <w:pPr>
              <w:pStyle w:val="12"/>
              <w:rPr>
                <w:rFonts w:hint="default" w:eastAsia="方正书宋_GBK"/>
                <w:lang w:val="en-US" w:eastAsia="zh-CN"/>
              </w:rPr>
            </w:pPr>
            <w:r>
              <w:rPr>
                <w:rFonts w:hint="eastAsia"/>
                <w:lang w:val="en-US" w:eastAsia="zh-CN"/>
              </w:rPr>
              <w:t>740000.00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rPr>
                <w:rFonts w:hint="default" w:eastAsia="方正书宋_GBK"/>
                <w:lang w:val="en-US" w:eastAsia="zh-CN"/>
              </w:rPr>
            </w:pPr>
            <w:r>
              <w:rPr>
                <w:rFonts w:hint="eastAsia"/>
                <w:lang w:val="en-US" w:eastAsia="zh-CN"/>
              </w:rPr>
              <w:t>626641.70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rPr>
                <w:rFonts w:hint="default" w:eastAsia="方正书宋_GBK"/>
                <w:lang w:val="en-US" w:eastAsia="zh-CN"/>
              </w:rPr>
            </w:pPr>
            <w:r>
              <w:rPr>
                <w:rFonts w:hint="eastAsia"/>
                <w:lang w:val="en-US" w:eastAsia="zh-CN"/>
              </w:rPr>
              <w:t>198946.70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rPr>
                <w:rFonts w:hint="default" w:eastAsia="方正书宋_GBK"/>
                <w:lang w:val="en-US" w:eastAsia="zh-CN"/>
              </w:rPr>
            </w:pPr>
            <w:r>
              <w:rPr>
                <w:rFonts w:hint="eastAsia"/>
                <w:lang w:val="en-US" w:eastAsia="zh-CN"/>
              </w:rPr>
              <w:t>343412.9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rPr>
                <w:rFonts w:hint="default" w:eastAsia="方正书宋_GBK"/>
                <w:lang w:val="en-US" w:eastAsia="zh-CN"/>
              </w:rPr>
            </w:pPr>
            <w:r>
              <w:rPr>
                <w:rFonts w:hint="eastAsia"/>
                <w:lang w:val="en-US" w:eastAsia="zh-CN"/>
              </w:rPr>
              <w:t>104000.00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rPr>
                <w:rFonts w:hint="default" w:eastAsia="方正书宋_GBK"/>
                <w:lang w:val="en-US" w:eastAsia="zh-CN"/>
              </w:rPr>
            </w:pPr>
            <w:r>
              <w:rPr>
                <w:rFonts w:hint="eastAsia"/>
                <w:lang w:val="en-US" w:eastAsia="zh-CN"/>
              </w:rPr>
              <w:t>10572894.5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12585868.80</w:t>
            </w:r>
          </w:p>
        </w:tc>
        <w:tc>
          <w:tcPr>
            <w:tcW w:w="4535" w:type="dxa"/>
            <w:vAlign w:val="center"/>
          </w:tcPr>
          <w:p>
            <w:pPr>
              <w:pStyle w:val="15"/>
            </w:pPr>
            <w:r>
              <w:t>本年支出合计</w:t>
            </w:r>
          </w:p>
        </w:tc>
        <w:tc>
          <w:tcPr>
            <w:tcW w:w="2126" w:type="dxa"/>
            <w:vAlign w:val="center"/>
          </w:tcPr>
          <w:p>
            <w:pPr>
              <w:pStyle w:val="16"/>
            </w:pPr>
            <w:r>
              <w:t>12585868.80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12585868.80</w:t>
            </w:r>
          </w:p>
        </w:tc>
        <w:tc>
          <w:tcPr>
            <w:tcW w:w="4535" w:type="dxa"/>
            <w:vAlign w:val="center"/>
          </w:tcPr>
          <w:p>
            <w:pPr>
              <w:pStyle w:val="15"/>
            </w:pPr>
            <w:r>
              <w:t>支出总计</w:t>
            </w:r>
          </w:p>
        </w:tc>
        <w:tc>
          <w:tcPr>
            <w:tcW w:w="2126" w:type="dxa"/>
            <w:vAlign w:val="center"/>
          </w:tcPr>
          <w:p>
            <w:pPr>
              <w:pStyle w:val="16"/>
            </w:pPr>
            <w:r>
              <w:t>12585868.80</w:t>
            </w:r>
          </w:p>
        </w:tc>
      </w:tr>
    </w:tbl>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5"/>
        <w:tblpPr w:leftFromText="180" w:rightFromText="180" w:vertAnchor="text" w:horzAnchor="page" w:tblpXSpec="center" w:tblpY="523"/>
        <w:tblOverlap w:val="never"/>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11"/>
        <w:gridCol w:w="1016"/>
        <w:gridCol w:w="1717"/>
        <w:gridCol w:w="1417"/>
        <w:gridCol w:w="1450"/>
        <w:gridCol w:w="1483"/>
        <w:gridCol w:w="983"/>
        <w:gridCol w:w="700"/>
        <w:gridCol w:w="658"/>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211" w:type="dxa"/>
            <w:gridSpan w:val="5"/>
            <w:tcBorders>
              <w:top w:val="single" w:color="FFFFFF" w:sz="6" w:space="0"/>
              <w:left w:val="single" w:color="FFFFFF" w:sz="6" w:space="0"/>
              <w:right w:val="single" w:color="FFFFFF" w:sz="6" w:space="0"/>
            </w:tcBorders>
            <w:vAlign w:val="center"/>
          </w:tcPr>
          <w:p>
            <w:pPr>
              <w:pStyle w:val="10"/>
            </w:pPr>
            <w:bookmarkStart w:id="1" w:name="_Toc_2_2_0000000004"/>
            <w:r>
              <w:t>426001井陉县应急管理局本级</w:t>
            </w:r>
          </w:p>
        </w:tc>
        <w:tc>
          <w:tcPr>
            <w:tcW w:w="3166" w:type="dxa"/>
            <w:gridSpan w:val="3"/>
            <w:tcBorders>
              <w:top w:val="single" w:color="FFFFFF" w:sz="6" w:space="0"/>
              <w:left w:val="single" w:color="FFFFFF" w:sz="6" w:space="0"/>
              <w:right w:val="single" w:color="FFFFFF" w:sz="6" w:space="0"/>
            </w:tcBorders>
            <w:vAlign w:val="center"/>
          </w:tcPr>
          <w:p>
            <w:pPr>
              <w:pStyle w:val="18"/>
              <w:rPr>
                <w:rFonts w:hint="eastAsia" w:eastAsia="方正小标宋_GBK"/>
                <w:lang w:val="en-US" w:eastAsia="zh-CN"/>
              </w:rPr>
            </w:pPr>
            <w:r>
              <w:t>预算年度：202</w:t>
            </w:r>
            <w:r>
              <w:rPr>
                <w:rFonts w:hint="eastAsia"/>
                <w:lang w:val="en-US" w:eastAsia="zh-CN"/>
              </w:rPr>
              <w:t>6</w:t>
            </w:r>
          </w:p>
        </w:tc>
        <w:tc>
          <w:tcPr>
            <w:tcW w:w="5194" w:type="dxa"/>
            <w:gridSpan w:val="5"/>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Merge w:val="restart"/>
            <w:vAlign w:val="center"/>
          </w:tcPr>
          <w:p>
            <w:pPr>
              <w:pStyle w:val="11"/>
            </w:pPr>
            <w:r>
              <w:t>序号</w:t>
            </w:r>
          </w:p>
        </w:tc>
        <w:tc>
          <w:tcPr>
            <w:tcW w:w="2733" w:type="dxa"/>
            <w:gridSpan w:val="2"/>
            <w:vAlign w:val="center"/>
          </w:tcPr>
          <w:p>
            <w:pPr>
              <w:pStyle w:val="11"/>
            </w:pPr>
            <w:r>
              <w:t>功能分类科目</w:t>
            </w:r>
          </w:p>
        </w:tc>
        <w:tc>
          <w:tcPr>
            <w:tcW w:w="1417" w:type="dxa"/>
            <w:vMerge w:val="restart"/>
            <w:vAlign w:val="center"/>
          </w:tcPr>
          <w:p>
            <w:pPr>
              <w:pStyle w:val="11"/>
            </w:pPr>
            <w:r>
              <w:t>合计</w:t>
            </w:r>
          </w:p>
        </w:tc>
        <w:tc>
          <w:tcPr>
            <w:tcW w:w="8676"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Merge w:val="continue"/>
            <w:vAlign w:val="center"/>
          </w:tcPr>
          <w:p/>
        </w:tc>
        <w:tc>
          <w:tcPr>
            <w:tcW w:w="1016" w:type="dxa"/>
            <w:vAlign w:val="center"/>
          </w:tcPr>
          <w:p>
            <w:pPr>
              <w:pStyle w:val="11"/>
            </w:pPr>
            <w:r>
              <w:t>科目    编码</w:t>
            </w:r>
          </w:p>
        </w:tc>
        <w:tc>
          <w:tcPr>
            <w:tcW w:w="1717" w:type="dxa"/>
            <w:vAlign w:val="center"/>
          </w:tcPr>
          <w:p>
            <w:pPr>
              <w:pStyle w:val="11"/>
            </w:pPr>
            <w:r>
              <w:t>科目名称</w:t>
            </w:r>
          </w:p>
        </w:tc>
        <w:tc>
          <w:tcPr>
            <w:tcW w:w="1417" w:type="dxa"/>
            <w:vMerge w:val="continue"/>
            <w:vAlign w:val="center"/>
          </w:tcPr>
          <w:p/>
        </w:tc>
        <w:tc>
          <w:tcPr>
            <w:tcW w:w="1450" w:type="dxa"/>
            <w:vAlign w:val="center"/>
          </w:tcPr>
          <w:p>
            <w:pPr>
              <w:pStyle w:val="11"/>
            </w:pPr>
            <w:r>
              <w:t>小计</w:t>
            </w:r>
          </w:p>
        </w:tc>
        <w:tc>
          <w:tcPr>
            <w:tcW w:w="1483" w:type="dxa"/>
            <w:vAlign w:val="center"/>
          </w:tcPr>
          <w:p>
            <w:pPr>
              <w:pStyle w:val="11"/>
            </w:pPr>
            <w:r>
              <w:t>财政拨款 收入</w:t>
            </w:r>
          </w:p>
        </w:tc>
        <w:tc>
          <w:tcPr>
            <w:tcW w:w="983" w:type="dxa"/>
            <w:vAlign w:val="center"/>
          </w:tcPr>
          <w:p>
            <w:pPr>
              <w:pStyle w:val="11"/>
            </w:pPr>
            <w:r>
              <w:t>财政专户 收入</w:t>
            </w:r>
          </w:p>
        </w:tc>
        <w:tc>
          <w:tcPr>
            <w:tcW w:w="700" w:type="dxa"/>
            <w:vAlign w:val="center"/>
          </w:tcPr>
          <w:p>
            <w:pPr>
              <w:pStyle w:val="11"/>
            </w:pPr>
            <w:r>
              <w:t>事业收入</w:t>
            </w:r>
          </w:p>
        </w:tc>
        <w:tc>
          <w:tcPr>
            <w:tcW w:w="658"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vAlign w:val="center"/>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Align w:val="center"/>
          </w:tcPr>
          <w:p>
            <w:pPr>
              <w:pStyle w:val="11"/>
            </w:pPr>
            <w:r>
              <w:t>栏次</w:t>
            </w:r>
          </w:p>
        </w:tc>
        <w:tc>
          <w:tcPr>
            <w:tcW w:w="1016" w:type="dxa"/>
            <w:vAlign w:val="center"/>
          </w:tcPr>
          <w:p>
            <w:pPr>
              <w:pStyle w:val="11"/>
            </w:pPr>
            <w:r>
              <w:t>1</w:t>
            </w:r>
          </w:p>
        </w:tc>
        <w:tc>
          <w:tcPr>
            <w:tcW w:w="1717" w:type="dxa"/>
            <w:vAlign w:val="center"/>
          </w:tcPr>
          <w:p>
            <w:pPr>
              <w:pStyle w:val="11"/>
            </w:pPr>
            <w:r>
              <w:t>2</w:t>
            </w:r>
          </w:p>
        </w:tc>
        <w:tc>
          <w:tcPr>
            <w:tcW w:w="1417" w:type="dxa"/>
            <w:vAlign w:val="center"/>
          </w:tcPr>
          <w:p>
            <w:pPr>
              <w:pStyle w:val="11"/>
            </w:pPr>
            <w:r>
              <w:t>3</w:t>
            </w:r>
          </w:p>
        </w:tc>
        <w:tc>
          <w:tcPr>
            <w:tcW w:w="1450" w:type="dxa"/>
            <w:vAlign w:val="center"/>
          </w:tcPr>
          <w:p>
            <w:pPr>
              <w:pStyle w:val="11"/>
            </w:pPr>
            <w:r>
              <w:t>4</w:t>
            </w:r>
          </w:p>
        </w:tc>
        <w:tc>
          <w:tcPr>
            <w:tcW w:w="1483" w:type="dxa"/>
            <w:vAlign w:val="center"/>
          </w:tcPr>
          <w:p>
            <w:pPr>
              <w:pStyle w:val="11"/>
            </w:pPr>
            <w:r>
              <w:t>5</w:t>
            </w:r>
          </w:p>
        </w:tc>
        <w:tc>
          <w:tcPr>
            <w:tcW w:w="983" w:type="dxa"/>
            <w:vAlign w:val="center"/>
          </w:tcPr>
          <w:p>
            <w:pPr>
              <w:pStyle w:val="11"/>
            </w:pPr>
            <w:r>
              <w:t>6</w:t>
            </w:r>
          </w:p>
        </w:tc>
        <w:tc>
          <w:tcPr>
            <w:tcW w:w="700" w:type="dxa"/>
            <w:vAlign w:val="center"/>
          </w:tcPr>
          <w:p>
            <w:pPr>
              <w:pStyle w:val="11"/>
            </w:pPr>
            <w:r>
              <w:t>7</w:t>
            </w:r>
          </w:p>
        </w:tc>
        <w:tc>
          <w:tcPr>
            <w:tcW w:w="658"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pStyle w:val="14"/>
              <w:jc w:val="center"/>
            </w:pPr>
            <w:r>
              <w:t>1</w:t>
            </w:r>
          </w:p>
        </w:tc>
        <w:tc>
          <w:tcPr>
            <w:tcW w:w="1016" w:type="dxa"/>
            <w:vAlign w:val="center"/>
          </w:tcPr>
          <w:p>
            <w:pPr>
              <w:pStyle w:val="14"/>
              <w:jc w:val="center"/>
            </w:pP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983" w:type="dxa"/>
            <w:vAlign w:val="center"/>
          </w:tcPr>
          <w:p>
            <w:pPr>
              <w:pStyle w:val="16"/>
            </w:pPr>
          </w:p>
        </w:tc>
        <w:tc>
          <w:tcPr>
            <w:tcW w:w="700" w:type="dxa"/>
            <w:vAlign w:val="center"/>
          </w:tcPr>
          <w:p>
            <w:pPr>
              <w:pStyle w:val="16"/>
            </w:pPr>
          </w:p>
        </w:tc>
        <w:tc>
          <w:tcPr>
            <w:tcW w:w="65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3</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4</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2060503</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5</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6</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8</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9</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20899</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2089999</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12</w:t>
            </w:r>
          </w:p>
        </w:tc>
        <w:tc>
          <w:tcPr>
            <w:tcW w:w="1016" w:type="dxa"/>
            <w:vAlign w:val="center"/>
          </w:tcPr>
          <w:p>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21011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bookmarkStart w:id="2" w:name="_Toc_2_2_0000000003"/>
            <w:r>
              <w:rPr>
                <w:rFonts w:hint="eastAsia" w:ascii="方正书宋_GBK" w:hAnsi="方正书宋_GBK" w:eastAsia="方正书宋_GBK" w:cs="方正书宋_GBK"/>
                <w:sz w:val="21"/>
                <w:szCs w:val="24"/>
                <w:lang w:val="en-US" w:eastAsia="zh-CN" w:bidi="ar-SA"/>
              </w:rPr>
              <w:t>29</w:t>
            </w:r>
          </w:p>
        </w:tc>
        <w:tc>
          <w:tcPr>
            <w:tcW w:w="1016"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2240703</w:t>
            </w:r>
          </w:p>
        </w:tc>
        <w:tc>
          <w:tcPr>
            <w:tcW w:w="17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w:t>
            </w:r>
            <w:r>
              <w:rPr>
                <w:rFonts w:hint="eastAsia" w:ascii="方正书宋_GBK" w:hAnsi="方正书宋_GBK" w:eastAsia="方正书宋_GBK" w:cs="方正书宋_GBK"/>
                <w:sz w:val="21"/>
                <w:szCs w:val="24"/>
                <w:lang w:val="en-US" w:eastAsia="zh-CN" w:bidi="ar-SA"/>
              </w:rPr>
              <w:t>补助</w:t>
            </w:r>
          </w:p>
        </w:tc>
        <w:tc>
          <w:tcPr>
            <w:tcW w:w="1417"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50"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83"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983" w:type="dxa"/>
            <w:vAlign w:val="center"/>
          </w:tcPr>
          <w:p>
            <w:pPr>
              <w:pStyle w:val="12"/>
            </w:pPr>
          </w:p>
        </w:tc>
        <w:tc>
          <w:tcPr>
            <w:tcW w:w="700" w:type="dxa"/>
            <w:vAlign w:val="center"/>
          </w:tcPr>
          <w:p>
            <w:pPr>
              <w:pStyle w:val="12"/>
            </w:pPr>
          </w:p>
        </w:tc>
        <w:tc>
          <w:tcPr>
            <w:tcW w:w="658"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722" w:type="dxa"/>
            <w:gridSpan w:val="2"/>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8093744.00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2060503</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2089999</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7249744.00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992"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2240703</w:t>
            </w:r>
          </w:p>
        </w:tc>
        <w:tc>
          <w:tcPr>
            <w:tcW w:w="4535"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自然灾害救灾补助</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3402"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一、一般公共服务支出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二、政府性基金预算拨款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二、外交支出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三、国有资本经营预算拨款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三、国防支出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四、公共安全支出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五、教育支出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六、科学技术支出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七、文化旅游体育与传媒支出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八、社会保障和就业支出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九、社会保险基金支出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十、卫生健康支出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十一、节能环保支出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十二、城乡社区支出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十三、农林水支出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十四、交通运输支出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十五、资源勘探工业信息等支出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十六、商业服务业等支出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十七、金融支出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十八、援助其他地区支出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十九、自然资源海洋气象等支出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二十、住房保障支出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二十一、粮油物资储备支出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二十二、国有资本经营预算支出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二十三、灾害防治及应急管理支出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二十四、预备费</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二十五、其他支出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二十六、转移性支出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二十七、债务还本支出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二十八、债务付息支出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二十九、债务发行费用支出</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三十、人行科目</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31</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本年收入合计</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本年支出合计</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年初财政拨款结转和结余</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年末财政拨款结转和结余</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二、政府性基金预算拨款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w:t>
            </w:r>
          </w:p>
        </w:tc>
        <w:tc>
          <w:tcPr>
            <w:tcW w:w="3402"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三、国有资本经营预算拨款</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36</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收入总计</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支出总计</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55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jc w:val="center"/>
            </w:pPr>
            <w:r>
              <w:t>3</w:t>
            </w:r>
          </w:p>
        </w:tc>
        <w:tc>
          <w:tcPr>
            <w:tcW w:w="2551" w:type="dxa"/>
            <w:vAlign w:val="center"/>
          </w:tcPr>
          <w:p>
            <w:pPr>
              <w:pStyle w:val="11"/>
              <w:jc w:val="center"/>
            </w:pPr>
            <w:r>
              <w:t>4</w:t>
            </w:r>
          </w:p>
        </w:tc>
        <w:tc>
          <w:tcPr>
            <w:tcW w:w="2551" w:type="dxa"/>
            <w:vAlign w:val="center"/>
          </w:tcPr>
          <w:p>
            <w:pPr>
              <w:pStyle w:val="11"/>
              <w:jc w:val="center"/>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8093744.00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2060503</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2089999</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7249744.00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pPr>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1191"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2240703</w:t>
            </w:r>
          </w:p>
        </w:tc>
        <w:tc>
          <w:tcPr>
            <w:tcW w:w="4535" w:type="dxa"/>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自然灾害救灾补助</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55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4244894.80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工资福利支出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4066431.40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4066431.40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30101</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基本工资</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1460136.00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1460136.00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津贴补贴</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500346.50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500346.50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30103</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奖金</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326402.00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326402.00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30107</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绩效工资</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789036.00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789036.00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30108</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30110</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职工基本医疗保险缴费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其他社会保障缴费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30113</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商品和服务支出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30201</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办公费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印刷费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30205</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水费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30206</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电费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10000.00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30207</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邮电费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56520.00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56520.00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30227</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委托业务费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3407.00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3407.00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30228</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工会经费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37873.00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37873.00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30231</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公务用车运行维护费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19430.00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19430.00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30239</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其他交通费用</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105600.00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30299</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其他商品和服务支出</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2400.00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303</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对个人和家庭的补助</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23</w:t>
            </w:r>
          </w:p>
        </w:tc>
        <w:tc>
          <w:tcPr>
            <w:tcW w:w="119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30302</w:t>
            </w:r>
          </w:p>
        </w:tc>
        <w:tc>
          <w:tcPr>
            <w:tcW w:w="4535"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退休费</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55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55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426001井陉县应急管理局本级</w:t>
            </w:r>
          </w:p>
        </w:tc>
        <w:tc>
          <w:tcPr>
            <w:tcW w:w="2381" w:type="dxa"/>
            <w:tcBorders>
              <w:top w:val="single" w:color="FFFFFF" w:sz="6" w:space="0"/>
              <w:left w:val="single" w:color="FFFFFF" w:sz="6" w:space="0"/>
              <w:right w:val="single" w:color="FFFFFF" w:sz="6" w:space="0"/>
            </w:tcBorders>
            <w:vAlign w:val="center"/>
          </w:tcPr>
          <w:p>
            <w:pPr>
              <w:pStyle w:val="1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r>
              <w:t>1</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合计</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r>
              <w:t>2</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“三公”经费小计</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r>
              <w:t>3</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一、因公出国（境）费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r>
              <w:t>4</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r>
              <w:t>5</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r>
              <w:t>6</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r>
              <w:t>7</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r>
              <w:t>8</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pPr>
              <w:pStyle w:val="14"/>
            </w:pPr>
            <w:r>
              <w:t>9</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三、公务接待费</w:t>
            </w:r>
          </w:p>
        </w:tc>
        <w:tc>
          <w:tcPr>
            <w:tcW w:w="2381" w:type="dxa"/>
            <w:vAlign w:val="top"/>
          </w:tcPr>
          <w:p/>
        </w:tc>
        <w:tc>
          <w:tcPr>
            <w:tcW w:w="2381" w:type="dxa"/>
            <w:vAlign w:val="top"/>
          </w:tc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井陉县应急管理局2025年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bookmarkEnd w:id="1"/>
    <w:p>
      <w:pPr>
        <w:spacing w:before="0" w:after="0"/>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4"/>
      </w:pPr>
      <w:bookmarkStart w:id="3" w:name="_Toc_4_4_0000000010"/>
      <w:r>
        <w:rPr>
          <w:rFonts w:ascii="方正小标宋_GBK" w:hAnsi="方正小标宋_GBK" w:eastAsia="方正小标宋_GBK" w:cs="方正小标宋_GBK"/>
          <w:b w:val="0"/>
          <w:color w:val="000000"/>
          <w:sz w:val="44"/>
        </w:rPr>
        <w:t>井陉县应急管理局本级202</w:t>
      </w:r>
      <w:r>
        <w:rPr>
          <w:rFonts w:hint="eastAsia" w:ascii="方正小标宋_GBK" w:hAnsi="方正小标宋_GBK" w:eastAsia="方正小标宋_GBK" w:cs="方正小标宋_GBK"/>
          <w:b w:val="0"/>
          <w:color w:val="000000"/>
          <w:sz w:val="44"/>
          <w:lang w:val="en-US" w:eastAsia="zh-CN"/>
        </w:rPr>
        <w:t>6</w:t>
      </w:r>
      <w:r>
        <w:rPr>
          <w:rFonts w:ascii="方正小标宋_GBK" w:hAnsi="方正小标宋_GBK" w:eastAsia="方正小标宋_GBK" w:cs="方正小标宋_GBK"/>
          <w:b w:val="0"/>
          <w:color w:val="000000"/>
          <w:sz w:val="44"/>
        </w:rPr>
        <w:t>年单位预算信息公开情况说明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按照《中华人民共和国预算法》、《地方预决算公开操作规程》和《关于进一步推进预算公开工作的实施意见》规定，现将井陉县应急管理局</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202</w:t>
      </w:r>
      <w:r>
        <w:rPr>
          <w:rFonts w:hint="eastAsia" w:eastAsia="方正仿宋_GBK" w:cs="Times New Roman"/>
          <w:color w:val="000000"/>
          <w:sz w:val="28"/>
          <w:lang w:val="en-US" w:eastAsia="zh-CN"/>
        </w:rPr>
        <w:t>6</w:t>
      </w:r>
      <w:r>
        <w:rPr>
          <w:rFonts w:ascii="Times New Roman" w:hAnsi="Times New Roman" w:eastAsia="方正仿宋_GBK" w:cs="Times New Roman"/>
          <w:color w:val="000000"/>
          <w:sz w:val="28"/>
        </w:rPr>
        <w:t>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4"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4"/>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bookmarkEnd w:id="3"/>
    <w:p>
      <w:pPr>
        <w:pStyle w:val="8"/>
      </w:pPr>
      <w:r>
        <w:t>根据三定方案，我</w:t>
      </w:r>
      <w:r>
        <w:rPr>
          <w:rFonts w:hint="eastAsia"/>
          <w:lang w:eastAsia="zh-CN"/>
        </w:rPr>
        <w:t>单位</w:t>
      </w:r>
      <w:r>
        <w:t>工作职责包括以下方面：贯彻落实党中央、省委、市委和县委关于应急管理工作的方针政策和决策部署，坚持和加强党对应急管理工作的集中统一领导。主要职责是：</w:t>
      </w:r>
    </w:p>
    <w:p>
      <w:pPr>
        <w:pStyle w:val="8"/>
      </w:pPr>
      <w:r>
        <w:t>（一）负责应急管理工作，指导全县各级各</w:t>
      </w:r>
      <w:r>
        <w:rPr>
          <w:rFonts w:hint="eastAsia"/>
          <w:lang w:eastAsia="zh-CN"/>
        </w:rPr>
        <w:t>单位</w:t>
      </w:r>
      <w:r>
        <w:t>应对安全生产类、自然灾害类等突发事件和综合防灾减灾救灾工作；负责安全生产综合监督管理和工矿商贸行业安全生产监督管理工作。</w:t>
      </w:r>
    </w:p>
    <w:p>
      <w:pPr>
        <w:pStyle w:val="8"/>
      </w:pPr>
      <w:r>
        <w:t>（二）贯彻落实应急管理、安全生产等政策规定，组织编制县应急体系建设、安全生产和综合防灾减灾规划，起草政府规章草案，组织执行相关具体规程和标准并监督实施。</w:t>
      </w:r>
    </w:p>
    <w:p>
      <w:pPr>
        <w:pStyle w:val="8"/>
      </w:pPr>
      <w:r>
        <w:t>（三）负责应急预案体系建设，完善事故灾难和自然灾害分级应对制度，组织编制县总体应急预案和安全生产类、自然灾害类专项预案，综合协调应急预案衔接工作，组织开展预案演练，推动应急避难设施建设。</w:t>
      </w:r>
    </w:p>
    <w:p>
      <w:pPr>
        <w:pStyle w:val="8"/>
      </w:pPr>
      <w:r>
        <w:t>（四）与国家、省和市系统对接，建立完善全县应急管理信息系统，负责管辖范围内的信息传输渠道的规划和布局；建立监测预警和灾情报告制度，健全自然灾害信息资源获取和共享机制，依法统一发布灾情。</w:t>
      </w:r>
    </w:p>
    <w:p>
      <w:pPr>
        <w:pStyle w:val="8"/>
      </w:pPr>
      <w:r>
        <w:t>（五）组织协调安全生产类、自然灾害类等突发事件应急救援，综合研判突发事件发展态势并提出应对建议，协助县委、县政府指定的负责同志组织重大灾害应急处置工作。</w:t>
      </w:r>
    </w:p>
    <w:p>
      <w:pPr>
        <w:pStyle w:val="8"/>
      </w:pPr>
      <w:r>
        <w:t>（六）统一协调指挥各类应急专业队伍，建立应急协调联动机制，推进指挥平台对接，衔接驻井解放军和武警部队参与应急救援工作。</w:t>
      </w:r>
    </w:p>
    <w:p>
      <w:pPr>
        <w:pStyle w:val="8"/>
      </w:pPr>
      <w:r>
        <w:t>（七）统筹应急救援力量建设，负责消防、森林和草原等火灾扑救、抗洪抢险、地震和地质灾害救援、生产安全事故救援等专业应急救援力量建设，指导各级及社会应急救援力量建设。</w:t>
      </w:r>
    </w:p>
    <w:p>
      <w:pPr>
        <w:pStyle w:val="8"/>
      </w:pPr>
      <w:r>
        <w:t>（八）组织协调消防工作，指导全县消防监督、火灾预防、火灾扑救等工作。</w:t>
      </w:r>
    </w:p>
    <w:p>
      <w:pPr>
        <w:pStyle w:val="8"/>
      </w:pPr>
      <w:r>
        <w:t>（九）组织协调森林和草原火灾、水旱灾害、地震和地质灾害等防治工作，负责自然灾害综合监测预警工作，负责开展自然灾害综合风险评估工作。</w:t>
      </w:r>
    </w:p>
    <w:p>
      <w:pPr>
        <w:pStyle w:val="8"/>
      </w:pPr>
      <w:r>
        <w:t>（十）组织协调灾害救助工作，负责灾情核查、损失评估、救灾捐赠工作，管理、分配救灾款物并监督使用。</w:t>
      </w:r>
    </w:p>
    <w:p>
      <w:pPr>
        <w:pStyle w:val="8"/>
      </w:pPr>
      <w:r>
        <w:t>（十一）依法行使安全生产综合监督管理职权，指导协调、监督检查各乡镇政府</w:t>
      </w:r>
      <w:r>
        <w:rPr>
          <w:rFonts w:hint="eastAsia"/>
          <w:lang w:eastAsia="zh-CN"/>
        </w:rPr>
        <w:t>及</w:t>
      </w:r>
      <w:r>
        <w:t>县直有关</w:t>
      </w:r>
      <w:r>
        <w:rPr>
          <w:rFonts w:hint="eastAsia"/>
          <w:lang w:eastAsia="zh-CN"/>
        </w:rPr>
        <w:t>单位</w:t>
      </w:r>
      <w:r>
        <w:t>的安全生产工作，组织开展安全生产巡查、考核工作。</w:t>
      </w:r>
    </w:p>
    <w:p>
      <w:pPr>
        <w:pStyle w:val="8"/>
      </w:pPr>
      <w:r>
        <w:t>（十二）按照分级、属地原则，依法监督检查工矿商贸生产经营单位贯彻执行安全生产法律法规情况，及其安全生产条件和有关设备（特种设备除外）、材料、劳动防护用品的安全生产管理工作；负责监督管理工矿商贸行业企业和驻井企业的安全生产工作；负责危险化学品安全监督管理综合工作和烟花爆竹安全生产监督管理工作。</w:t>
      </w:r>
    </w:p>
    <w:p>
      <w:pPr>
        <w:pStyle w:val="8"/>
      </w:pPr>
      <w:r>
        <w:t>（十三）依法开展生产安全事故调查处理，监督事故查处和责任追究落实情况；组织开展自然灾害类突发事件的调查评估工作。</w:t>
      </w:r>
    </w:p>
    <w:p>
      <w:pPr>
        <w:pStyle w:val="8"/>
      </w:pPr>
      <w:r>
        <w:t>（十四）制定应急物资储备和应急救援装备规划并组织实施，会同县发展和改革局（县粮食和物资储备局）建立健全应急物资信息平台和调拨制度，在救灾时统一调度。</w:t>
      </w:r>
    </w:p>
    <w:p>
      <w:pPr>
        <w:pStyle w:val="8"/>
      </w:pPr>
      <w:r>
        <w:t>（十五）负责应急管理、安全生产宣传教育和培训工作，负责应急管理、安全生产新技术的推广应用和信息化建设工作。</w:t>
      </w:r>
    </w:p>
    <w:p>
      <w:pPr>
        <w:pStyle w:val="8"/>
      </w:pPr>
      <w:r>
        <w:t>（十六）负责组织协调和监督全县安全生产行政执法工作，组织开展对辖区安全生产重点企业的执法检查和抽查。</w:t>
      </w:r>
    </w:p>
    <w:p>
      <w:pPr>
        <w:pStyle w:val="8"/>
      </w:pPr>
      <w:r>
        <w:t>（十七）组织开展应急管理方面的区域交流与合作。</w:t>
      </w:r>
    </w:p>
    <w:p>
      <w:pPr>
        <w:ind w:firstLine="560" w:firstLineChars="20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pPr>
              <w:pStyle w:val="13"/>
            </w:pPr>
            <w:r>
              <w:t>井陉县应急管理局本级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pPr>
              <w:pStyle w:val="13"/>
            </w:pPr>
            <w:bookmarkStart w:id="5" w:name="_Toc_3_3_0000000011"/>
            <w:r>
              <w:t>井陉县安全生产监督综合执法大队</w:t>
            </w:r>
          </w:p>
        </w:tc>
        <w:tc>
          <w:tcPr>
            <w:tcW w:w="1843" w:type="dxa"/>
            <w:vAlign w:val="center"/>
          </w:tcPr>
          <w:p>
            <w:pPr>
              <w:pStyle w:val="14"/>
              <w:ind w:firstLine="0" w:firstLineChars="0"/>
            </w:pPr>
            <w:r>
              <w:t>事业</w:t>
            </w:r>
          </w:p>
        </w:tc>
        <w:tc>
          <w:tcPr>
            <w:tcW w:w="2126" w:type="dxa"/>
            <w:vAlign w:val="center"/>
          </w:tcPr>
          <w:p>
            <w:pPr>
              <w:pStyle w:val="14"/>
              <w:ind w:firstLine="0" w:firstLineChars="0"/>
            </w:pPr>
            <w:r>
              <w:t>正科级</w:t>
            </w:r>
          </w:p>
        </w:tc>
        <w:tc>
          <w:tcPr>
            <w:tcW w:w="3827" w:type="dxa"/>
            <w:vAlign w:val="center"/>
          </w:tcPr>
          <w:p>
            <w:pPr>
              <w:pStyle w:val="14"/>
              <w:ind w:firstLine="0" w:firstLineChars="0"/>
            </w:pPr>
            <w:r>
              <w:t>财政性资金基本保证</w:t>
            </w:r>
          </w:p>
        </w:tc>
      </w:tr>
    </w:tbl>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5"/>
    </w:p>
    <w:p>
      <w:pPr>
        <w:pStyle w:val="20"/>
      </w:pPr>
      <w:r>
        <w:t>按照预算管理有关规定，目前</w:t>
      </w:r>
      <w:r>
        <w:rPr>
          <w:rFonts w:hint="eastAsia"/>
          <w:lang w:eastAsia="zh-CN"/>
        </w:rPr>
        <w:t>单位</w:t>
      </w:r>
      <w:r>
        <w:t>预算的编制实行综合预算管理，即全部收入和支出都反映在预算中。井陉县应急管理局机关及所属事业单位的收支包含在</w:t>
      </w:r>
      <w:r>
        <w:rPr>
          <w:rFonts w:hint="eastAsia"/>
          <w:lang w:eastAsia="zh-CN"/>
        </w:rPr>
        <w:t>单位</w:t>
      </w:r>
      <w:r>
        <w:t>预算中。</w:t>
      </w:r>
    </w:p>
    <w:p>
      <w:pPr>
        <w:pStyle w:val="20"/>
      </w:pPr>
      <w:r>
        <w:t>1、收入说明</w:t>
      </w:r>
    </w:p>
    <w:p>
      <w:pPr>
        <w:pStyle w:val="20"/>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12585868.80</w:t>
      </w:r>
      <w:r>
        <w:t>元，其中：一般公共预算收入</w:t>
      </w:r>
      <w:r>
        <w:rPr>
          <w:rFonts w:hint="eastAsia"/>
          <w:lang w:val="en-US" w:eastAsia="zh-CN"/>
        </w:rPr>
        <w:t>12585868.80</w:t>
      </w:r>
      <w:r>
        <w:t>元，基金预算收入0.00元，国有资本经营预算收入0.00元，财政专户核拨收入0.00元，单位资金收入0.00元，上年结转结余0</w:t>
      </w:r>
      <w:r>
        <w:rPr>
          <w:rFonts w:hint="eastAsia"/>
          <w:lang w:val="en-US" w:eastAsia="zh-CN"/>
        </w:rPr>
        <w:t>.00</w:t>
      </w:r>
      <w:r>
        <w:t>元。</w:t>
      </w:r>
    </w:p>
    <w:p>
      <w:pPr>
        <w:pStyle w:val="20"/>
      </w:pPr>
      <w:r>
        <w:t>2、支出说明</w:t>
      </w:r>
    </w:p>
    <w:p>
      <w:pPr>
        <w:pStyle w:val="20"/>
        <w:rPr>
          <w:rFonts w:hint="eastAsia"/>
          <w:lang w:val="en-US" w:eastAsia="zh-CN"/>
        </w:rPr>
      </w:pPr>
      <w:r>
        <w:t>收支预算总表支出栏、基本支出表、项目支出表按经济分类和支出功能分类科目编制，反映井陉县应急管理局年度</w:t>
      </w:r>
      <w:r>
        <w:rPr>
          <w:rFonts w:hint="eastAsia"/>
          <w:lang w:eastAsia="zh-CN"/>
        </w:rPr>
        <w:t>单位</w:t>
      </w:r>
      <w:r>
        <w:t>预算中支出预算的总体情况。202</w:t>
      </w:r>
      <w:r>
        <w:rPr>
          <w:rFonts w:hint="eastAsia"/>
          <w:lang w:val="en-US" w:eastAsia="zh-CN"/>
        </w:rPr>
        <w:t>6</w:t>
      </w:r>
      <w:r>
        <w:t>年支出预算</w:t>
      </w:r>
      <w:r>
        <w:rPr>
          <w:rFonts w:hint="eastAsia"/>
          <w:lang w:val="en-US" w:eastAsia="zh-CN"/>
        </w:rPr>
        <w:t>12585868.80</w:t>
      </w:r>
      <w:r>
        <w:t>元，其中基本支出</w:t>
      </w:r>
      <w:r>
        <w:rPr>
          <w:rFonts w:hint="eastAsia"/>
          <w:lang w:val="en-US" w:eastAsia="zh-CN"/>
        </w:rPr>
        <w:t>4492124.80</w:t>
      </w:r>
      <w:r>
        <w:t>元，包括人员经费</w:t>
      </w:r>
      <w:r>
        <w:rPr>
          <w:rFonts w:hint="eastAsia"/>
          <w:lang w:val="en-US" w:eastAsia="zh-CN"/>
        </w:rPr>
        <w:t>4244894.80</w:t>
      </w:r>
      <w:r>
        <w:t>元和日常公用经费</w:t>
      </w:r>
      <w:r>
        <w:rPr>
          <w:rFonts w:hint="eastAsia"/>
          <w:lang w:val="en-US" w:eastAsia="zh-CN"/>
        </w:rPr>
        <w:t>247230.00</w:t>
      </w:r>
      <w:r>
        <w:t>元；项目支出</w:t>
      </w:r>
      <w:r>
        <w:rPr>
          <w:rFonts w:hint="eastAsia"/>
          <w:lang w:val="en-US" w:eastAsia="zh-CN"/>
        </w:rPr>
        <w:t>8093744.00</w:t>
      </w:r>
      <w:r>
        <w:t>元，主要为</w:t>
      </w:r>
      <w:r>
        <w:rPr>
          <w:rFonts w:hint="eastAsia"/>
        </w:rPr>
        <w:t>森林消防大队人员经费（森林消防员）</w:t>
      </w:r>
      <w:r>
        <w:rPr>
          <w:rFonts w:hint="eastAsia"/>
          <w:lang w:val="en-US" w:eastAsia="zh-CN"/>
        </w:rPr>
        <w:t>5170000.00元、冀财建[2025]217号关于提前下达2026年自然灾害救助资金（农房保险试点补助经费）的通知588744.00元、井陉县天长消防救援功能用房配套设备及物品采购项目500000.00元等。</w:t>
      </w:r>
    </w:p>
    <w:p>
      <w:pPr>
        <w:pStyle w:val="20"/>
      </w:pPr>
      <w:r>
        <w:t>3、比上年增减情况</w:t>
      </w:r>
    </w:p>
    <w:p>
      <w:pPr>
        <w:pStyle w:val="20"/>
      </w:pPr>
      <w:r>
        <w:t>202</w:t>
      </w:r>
      <w:r>
        <w:rPr>
          <w:rFonts w:hint="eastAsia"/>
          <w:lang w:val="en-US" w:eastAsia="zh-CN"/>
        </w:rPr>
        <w:t>6</w:t>
      </w:r>
      <w:r>
        <w:t>年预算收支安排</w:t>
      </w:r>
      <w:r>
        <w:rPr>
          <w:rFonts w:hint="eastAsia"/>
          <w:lang w:val="en-US" w:eastAsia="zh-CN"/>
        </w:rPr>
        <w:t>12585868.80</w:t>
      </w:r>
      <w:r>
        <w:t>元，较202</w:t>
      </w:r>
      <w:r>
        <w:rPr>
          <w:rFonts w:hint="eastAsia"/>
          <w:lang w:val="en-US" w:eastAsia="zh-CN"/>
        </w:rPr>
        <w:t>5</w:t>
      </w:r>
      <w:r>
        <w:t>年预算</w:t>
      </w:r>
      <w:r>
        <w:rPr>
          <w:rFonts w:hint="eastAsia"/>
          <w:lang w:eastAsia="zh-CN"/>
        </w:rPr>
        <w:t>减少</w:t>
      </w:r>
      <w:r>
        <w:rPr>
          <w:rFonts w:hint="eastAsia"/>
          <w:lang w:val="en-US" w:eastAsia="zh-CN"/>
        </w:rPr>
        <w:t>1019852.36</w:t>
      </w:r>
      <w:r>
        <w:t>元，其中：基本支出增加</w:t>
      </w:r>
      <w:r>
        <w:rPr>
          <w:rFonts w:hint="eastAsia"/>
          <w:lang w:val="en-US" w:eastAsia="zh-CN"/>
        </w:rPr>
        <w:t>601175.14</w:t>
      </w:r>
      <w:r>
        <w:t>元，主要为比上年增加</w:t>
      </w:r>
      <w:r>
        <w:rPr>
          <w:rFonts w:hint="eastAsia"/>
          <w:lang w:eastAsia="zh-CN"/>
        </w:rPr>
        <w:t>四</w:t>
      </w:r>
      <w:r>
        <w:t>名</w:t>
      </w:r>
      <w:r>
        <w:rPr>
          <w:rFonts w:hint="eastAsia"/>
          <w:lang w:eastAsia="zh-CN"/>
        </w:rPr>
        <w:t>工作人员</w:t>
      </w:r>
      <w:r>
        <w:t>，故基本支出有所增加。项目支出</w:t>
      </w:r>
      <w:r>
        <w:rPr>
          <w:rFonts w:hint="eastAsia"/>
          <w:lang w:eastAsia="zh-CN"/>
        </w:rPr>
        <w:t>减少</w:t>
      </w:r>
      <w:r>
        <w:rPr>
          <w:rFonts w:hint="eastAsia"/>
          <w:lang w:val="en-US" w:eastAsia="zh-CN"/>
        </w:rPr>
        <w:t>1621027.50</w:t>
      </w:r>
      <w:r>
        <w:t>元，主要为</w:t>
      </w:r>
      <w:r>
        <w:rPr>
          <w:rFonts w:hint="eastAsia"/>
          <w:lang w:eastAsia="zh-CN"/>
        </w:rPr>
        <w:t>今年预算项目较上年有所减少，故资金减少</w:t>
      </w:r>
      <w:r>
        <w:t>。</w:t>
      </w:r>
    </w:p>
    <w:p>
      <w:pPr>
        <w:spacing w:before="10" w:after="10" w:line="360" w:lineRule="auto"/>
        <w:ind w:firstLine="640"/>
        <w:jc w:val="left"/>
        <w:outlineLvl w:val="2"/>
      </w:pPr>
      <w:bookmarkStart w:id="6" w:name="_Toc_3_3_0000000012"/>
      <w:r>
        <w:rPr>
          <w:rFonts w:ascii="黑体" w:hAnsi="黑体" w:eastAsia="黑体" w:cs="黑体"/>
          <w:color w:val="000000"/>
          <w:sz w:val="32"/>
        </w:rPr>
        <w:t>三、机关运行经费安排情况</w:t>
      </w:r>
      <w:bookmarkEnd w:id="6"/>
    </w:p>
    <w:p>
      <w:pPr>
        <w:pStyle w:val="21"/>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247230.00</w:t>
      </w:r>
      <w:r>
        <w:t>元，主要用于日常维修、办公用房水电费、办公用房取暖费等日常运行支出。</w:t>
      </w:r>
    </w:p>
    <w:p>
      <w:pPr>
        <w:spacing w:before="10" w:after="10" w:line="360" w:lineRule="auto"/>
        <w:ind w:firstLine="640"/>
        <w:jc w:val="left"/>
        <w:outlineLvl w:val="2"/>
      </w:pPr>
      <w:bookmarkStart w:id="7" w:name="_Toc_3_3_0000000013"/>
      <w:r>
        <w:rPr>
          <w:rFonts w:ascii="黑体" w:hAnsi="黑体" w:eastAsia="黑体" w:cs="黑体"/>
          <w:color w:val="000000"/>
          <w:sz w:val="32"/>
        </w:rPr>
        <w:t>四、财政拨款“三公”经费预算情况及增减变化原因</w:t>
      </w:r>
      <w:bookmarkEnd w:id="7"/>
    </w:p>
    <w:p>
      <w:pPr>
        <w:pStyle w:val="22"/>
      </w:pPr>
      <w:r>
        <w:t>202</w:t>
      </w:r>
      <w:r>
        <w:rPr>
          <w:rFonts w:hint="eastAsia"/>
          <w:lang w:val="en-US" w:eastAsia="zh-CN"/>
        </w:rPr>
        <w:t>6</w:t>
      </w:r>
      <w:r>
        <w:t>年，我</w:t>
      </w:r>
      <w:r>
        <w:rPr>
          <w:rFonts w:hint="eastAsia"/>
          <w:lang w:eastAsia="zh-CN"/>
        </w:rPr>
        <w:t>单位</w:t>
      </w:r>
      <w:r>
        <w:t>财政拨款“三公”经费预算安排</w:t>
      </w:r>
      <w:r>
        <w:rPr>
          <w:rFonts w:hint="eastAsia"/>
          <w:lang w:val="en-US" w:eastAsia="zh-CN"/>
        </w:rPr>
        <w:t>19430.00</w:t>
      </w:r>
      <w:r>
        <w:t>元，其中因公出国（境）费0</w:t>
      </w:r>
      <w:r>
        <w:rPr>
          <w:rFonts w:hint="eastAsia"/>
          <w:lang w:val="en-US" w:eastAsia="zh-CN"/>
        </w:rPr>
        <w:t>.00</w:t>
      </w:r>
      <w:r>
        <w:t>元；公务用车购置及运维费</w:t>
      </w:r>
      <w:r>
        <w:rPr>
          <w:rFonts w:hint="eastAsia"/>
          <w:lang w:val="en-US" w:eastAsia="zh-CN"/>
        </w:rPr>
        <w:t>19430.00</w:t>
      </w:r>
      <w:r>
        <w:t>元（其中：公务用车购置费为0</w:t>
      </w:r>
      <w:r>
        <w:rPr>
          <w:rFonts w:hint="eastAsia"/>
          <w:lang w:val="en-US" w:eastAsia="zh-CN"/>
        </w:rPr>
        <w:t>.00</w:t>
      </w:r>
      <w:r>
        <w:t>元，公务用车运维费</w:t>
      </w:r>
      <w:r>
        <w:rPr>
          <w:rFonts w:hint="eastAsia"/>
          <w:lang w:val="en-US" w:eastAsia="zh-CN"/>
        </w:rPr>
        <w:t>19430.00</w:t>
      </w:r>
      <w:r>
        <w:t>元)；公务接待费0</w:t>
      </w:r>
      <w:r>
        <w:rPr>
          <w:rFonts w:hint="eastAsia"/>
          <w:lang w:val="en-US" w:eastAsia="zh-CN"/>
        </w:rPr>
        <w:t>.00</w:t>
      </w:r>
      <w:r>
        <w:t>元。与202</w:t>
      </w:r>
      <w:r>
        <w:rPr>
          <w:rFonts w:hint="eastAsia"/>
          <w:lang w:val="en-US" w:eastAsia="zh-CN"/>
        </w:rPr>
        <w:t>5</w:t>
      </w:r>
      <w:r>
        <w:t>年相比</w:t>
      </w:r>
      <w:r>
        <w:rPr>
          <w:rFonts w:hint="eastAsia"/>
          <w:lang w:eastAsia="zh-CN"/>
        </w:rPr>
        <w:t>减少</w:t>
      </w:r>
      <w:r>
        <w:rPr>
          <w:rFonts w:hint="eastAsia"/>
          <w:lang w:val="en-US" w:eastAsia="zh-CN"/>
        </w:rPr>
        <w:t>570.00</w:t>
      </w:r>
      <w:r>
        <w:t>元，变化的主要原因是</w:t>
      </w:r>
      <w:r>
        <w:rPr>
          <w:rFonts w:hint="eastAsia"/>
          <w:lang w:val="en-US" w:eastAsia="zh-CN"/>
        </w:rPr>
        <w:t>:</w:t>
      </w:r>
      <w:r>
        <w:rPr>
          <w:rFonts w:hint="eastAsia"/>
          <w:lang w:eastAsia="zh-CN"/>
        </w:rPr>
        <w:t>按照要求，厉行节俭，调减公务用车运维经费</w:t>
      </w:r>
      <w:r>
        <w:t>。</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eastAsia="黑体"/>
          <w:lang w:eastAsia="zh-CN"/>
        </w:rPr>
        <w:sectPr>
          <w:pgSz w:w="16840" w:h="11900" w:orient="landscape"/>
          <w:pgMar w:top="1361" w:right="1020" w:bottom="1361" w:left="1020" w:header="720" w:footer="720" w:gutter="0"/>
          <w:cols w:space="720" w:num="1"/>
        </w:sectPr>
      </w:pPr>
    </w:p>
    <w:p>
      <w:pPr>
        <w:numPr>
          <w:ilvl w:val="0"/>
          <w:numId w:val="1"/>
        </w:numPr>
        <w:spacing w:before="0" w:after="0"/>
        <w:jc w:val="left"/>
        <w:outlineLvl w:val="3"/>
        <w:rPr>
          <w:rFonts w:ascii="黑体" w:hAnsi="黑体" w:eastAsia="黑体" w:cs="黑体"/>
          <w:color w:val="000000"/>
          <w:sz w:val="32"/>
        </w:rPr>
      </w:pPr>
      <w:bookmarkStart w:id="8" w:name="_Toc_4_4_0000000004"/>
      <w:r>
        <w:rPr>
          <w:rFonts w:ascii="黑体" w:hAnsi="黑体" w:eastAsia="黑体" w:cs="黑体"/>
          <w:color w:val="000000"/>
          <w:sz w:val="32"/>
        </w:rPr>
        <w:t>单位项目预算安排情况及绩效目</w:t>
      </w:r>
      <w:r>
        <w:rPr>
          <w:rFonts w:hint="eastAsia" w:ascii="黑体" w:hAnsi="黑体" w:eastAsia="黑体" w:cs="黑体"/>
          <w:color w:val="000000"/>
          <w:sz w:val="32"/>
          <w:lang w:eastAsia="zh-CN"/>
        </w:rPr>
        <w:t>标</w:t>
      </w:r>
    </w:p>
    <w:p>
      <w:pPr>
        <w:numPr>
          <w:ilvl w:val="0"/>
          <w:numId w:val="0"/>
        </w:numPr>
        <w:spacing w:before="0" w:after="0"/>
        <w:jc w:val="left"/>
        <w:outlineLvl w:val="3"/>
      </w:pPr>
      <w:r>
        <w:rPr>
          <w:rFonts w:ascii="方正仿宋_GBK" w:hAnsi="方正仿宋_GBK" w:eastAsia="方正仿宋_GBK" w:cs="方正仿宋_GBK"/>
          <w:color w:val="000000"/>
          <w:sz w:val="28"/>
        </w:rPr>
        <w:t>1.安全生产监管费用绩效目标表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13012126P001123100037</w:t>
            </w:r>
          </w:p>
        </w:tc>
        <w:tc>
          <w:tcPr>
            <w:tcW w:w="1587" w:type="dxa"/>
            <w:vAlign w:val="center"/>
          </w:tcPr>
          <w:p>
            <w:pPr>
              <w:pStyle w:val="11"/>
            </w:pPr>
            <w:r>
              <w:t>项目名称</w:t>
            </w:r>
          </w:p>
        </w:tc>
        <w:tc>
          <w:tcPr>
            <w:tcW w:w="4423" w:type="dxa"/>
            <w:gridSpan w:val="3"/>
            <w:vAlign w:val="center"/>
          </w:tcPr>
          <w:p>
            <w:pPr>
              <w:pStyle w:val="13"/>
            </w:pPr>
            <w:r>
              <w:t>安全生产监管费用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470000.00</w:t>
            </w:r>
          </w:p>
        </w:tc>
        <w:tc>
          <w:tcPr>
            <w:tcW w:w="1587" w:type="dxa"/>
            <w:vAlign w:val="center"/>
          </w:tcPr>
          <w:p>
            <w:pPr>
              <w:pStyle w:val="11"/>
            </w:pPr>
            <w:r>
              <w:t>其中：财政    资金</w:t>
            </w:r>
          </w:p>
        </w:tc>
        <w:tc>
          <w:tcPr>
            <w:tcW w:w="1304" w:type="dxa"/>
            <w:vAlign w:val="center"/>
          </w:tcPr>
          <w:p>
            <w:pPr>
              <w:pStyle w:val="13"/>
            </w:pPr>
            <w:r>
              <w:t>470000.00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通过对邮电等保障日常办公需求，保证直接监管（管理）的企事业单位、行业监管（管理）的领域不发生较大及以上生产安全责任事故，维护社会稳定。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10%</w:t>
            </w:r>
          </w:p>
        </w:tc>
        <w:tc>
          <w:tcPr>
            <w:tcW w:w="1587" w:type="dxa"/>
            <w:vAlign w:val="center"/>
          </w:tcPr>
          <w:p>
            <w:pPr>
              <w:pStyle w:val="14"/>
            </w:pPr>
            <w:r>
              <w:t>40%</w:t>
            </w:r>
          </w:p>
        </w:tc>
        <w:tc>
          <w:tcPr>
            <w:tcW w:w="1304" w:type="dxa"/>
            <w:vAlign w:val="center"/>
          </w:tcPr>
          <w:p>
            <w:pPr>
              <w:pStyle w:val="14"/>
            </w:pPr>
            <w:r>
              <w:t>70%</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1.通过对邮电等保障日常办公需求，保证直接监管（管理）的企事业单位、行业监管（管理）的领域不发生较大及以上生产安全责任事故，维护社会稳定。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778"/>
        <w:gridCol w:w="2850"/>
        <w:gridCol w:w="871"/>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778" w:type="dxa"/>
            <w:vAlign w:val="center"/>
          </w:tcPr>
          <w:p>
            <w:pPr>
              <w:pStyle w:val="11"/>
            </w:pPr>
            <w:r>
              <w:t>三级指标</w:t>
            </w:r>
          </w:p>
        </w:tc>
        <w:tc>
          <w:tcPr>
            <w:tcW w:w="2850" w:type="dxa"/>
            <w:vAlign w:val="center"/>
          </w:tcPr>
          <w:p>
            <w:pPr>
              <w:pStyle w:val="11"/>
            </w:pPr>
            <w:r>
              <w:t>绩效指标描述</w:t>
            </w:r>
          </w:p>
        </w:tc>
        <w:tc>
          <w:tcPr>
            <w:tcW w:w="871"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778" w:type="dxa"/>
            <w:vAlign w:val="center"/>
          </w:tcPr>
          <w:p>
            <w:pPr>
              <w:pStyle w:val="13"/>
            </w:pPr>
            <w:r>
              <w:t>执法计划完成率</w:t>
            </w:r>
          </w:p>
        </w:tc>
        <w:tc>
          <w:tcPr>
            <w:tcW w:w="2850" w:type="dxa"/>
            <w:vAlign w:val="center"/>
          </w:tcPr>
          <w:p>
            <w:pPr>
              <w:pStyle w:val="13"/>
            </w:pPr>
            <w:r>
              <w:t>实际完成数占计划数在比例</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778" w:type="dxa"/>
            <w:vAlign w:val="center"/>
          </w:tcPr>
          <w:p>
            <w:pPr>
              <w:pStyle w:val="13"/>
            </w:pPr>
            <w:r>
              <w:t>到期复查率</w:t>
            </w:r>
          </w:p>
        </w:tc>
        <w:tc>
          <w:tcPr>
            <w:tcW w:w="2850" w:type="dxa"/>
            <w:vAlign w:val="center"/>
          </w:tcPr>
          <w:p>
            <w:pPr>
              <w:pStyle w:val="13"/>
            </w:pPr>
            <w:r>
              <w:t>实际复查完成数占计划复查数的比例</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778" w:type="dxa"/>
            <w:vAlign w:val="center"/>
          </w:tcPr>
          <w:p>
            <w:pPr>
              <w:pStyle w:val="13"/>
            </w:pPr>
            <w:r>
              <w:t>违法案件处罚率</w:t>
            </w:r>
          </w:p>
        </w:tc>
        <w:tc>
          <w:tcPr>
            <w:tcW w:w="2850" w:type="dxa"/>
            <w:vAlign w:val="center"/>
          </w:tcPr>
          <w:p>
            <w:pPr>
              <w:pStyle w:val="13"/>
            </w:pPr>
            <w:r>
              <w:t>实际处罚数占计划处罚数在比例</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778" w:type="dxa"/>
            <w:vAlign w:val="center"/>
          </w:tcPr>
          <w:p>
            <w:pPr>
              <w:pStyle w:val="13"/>
            </w:pPr>
            <w:r>
              <w:t>复查及时率</w:t>
            </w:r>
          </w:p>
        </w:tc>
        <w:tc>
          <w:tcPr>
            <w:tcW w:w="2850" w:type="dxa"/>
            <w:vAlign w:val="center"/>
          </w:tcPr>
          <w:p>
            <w:pPr>
              <w:pStyle w:val="13"/>
            </w:pPr>
            <w:r>
              <w:t>在规定时间内完成企业复查的比例</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778" w:type="dxa"/>
            <w:vAlign w:val="center"/>
          </w:tcPr>
          <w:p>
            <w:pPr>
              <w:pStyle w:val="13"/>
            </w:pPr>
            <w:r>
              <w:t>安全生产监管成本</w:t>
            </w:r>
          </w:p>
        </w:tc>
        <w:tc>
          <w:tcPr>
            <w:tcW w:w="2850" w:type="dxa"/>
            <w:vAlign w:val="center"/>
          </w:tcPr>
          <w:p>
            <w:pPr>
              <w:pStyle w:val="13"/>
            </w:pPr>
            <w:r>
              <w:t>安全生产监管成本</w:t>
            </w:r>
          </w:p>
        </w:tc>
        <w:tc>
          <w:tcPr>
            <w:tcW w:w="871" w:type="dxa"/>
            <w:vAlign w:val="center"/>
          </w:tcPr>
          <w:p>
            <w:pPr>
              <w:pStyle w:val="13"/>
            </w:pPr>
            <w:r>
              <w:t>≤47万元</w:t>
            </w:r>
          </w:p>
        </w:tc>
        <w:tc>
          <w:tcPr>
            <w:tcW w:w="1843" w:type="dxa"/>
            <w:vAlign w:val="center"/>
          </w:tcPr>
          <w:p>
            <w:pPr>
              <w:pStyle w:val="13"/>
            </w:pPr>
            <w:r>
              <w:t>2026年度需求测算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778" w:type="dxa"/>
            <w:vAlign w:val="center"/>
          </w:tcPr>
          <w:p>
            <w:pPr>
              <w:pStyle w:val="13"/>
            </w:pPr>
            <w:r>
              <w:t>问题整改率</w:t>
            </w:r>
          </w:p>
        </w:tc>
        <w:tc>
          <w:tcPr>
            <w:tcW w:w="2850" w:type="dxa"/>
            <w:vAlign w:val="center"/>
          </w:tcPr>
          <w:p>
            <w:pPr>
              <w:pStyle w:val="13"/>
            </w:pPr>
            <w:r>
              <w:t>通过安全检查，及时发现隐患并整改的情况</w:t>
            </w:r>
          </w:p>
        </w:tc>
        <w:tc>
          <w:tcPr>
            <w:tcW w:w="871" w:type="dxa"/>
            <w:vAlign w:val="center"/>
          </w:tcPr>
          <w:p>
            <w:pPr>
              <w:pStyle w:val="13"/>
            </w:pPr>
            <w:r>
              <w:t>≥95%</w:t>
            </w:r>
          </w:p>
        </w:tc>
        <w:tc>
          <w:tcPr>
            <w:tcW w:w="1843" w:type="dxa"/>
            <w:vAlign w:val="center"/>
          </w:tcPr>
          <w:p>
            <w:pPr>
              <w:pStyle w:val="13"/>
            </w:pPr>
            <w:r>
              <w:t>2026年度</w:t>
            </w:r>
          </w:p>
          <w:p>
            <w:pPr>
              <w:pStyle w:val="13"/>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778" w:type="dxa"/>
            <w:vAlign w:val="center"/>
          </w:tcPr>
          <w:p>
            <w:pPr>
              <w:pStyle w:val="13"/>
            </w:pPr>
            <w:r>
              <w:t>检查企业满意度</w:t>
            </w:r>
          </w:p>
        </w:tc>
        <w:tc>
          <w:tcPr>
            <w:tcW w:w="2850" w:type="dxa"/>
            <w:vAlign w:val="center"/>
          </w:tcPr>
          <w:p>
            <w:pPr>
              <w:pStyle w:val="13"/>
            </w:pPr>
            <w:r>
              <w:t>反映检查企业满意程度</w:t>
            </w:r>
          </w:p>
        </w:tc>
        <w:tc>
          <w:tcPr>
            <w:tcW w:w="871" w:type="dxa"/>
            <w:vAlign w:val="center"/>
          </w:tcPr>
          <w:p>
            <w:pPr>
              <w:pStyle w:val="13"/>
            </w:pPr>
            <w:r>
              <w:t>≥95%</w:t>
            </w:r>
          </w:p>
        </w:tc>
        <w:tc>
          <w:tcPr>
            <w:tcW w:w="1843" w:type="dxa"/>
            <w:vAlign w:val="center"/>
          </w:tcPr>
          <w:p>
            <w:pPr>
              <w:pStyle w:val="13"/>
            </w:pPr>
            <w:r>
              <w:t>满意度问卷调查</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05"/>
      <w:r>
        <w:rPr>
          <w:rFonts w:ascii="方正仿宋_GBK" w:hAnsi="方正仿宋_GBK" w:eastAsia="方正仿宋_GBK" w:cs="方正仿宋_GBK"/>
          <w:color w:val="000000"/>
          <w:sz w:val="28"/>
        </w:rPr>
        <w:t>2.工矿商贸领域作业场所视频监控绩效目标表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13012126P001122100239</w:t>
            </w:r>
          </w:p>
        </w:tc>
        <w:tc>
          <w:tcPr>
            <w:tcW w:w="1587" w:type="dxa"/>
            <w:vAlign w:val="center"/>
          </w:tcPr>
          <w:p>
            <w:pPr>
              <w:pStyle w:val="11"/>
            </w:pPr>
            <w:r>
              <w:t>项目名称</w:t>
            </w:r>
          </w:p>
        </w:tc>
        <w:tc>
          <w:tcPr>
            <w:tcW w:w="4423" w:type="dxa"/>
            <w:gridSpan w:val="3"/>
            <w:vAlign w:val="center"/>
          </w:tcPr>
          <w:p>
            <w:pPr>
              <w:pStyle w:val="13"/>
            </w:pPr>
            <w:r>
              <w:t>工矿商贸领域作业场所视频监控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240000.00</w:t>
            </w:r>
          </w:p>
        </w:tc>
        <w:tc>
          <w:tcPr>
            <w:tcW w:w="1587" w:type="dxa"/>
            <w:vAlign w:val="center"/>
          </w:tcPr>
          <w:p>
            <w:pPr>
              <w:pStyle w:val="11"/>
            </w:pPr>
            <w:r>
              <w:t>其中：财政    资金</w:t>
            </w:r>
          </w:p>
        </w:tc>
        <w:tc>
          <w:tcPr>
            <w:tcW w:w="1304" w:type="dxa"/>
            <w:vAlign w:val="center"/>
          </w:tcPr>
          <w:p>
            <w:pPr>
              <w:pStyle w:val="13"/>
            </w:pPr>
            <w:r>
              <w:t>240000.00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保障工矿商贸领域作业场所视频监控正常运行，实现辖区所有企业作业场所视频监控数据的汇聚、管理、调阅等功能。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 xml:space="preserve"> </w:t>
            </w:r>
          </w:p>
        </w:tc>
        <w:tc>
          <w:tcPr>
            <w:tcW w:w="1304" w:type="dxa"/>
            <w:vAlign w:val="center"/>
          </w:tcPr>
          <w:p>
            <w:pPr>
              <w:pStyle w:val="14"/>
            </w:pPr>
            <w:r>
              <w:t xml:space="preserve"> </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1.保障工矿商贸领域作业场所视频监控正常运行，实现辖区所有企业作业场所视频监控数据的汇聚、管理、调阅等功能。</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企业视频监控线路数量</w:t>
            </w:r>
          </w:p>
        </w:tc>
        <w:tc>
          <w:tcPr>
            <w:tcW w:w="2891" w:type="dxa"/>
            <w:vAlign w:val="center"/>
          </w:tcPr>
          <w:p>
            <w:pPr>
              <w:pStyle w:val="13"/>
            </w:pPr>
            <w:r>
              <w:t>实现在线路数1218路</w:t>
            </w:r>
          </w:p>
        </w:tc>
        <w:tc>
          <w:tcPr>
            <w:tcW w:w="1276" w:type="dxa"/>
            <w:vAlign w:val="center"/>
          </w:tcPr>
          <w:p>
            <w:pPr>
              <w:pStyle w:val="13"/>
            </w:pPr>
            <w:r>
              <w:t>≥1218路</w:t>
            </w:r>
          </w:p>
        </w:tc>
        <w:tc>
          <w:tcPr>
            <w:tcW w:w="1843" w:type="dxa"/>
            <w:vAlign w:val="center"/>
          </w:tcPr>
          <w:p>
            <w:pPr>
              <w:pStyle w:val="13"/>
            </w:pPr>
            <w:r>
              <w:rPr>
                <w:rFonts w:hint="eastAsia"/>
                <w:lang w:eastAsia="zh-CN"/>
              </w:rPr>
              <w:t>《河北省工矿商贸领域作业场所视频监控全覆盖建设方案》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企业视频监控全覆盖在线率</w:t>
            </w:r>
          </w:p>
        </w:tc>
        <w:tc>
          <w:tcPr>
            <w:tcW w:w="2891" w:type="dxa"/>
            <w:vAlign w:val="center"/>
          </w:tcPr>
          <w:p>
            <w:pPr>
              <w:pStyle w:val="13"/>
            </w:pPr>
            <w:r>
              <w:t>企业日常视频监控上传数量在线情况</w:t>
            </w:r>
          </w:p>
        </w:tc>
        <w:tc>
          <w:tcPr>
            <w:tcW w:w="1276" w:type="dxa"/>
            <w:vAlign w:val="center"/>
          </w:tcPr>
          <w:p>
            <w:pPr>
              <w:pStyle w:val="13"/>
            </w:pPr>
            <w:r>
              <w:t>≥75%</w:t>
            </w:r>
          </w:p>
        </w:tc>
        <w:tc>
          <w:tcPr>
            <w:tcW w:w="1843" w:type="dxa"/>
            <w:vAlign w:val="center"/>
          </w:tcPr>
          <w:p>
            <w:pPr>
              <w:pStyle w:val="13"/>
            </w:pPr>
            <w:r>
              <w:rPr>
                <w:rFonts w:hint="eastAsia"/>
                <w:lang w:eastAsia="zh-CN"/>
              </w:rPr>
              <w:t>《河北省工矿商贸领域作业场所视频监控全覆盖建设方案》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企业视频监控全覆盖上传及时率</w:t>
            </w:r>
          </w:p>
        </w:tc>
        <w:tc>
          <w:tcPr>
            <w:tcW w:w="2891" w:type="dxa"/>
            <w:vAlign w:val="center"/>
          </w:tcPr>
          <w:p>
            <w:pPr>
              <w:pStyle w:val="13"/>
            </w:pPr>
            <w:r>
              <w:t>企业视频监控全覆盖上传及时情况</w:t>
            </w:r>
          </w:p>
        </w:tc>
        <w:tc>
          <w:tcPr>
            <w:tcW w:w="1276" w:type="dxa"/>
            <w:vAlign w:val="center"/>
          </w:tcPr>
          <w:p>
            <w:pPr>
              <w:pStyle w:val="13"/>
            </w:pPr>
            <w:r>
              <w:t>≥75%</w:t>
            </w:r>
          </w:p>
        </w:tc>
        <w:tc>
          <w:tcPr>
            <w:tcW w:w="1843" w:type="dxa"/>
            <w:vAlign w:val="center"/>
          </w:tcPr>
          <w:p>
            <w:pPr>
              <w:pStyle w:val="13"/>
            </w:pPr>
            <w:r>
              <w:t>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工矿商贸领域作业场所视频监控运维成本</w:t>
            </w:r>
          </w:p>
        </w:tc>
        <w:tc>
          <w:tcPr>
            <w:tcW w:w="2891" w:type="dxa"/>
            <w:vAlign w:val="center"/>
          </w:tcPr>
          <w:p>
            <w:pPr>
              <w:pStyle w:val="13"/>
            </w:pPr>
            <w:r>
              <w:t>工矿商贸领域作业场所视频监控运维成本</w:t>
            </w:r>
          </w:p>
        </w:tc>
        <w:tc>
          <w:tcPr>
            <w:tcW w:w="1276" w:type="dxa"/>
            <w:vAlign w:val="center"/>
          </w:tcPr>
          <w:p>
            <w:pPr>
              <w:pStyle w:val="13"/>
            </w:pPr>
            <w:r>
              <w:t>≤24万元</w:t>
            </w:r>
          </w:p>
        </w:tc>
        <w:tc>
          <w:tcPr>
            <w:tcW w:w="1843" w:type="dxa"/>
            <w:vAlign w:val="center"/>
          </w:tcPr>
          <w:p>
            <w:pPr>
              <w:pStyle w:val="13"/>
            </w:pPr>
            <w:r>
              <w:rPr>
                <w:rFonts w:hint="eastAsia"/>
                <w:lang w:eastAsia="zh-CN"/>
              </w:rPr>
              <w:t>《河北省工矿商贸领域作业场所视频监控全覆盖建设方案》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视频监控系统可持续使用时限</w:t>
            </w:r>
          </w:p>
        </w:tc>
        <w:tc>
          <w:tcPr>
            <w:tcW w:w="2891" w:type="dxa"/>
            <w:vAlign w:val="center"/>
          </w:tcPr>
          <w:p>
            <w:pPr>
              <w:pStyle w:val="13"/>
            </w:pPr>
            <w:r>
              <w:t>工矿商贸领域作业场所视频监控系统可持续使用时限</w:t>
            </w:r>
          </w:p>
        </w:tc>
        <w:tc>
          <w:tcPr>
            <w:tcW w:w="1276" w:type="dxa"/>
            <w:vAlign w:val="center"/>
          </w:tcPr>
          <w:p>
            <w:pPr>
              <w:pStyle w:val="13"/>
            </w:pPr>
            <w:r>
              <w:t>1年</w:t>
            </w:r>
          </w:p>
        </w:tc>
        <w:tc>
          <w:tcPr>
            <w:tcW w:w="1843" w:type="dxa"/>
            <w:vAlign w:val="center"/>
          </w:tcPr>
          <w:p>
            <w:pPr>
              <w:pStyle w:val="13"/>
            </w:pPr>
            <w:r>
              <w:t>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企业视频监控全覆盖的场所人员满意度</w:t>
            </w:r>
          </w:p>
        </w:tc>
        <w:tc>
          <w:tcPr>
            <w:tcW w:w="2891" w:type="dxa"/>
            <w:vAlign w:val="center"/>
          </w:tcPr>
          <w:p>
            <w:pPr>
              <w:pStyle w:val="13"/>
            </w:pPr>
            <w:r>
              <w:t>工矿商贸领域作业场所人员对视频监控的满意度</w:t>
            </w:r>
          </w:p>
        </w:tc>
        <w:tc>
          <w:tcPr>
            <w:tcW w:w="1276" w:type="dxa"/>
            <w:vAlign w:val="center"/>
          </w:tcPr>
          <w:p>
            <w:pPr>
              <w:pStyle w:val="13"/>
            </w:pPr>
            <w:r>
              <w:t>≥90%</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06"/>
      <w:r>
        <w:rPr>
          <w:rFonts w:ascii="方正仿宋_GBK" w:hAnsi="方正仿宋_GBK" w:eastAsia="方正仿宋_GBK" w:cs="方正仿宋_GBK"/>
          <w:color w:val="000000"/>
          <w:sz w:val="28"/>
        </w:rPr>
        <w:t>3.冀财建[2025]217号关于提前下达2026年自然灾害救助资金（农房保险试点补助经费）的通知绩效目标表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13012126P001297100011</w:t>
            </w:r>
          </w:p>
        </w:tc>
        <w:tc>
          <w:tcPr>
            <w:tcW w:w="1587" w:type="dxa"/>
            <w:vAlign w:val="center"/>
          </w:tcPr>
          <w:p>
            <w:pPr>
              <w:pStyle w:val="11"/>
            </w:pPr>
            <w:r>
              <w:t>项目名称</w:t>
            </w:r>
          </w:p>
        </w:tc>
        <w:tc>
          <w:tcPr>
            <w:tcW w:w="4423" w:type="dxa"/>
            <w:gridSpan w:val="3"/>
            <w:vAlign w:val="center"/>
          </w:tcPr>
          <w:p>
            <w:pPr>
              <w:pStyle w:val="13"/>
            </w:pPr>
            <w:r>
              <w:t>冀财建[2025]217号关于提前下达2026年自然灾害救助资金（农房保险试点补助经费）的通知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588744.00</w:t>
            </w:r>
          </w:p>
        </w:tc>
        <w:tc>
          <w:tcPr>
            <w:tcW w:w="1587" w:type="dxa"/>
            <w:vAlign w:val="center"/>
          </w:tcPr>
          <w:p>
            <w:pPr>
              <w:pStyle w:val="11"/>
            </w:pPr>
            <w:r>
              <w:t>其中：财政    资金</w:t>
            </w:r>
          </w:p>
        </w:tc>
        <w:tc>
          <w:tcPr>
            <w:tcW w:w="1304" w:type="dxa"/>
            <w:vAlign w:val="center"/>
          </w:tcPr>
          <w:p>
            <w:pPr>
              <w:pStyle w:val="13"/>
            </w:pPr>
            <w:r>
              <w:t>588744.00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通过支付资金，及时、足额缴纳农房保险费用。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100%</w:t>
            </w:r>
          </w:p>
        </w:tc>
        <w:tc>
          <w:tcPr>
            <w:tcW w:w="1587" w:type="dxa"/>
            <w:vAlign w:val="center"/>
          </w:tcPr>
          <w:p>
            <w:pPr>
              <w:pStyle w:val="14"/>
            </w:pPr>
            <w:r>
              <w:t xml:space="preserve"> </w:t>
            </w:r>
          </w:p>
        </w:tc>
        <w:tc>
          <w:tcPr>
            <w:tcW w:w="1304" w:type="dxa"/>
            <w:vAlign w:val="center"/>
          </w:tcPr>
          <w:p>
            <w:pPr>
              <w:pStyle w:val="14"/>
            </w:pPr>
            <w:r>
              <w:t xml:space="preserve"> </w:t>
            </w:r>
          </w:p>
        </w:tc>
        <w:tc>
          <w:tcPr>
            <w:tcW w:w="311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1.通过支付资金，及时、足额缴纳农房保险费用。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井陉县农户总数</w:t>
            </w:r>
          </w:p>
        </w:tc>
        <w:tc>
          <w:tcPr>
            <w:tcW w:w="2891" w:type="dxa"/>
            <w:vAlign w:val="center"/>
          </w:tcPr>
          <w:p>
            <w:pPr>
              <w:pStyle w:val="13"/>
            </w:pPr>
            <w:r>
              <w:t>井陉县农户总数量</w:t>
            </w:r>
          </w:p>
        </w:tc>
        <w:tc>
          <w:tcPr>
            <w:tcW w:w="1276" w:type="dxa"/>
            <w:vAlign w:val="center"/>
          </w:tcPr>
          <w:p>
            <w:pPr>
              <w:pStyle w:val="13"/>
            </w:pPr>
            <w:r>
              <w:t>73593户</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保证农房保险工作高效开展</w:t>
            </w:r>
          </w:p>
        </w:tc>
        <w:tc>
          <w:tcPr>
            <w:tcW w:w="2891" w:type="dxa"/>
            <w:vAlign w:val="center"/>
          </w:tcPr>
          <w:p>
            <w:pPr>
              <w:pStyle w:val="13"/>
            </w:pPr>
            <w:r>
              <w:t>实现农户高效入保</w:t>
            </w:r>
          </w:p>
        </w:tc>
        <w:tc>
          <w:tcPr>
            <w:tcW w:w="1276" w:type="dxa"/>
            <w:vAlign w:val="center"/>
          </w:tcPr>
          <w:p>
            <w:pPr>
              <w:pStyle w:val="13"/>
            </w:pPr>
            <w:r>
              <w:t>≥95%</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保证农房保险工作及时开展</w:t>
            </w:r>
          </w:p>
        </w:tc>
        <w:tc>
          <w:tcPr>
            <w:tcW w:w="2891" w:type="dxa"/>
            <w:vAlign w:val="center"/>
          </w:tcPr>
          <w:p>
            <w:pPr>
              <w:pStyle w:val="13"/>
            </w:pPr>
            <w:r>
              <w:t>实现农户及时入保</w:t>
            </w:r>
          </w:p>
        </w:tc>
        <w:tc>
          <w:tcPr>
            <w:tcW w:w="1276" w:type="dxa"/>
            <w:vAlign w:val="center"/>
          </w:tcPr>
          <w:p>
            <w:pPr>
              <w:pStyle w:val="13"/>
            </w:pPr>
            <w:r>
              <w:t>≥95%</w:t>
            </w:r>
          </w:p>
        </w:tc>
        <w:tc>
          <w:tcPr>
            <w:tcW w:w="1843" w:type="dxa"/>
            <w:vAlign w:val="center"/>
          </w:tcPr>
          <w:p>
            <w:pPr>
              <w:pStyle w:val="13"/>
            </w:pPr>
            <w:r>
              <w:t>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农房保险成本</w:t>
            </w:r>
          </w:p>
        </w:tc>
        <w:tc>
          <w:tcPr>
            <w:tcW w:w="2891" w:type="dxa"/>
            <w:vAlign w:val="center"/>
          </w:tcPr>
          <w:p>
            <w:pPr>
              <w:pStyle w:val="13"/>
            </w:pPr>
            <w:r>
              <w:t>农房保险成本/户</w:t>
            </w:r>
          </w:p>
        </w:tc>
        <w:tc>
          <w:tcPr>
            <w:tcW w:w="1276" w:type="dxa"/>
            <w:vAlign w:val="center"/>
          </w:tcPr>
          <w:p>
            <w:pPr>
              <w:pStyle w:val="13"/>
            </w:pPr>
            <w:r>
              <w:t>8元</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解决农民住房灾害保险补助</w:t>
            </w:r>
          </w:p>
        </w:tc>
        <w:tc>
          <w:tcPr>
            <w:tcW w:w="2891" w:type="dxa"/>
            <w:vAlign w:val="center"/>
          </w:tcPr>
          <w:p>
            <w:pPr>
              <w:pStyle w:val="13"/>
            </w:pPr>
            <w:r>
              <w:t>提高防灾减灾能力</w:t>
            </w:r>
          </w:p>
        </w:tc>
        <w:tc>
          <w:tcPr>
            <w:tcW w:w="1276" w:type="dxa"/>
            <w:vAlign w:val="center"/>
          </w:tcPr>
          <w:p>
            <w:pPr>
              <w:pStyle w:val="13"/>
            </w:pPr>
            <w:r>
              <w:t>进一步提高防灾减灾能力</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群众满意度</w:t>
            </w:r>
          </w:p>
        </w:tc>
        <w:tc>
          <w:tcPr>
            <w:tcW w:w="2891" w:type="dxa"/>
            <w:vAlign w:val="center"/>
          </w:tcPr>
          <w:p>
            <w:pPr>
              <w:pStyle w:val="13"/>
            </w:pPr>
            <w:r>
              <w:t>进一步提高群众满意度</w:t>
            </w:r>
          </w:p>
        </w:tc>
        <w:tc>
          <w:tcPr>
            <w:tcW w:w="1276" w:type="dxa"/>
            <w:vAlign w:val="center"/>
          </w:tcPr>
          <w:p>
            <w:pPr>
              <w:pStyle w:val="13"/>
            </w:pPr>
            <w:r>
              <w:t>≥95%</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07"/>
      <w:r>
        <w:rPr>
          <w:rFonts w:ascii="方正仿宋_GBK" w:hAnsi="方正仿宋_GBK" w:eastAsia="方正仿宋_GBK" w:cs="方正仿宋_GBK"/>
          <w:color w:val="000000"/>
          <w:sz w:val="28"/>
        </w:rPr>
        <w:t>4.井陉县天长消防救援功能用房配套设备及物品采购项目绩效目标表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13012126P00104010003W</w:t>
            </w:r>
          </w:p>
        </w:tc>
        <w:tc>
          <w:tcPr>
            <w:tcW w:w="1587" w:type="dxa"/>
            <w:vAlign w:val="center"/>
          </w:tcPr>
          <w:p>
            <w:pPr>
              <w:pStyle w:val="11"/>
            </w:pPr>
            <w:r>
              <w:t>项目名称</w:t>
            </w:r>
          </w:p>
        </w:tc>
        <w:tc>
          <w:tcPr>
            <w:tcW w:w="4423" w:type="dxa"/>
            <w:gridSpan w:val="3"/>
            <w:vAlign w:val="center"/>
          </w:tcPr>
          <w:p>
            <w:pPr>
              <w:pStyle w:val="13"/>
            </w:pPr>
            <w:r>
              <w:t>井陉县天长消防救援功能用房配套设备及物品采购项目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500000.00</w:t>
            </w:r>
          </w:p>
        </w:tc>
        <w:tc>
          <w:tcPr>
            <w:tcW w:w="1587" w:type="dxa"/>
            <w:vAlign w:val="center"/>
          </w:tcPr>
          <w:p>
            <w:pPr>
              <w:pStyle w:val="11"/>
            </w:pPr>
            <w:r>
              <w:t>其中：财政    资金</w:t>
            </w:r>
          </w:p>
        </w:tc>
        <w:tc>
          <w:tcPr>
            <w:tcW w:w="1304" w:type="dxa"/>
            <w:vAlign w:val="center"/>
          </w:tcPr>
          <w:p>
            <w:pPr>
              <w:pStyle w:val="13"/>
            </w:pPr>
            <w:r>
              <w:t>500000.00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完成天长消防救援站功能用房配套设备及物品采购项目尾款支付，维护天长镇消防救援站正常开展日常训练和办公。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50%</w:t>
            </w:r>
          </w:p>
        </w:tc>
        <w:tc>
          <w:tcPr>
            <w:tcW w:w="1304" w:type="dxa"/>
            <w:vAlign w:val="center"/>
          </w:tcPr>
          <w:p>
            <w:pPr>
              <w:pStyle w:val="14"/>
            </w:pPr>
            <w:r>
              <w:t xml:space="preserve"> </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1.完成天长消防救援站功能用房配套设备及物品采购项目尾款支付，维护天长镇消防救援站正常开展日常训练和办公。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保障办公人数</w:t>
            </w:r>
          </w:p>
        </w:tc>
        <w:tc>
          <w:tcPr>
            <w:tcW w:w="2891" w:type="dxa"/>
            <w:vAlign w:val="center"/>
          </w:tcPr>
          <w:p>
            <w:pPr>
              <w:pStyle w:val="13"/>
            </w:pPr>
            <w:r>
              <w:t>保障核定人员编制办公人数</w:t>
            </w:r>
          </w:p>
        </w:tc>
        <w:tc>
          <w:tcPr>
            <w:tcW w:w="1276" w:type="dxa"/>
            <w:vAlign w:val="center"/>
          </w:tcPr>
          <w:p>
            <w:pPr>
              <w:pStyle w:val="13"/>
            </w:pPr>
            <w:r>
              <w:t>≥25人</w:t>
            </w:r>
          </w:p>
        </w:tc>
        <w:tc>
          <w:tcPr>
            <w:tcW w:w="1843" w:type="dxa"/>
            <w:vAlign w:val="center"/>
          </w:tcPr>
          <w:p>
            <w:pPr>
              <w:pStyle w:val="13"/>
            </w:pPr>
            <w:r>
              <w:t>2026年消防工作计划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设备购置数量</w:t>
            </w:r>
          </w:p>
        </w:tc>
        <w:tc>
          <w:tcPr>
            <w:tcW w:w="2891" w:type="dxa"/>
            <w:vAlign w:val="center"/>
          </w:tcPr>
          <w:p>
            <w:pPr>
              <w:pStyle w:val="13"/>
            </w:pPr>
            <w:r>
              <w:t>设备购置数量</w:t>
            </w:r>
          </w:p>
        </w:tc>
        <w:tc>
          <w:tcPr>
            <w:tcW w:w="1276" w:type="dxa"/>
            <w:vAlign w:val="center"/>
          </w:tcPr>
          <w:p>
            <w:pPr>
              <w:pStyle w:val="13"/>
            </w:pPr>
            <w:r>
              <w:t>≥5种</w:t>
            </w:r>
          </w:p>
        </w:tc>
        <w:tc>
          <w:tcPr>
            <w:tcW w:w="1843" w:type="dxa"/>
            <w:vAlign w:val="center"/>
          </w:tcPr>
          <w:p>
            <w:pPr>
              <w:pStyle w:val="13"/>
            </w:pPr>
            <w:r>
              <w:t>2026年消防工作计划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设备验收通过率</w:t>
            </w:r>
          </w:p>
        </w:tc>
        <w:tc>
          <w:tcPr>
            <w:tcW w:w="2891" w:type="dxa"/>
            <w:vAlign w:val="center"/>
          </w:tcPr>
          <w:p>
            <w:pPr>
              <w:pStyle w:val="13"/>
            </w:pPr>
            <w:r>
              <w:t>设备验收通过率</w:t>
            </w:r>
          </w:p>
        </w:tc>
        <w:tc>
          <w:tcPr>
            <w:tcW w:w="1276" w:type="dxa"/>
            <w:vAlign w:val="center"/>
          </w:tcPr>
          <w:p>
            <w:pPr>
              <w:pStyle w:val="13"/>
            </w:pPr>
            <w:r>
              <w:t>≥98%</w:t>
            </w:r>
          </w:p>
        </w:tc>
        <w:tc>
          <w:tcPr>
            <w:tcW w:w="1843" w:type="dxa"/>
            <w:vAlign w:val="center"/>
          </w:tcPr>
          <w:p>
            <w:pPr>
              <w:pStyle w:val="13"/>
            </w:pPr>
            <w:r>
              <w:t>《货物验收单》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设备到位率（%）</w:t>
            </w:r>
          </w:p>
        </w:tc>
        <w:tc>
          <w:tcPr>
            <w:tcW w:w="2891" w:type="dxa"/>
            <w:vAlign w:val="center"/>
          </w:tcPr>
          <w:p>
            <w:pPr>
              <w:pStyle w:val="13"/>
            </w:pPr>
            <w:r>
              <w:t>设备设施到位率</w:t>
            </w:r>
          </w:p>
        </w:tc>
        <w:tc>
          <w:tcPr>
            <w:tcW w:w="1276" w:type="dxa"/>
            <w:vAlign w:val="center"/>
          </w:tcPr>
          <w:p>
            <w:pPr>
              <w:pStyle w:val="13"/>
            </w:pPr>
            <w:r>
              <w:t>100%</w:t>
            </w:r>
          </w:p>
        </w:tc>
        <w:tc>
          <w:tcPr>
            <w:tcW w:w="1843" w:type="dxa"/>
            <w:vAlign w:val="center"/>
          </w:tcPr>
          <w:p>
            <w:pPr>
              <w:pStyle w:val="13"/>
            </w:pPr>
            <w:r>
              <w:t>《货物验收单》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设备购置尾款</w:t>
            </w:r>
          </w:p>
        </w:tc>
        <w:tc>
          <w:tcPr>
            <w:tcW w:w="2891" w:type="dxa"/>
            <w:vAlign w:val="center"/>
          </w:tcPr>
          <w:p>
            <w:pPr>
              <w:pStyle w:val="13"/>
            </w:pPr>
            <w:r>
              <w:t>设备购置尾款资金</w:t>
            </w:r>
          </w:p>
        </w:tc>
        <w:tc>
          <w:tcPr>
            <w:tcW w:w="1276" w:type="dxa"/>
            <w:vAlign w:val="center"/>
          </w:tcPr>
          <w:p>
            <w:pPr>
              <w:pStyle w:val="13"/>
            </w:pPr>
            <w:r>
              <w:t>50万元</w:t>
            </w:r>
          </w:p>
        </w:tc>
        <w:tc>
          <w:tcPr>
            <w:tcW w:w="1843" w:type="dxa"/>
            <w:vAlign w:val="center"/>
          </w:tcPr>
          <w:p>
            <w:pPr>
              <w:pStyle w:val="13"/>
            </w:pPr>
            <w:r>
              <w:t>天长消防救援站功能用房配套设备及物品采购项目《采购合同》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设备使用率（%）</w:t>
            </w:r>
          </w:p>
        </w:tc>
        <w:tc>
          <w:tcPr>
            <w:tcW w:w="2891" w:type="dxa"/>
            <w:vAlign w:val="center"/>
          </w:tcPr>
          <w:p>
            <w:pPr>
              <w:pStyle w:val="13"/>
            </w:pPr>
            <w:r>
              <w:t>设备使用率（%）</w:t>
            </w:r>
          </w:p>
        </w:tc>
        <w:tc>
          <w:tcPr>
            <w:tcW w:w="1276" w:type="dxa"/>
            <w:vAlign w:val="center"/>
          </w:tcPr>
          <w:p>
            <w:pPr>
              <w:pStyle w:val="13"/>
            </w:pPr>
            <w:r>
              <w:t>≥95%</w:t>
            </w:r>
          </w:p>
        </w:tc>
        <w:tc>
          <w:tcPr>
            <w:tcW w:w="1843" w:type="dxa"/>
            <w:vAlign w:val="center"/>
          </w:tcPr>
          <w:p>
            <w:pPr>
              <w:pStyle w:val="13"/>
            </w:pPr>
            <w:r>
              <w:t>《货物验收单》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使用部门满意度</w:t>
            </w:r>
          </w:p>
        </w:tc>
        <w:tc>
          <w:tcPr>
            <w:tcW w:w="2891" w:type="dxa"/>
            <w:vAlign w:val="center"/>
          </w:tcPr>
          <w:p>
            <w:pPr>
              <w:pStyle w:val="13"/>
            </w:pPr>
            <w:r>
              <w:t>使用部门满意度</w:t>
            </w:r>
          </w:p>
        </w:tc>
        <w:tc>
          <w:tcPr>
            <w:tcW w:w="1276" w:type="dxa"/>
            <w:vAlign w:val="center"/>
          </w:tcPr>
          <w:p>
            <w:pPr>
              <w:pStyle w:val="13"/>
            </w:pPr>
            <w:r>
              <w:t>≥95%</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08"/>
      <w:r>
        <w:rPr>
          <w:rFonts w:ascii="方正仿宋_GBK" w:hAnsi="方正仿宋_GBK" w:eastAsia="方正仿宋_GBK" w:cs="方正仿宋_GBK"/>
          <w:color w:val="000000"/>
          <w:sz w:val="28"/>
        </w:rPr>
        <w:t>5.农房保险县级配套资金绩效目标表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13012126P00949210006T</w:t>
            </w:r>
          </w:p>
        </w:tc>
        <w:tc>
          <w:tcPr>
            <w:tcW w:w="1587" w:type="dxa"/>
            <w:vAlign w:val="center"/>
          </w:tcPr>
          <w:p>
            <w:pPr>
              <w:pStyle w:val="11"/>
            </w:pPr>
            <w:r>
              <w:t>项目名称</w:t>
            </w:r>
          </w:p>
        </w:tc>
        <w:tc>
          <w:tcPr>
            <w:tcW w:w="4423" w:type="dxa"/>
            <w:gridSpan w:val="3"/>
            <w:vAlign w:val="center"/>
          </w:tcPr>
          <w:p>
            <w:pPr>
              <w:pStyle w:val="13"/>
            </w:pPr>
            <w:r>
              <w:t>农房保险县级配套资金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136000.00</w:t>
            </w:r>
          </w:p>
        </w:tc>
        <w:tc>
          <w:tcPr>
            <w:tcW w:w="1587" w:type="dxa"/>
            <w:vAlign w:val="center"/>
          </w:tcPr>
          <w:p>
            <w:pPr>
              <w:pStyle w:val="11"/>
            </w:pPr>
            <w:r>
              <w:t>其中：财政    资金</w:t>
            </w:r>
          </w:p>
        </w:tc>
        <w:tc>
          <w:tcPr>
            <w:tcW w:w="1304" w:type="dxa"/>
            <w:vAlign w:val="center"/>
          </w:tcPr>
          <w:p>
            <w:pPr>
              <w:pStyle w:val="13"/>
            </w:pPr>
            <w:r>
              <w:t>136000.00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通过支付资金，及时、足额缴纳农房保险费用。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100%</w:t>
            </w:r>
          </w:p>
        </w:tc>
        <w:tc>
          <w:tcPr>
            <w:tcW w:w="1587" w:type="dxa"/>
            <w:vAlign w:val="center"/>
          </w:tcPr>
          <w:p>
            <w:pPr>
              <w:pStyle w:val="14"/>
            </w:pPr>
            <w:r>
              <w:t xml:space="preserve"> </w:t>
            </w:r>
          </w:p>
        </w:tc>
        <w:tc>
          <w:tcPr>
            <w:tcW w:w="1304" w:type="dxa"/>
            <w:vAlign w:val="center"/>
          </w:tcPr>
          <w:p>
            <w:pPr>
              <w:pStyle w:val="14"/>
            </w:pPr>
            <w:r>
              <w:t xml:space="preserve"> </w:t>
            </w:r>
          </w:p>
        </w:tc>
        <w:tc>
          <w:tcPr>
            <w:tcW w:w="311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1.通过支付资金，及时、足额缴纳农房保险费用。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井陉县农户总数</w:t>
            </w:r>
          </w:p>
        </w:tc>
        <w:tc>
          <w:tcPr>
            <w:tcW w:w="2891" w:type="dxa"/>
            <w:vAlign w:val="center"/>
          </w:tcPr>
          <w:p>
            <w:pPr>
              <w:pStyle w:val="13"/>
            </w:pPr>
            <w:r>
              <w:t>井陉县农户总数量</w:t>
            </w:r>
          </w:p>
        </w:tc>
        <w:tc>
          <w:tcPr>
            <w:tcW w:w="1276" w:type="dxa"/>
            <w:vAlign w:val="center"/>
          </w:tcPr>
          <w:p>
            <w:pPr>
              <w:pStyle w:val="13"/>
            </w:pPr>
            <w:r>
              <w:t>73593户</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农房保险入保准确率</w:t>
            </w:r>
          </w:p>
        </w:tc>
        <w:tc>
          <w:tcPr>
            <w:tcW w:w="2891" w:type="dxa"/>
            <w:vAlign w:val="center"/>
          </w:tcPr>
          <w:p>
            <w:pPr>
              <w:pStyle w:val="13"/>
            </w:pPr>
            <w:r>
              <w:t>农房保险入保准确率</w:t>
            </w:r>
          </w:p>
        </w:tc>
        <w:tc>
          <w:tcPr>
            <w:tcW w:w="1276" w:type="dxa"/>
            <w:vAlign w:val="center"/>
          </w:tcPr>
          <w:p>
            <w:pPr>
              <w:pStyle w:val="13"/>
            </w:pPr>
            <w:r>
              <w:t>≥95%</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农户入保及时率</w:t>
            </w:r>
          </w:p>
        </w:tc>
        <w:tc>
          <w:tcPr>
            <w:tcW w:w="2891" w:type="dxa"/>
            <w:vAlign w:val="center"/>
          </w:tcPr>
          <w:p>
            <w:pPr>
              <w:pStyle w:val="13"/>
            </w:pPr>
            <w:r>
              <w:t>实现农户及时入保</w:t>
            </w:r>
          </w:p>
        </w:tc>
        <w:tc>
          <w:tcPr>
            <w:tcW w:w="1276" w:type="dxa"/>
            <w:vAlign w:val="center"/>
          </w:tcPr>
          <w:p>
            <w:pPr>
              <w:pStyle w:val="13"/>
            </w:pPr>
            <w:r>
              <w:t>≥95%</w:t>
            </w:r>
          </w:p>
        </w:tc>
        <w:tc>
          <w:tcPr>
            <w:tcW w:w="1843" w:type="dxa"/>
            <w:vAlign w:val="center"/>
          </w:tcPr>
          <w:p>
            <w:pPr>
              <w:pStyle w:val="13"/>
            </w:pPr>
            <w:r>
              <w:t>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每户农房保险成本</w:t>
            </w:r>
          </w:p>
        </w:tc>
        <w:tc>
          <w:tcPr>
            <w:tcW w:w="2891" w:type="dxa"/>
            <w:vAlign w:val="center"/>
          </w:tcPr>
          <w:p>
            <w:pPr>
              <w:pStyle w:val="13"/>
            </w:pPr>
            <w:r>
              <w:t>平均每户农房保险成本</w:t>
            </w:r>
          </w:p>
        </w:tc>
        <w:tc>
          <w:tcPr>
            <w:tcW w:w="1276" w:type="dxa"/>
            <w:vAlign w:val="center"/>
          </w:tcPr>
          <w:p>
            <w:pPr>
              <w:pStyle w:val="13"/>
            </w:pPr>
            <w:r>
              <w:t>≤2元</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农房保险保障率</w:t>
            </w:r>
          </w:p>
        </w:tc>
        <w:tc>
          <w:tcPr>
            <w:tcW w:w="2891" w:type="dxa"/>
            <w:vAlign w:val="center"/>
          </w:tcPr>
          <w:p>
            <w:pPr>
              <w:pStyle w:val="13"/>
            </w:pPr>
            <w:r>
              <w:t>反映农房保险保障情况</w:t>
            </w:r>
          </w:p>
        </w:tc>
        <w:tc>
          <w:tcPr>
            <w:tcW w:w="1276" w:type="dxa"/>
            <w:vAlign w:val="center"/>
          </w:tcPr>
          <w:p>
            <w:pPr>
              <w:pStyle w:val="13"/>
            </w:pPr>
            <w:r>
              <w:t>≥95%</w:t>
            </w:r>
          </w:p>
        </w:tc>
        <w:tc>
          <w:tcPr>
            <w:tcW w:w="1843" w:type="dxa"/>
            <w:vAlign w:val="center"/>
          </w:tcPr>
          <w:p>
            <w:pPr>
              <w:pStyle w:val="13"/>
            </w:pPr>
            <w:r>
              <w:t>《河北省应急管理厅、河北省财政厅、河北银保监局关于加强和规范全省政策性农房保险工作的通知》（冀应急〔2020〕24号）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农户满意度</w:t>
            </w:r>
          </w:p>
        </w:tc>
        <w:tc>
          <w:tcPr>
            <w:tcW w:w="2891" w:type="dxa"/>
            <w:vAlign w:val="center"/>
          </w:tcPr>
          <w:p>
            <w:pPr>
              <w:pStyle w:val="13"/>
            </w:pPr>
            <w:r>
              <w:t>反映农户的满意程度</w:t>
            </w:r>
          </w:p>
        </w:tc>
        <w:tc>
          <w:tcPr>
            <w:tcW w:w="1276" w:type="dxa"/>
            <w:vAlign w:val="center"/>
          </w:tcPr>
          <w:p>
            <w:pPr>
              <w:pStyle w:val="13"/>
            </w:pPr>
            <w:r>
              <w:t>≥95%</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09"/>
      <w:r>
        <w:rPr>
          <w:rFonts w:ascii="方正仿宋_GBK" w:hAnsi="方正仿宋_GBK" w:eastAsia="方正仿宋_GBK" w:cs="方正仿宋_GBK"/>
          <w:color w:val="000000"/>
          <w:sz w:val="28"/>
        </w:rPr>
        <w:t>6.森林消防大队公用经费绩效目标表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13012126P009487100035</w:t>
            </w:r>
          </w:p>
        </w:tc>
        <w:tc>
          <w:tcPr>
            <w:tcW w:w="1587" w:type="dxa"/>
            <w:vAlign w:val="center"/>
          </w:tcPr>
          <w:p>
            <w:pPr>
              <w:pStyle w:val="11"/>
            </w:pPr>
            <w:r>
              <w:t>项目名称</w:t>
            </w:r>
          </w:p>
        </w:tc>
        <w:tc>
          <w:tcPr>
            <w:tcW w:w="4423" w:type="dxa"/>
            <w:gridSpan w:val="3"/>
            <w:vAlign w:val="center"/>
          </w:tcPr>
          <w:p>
            <w:pPr>
              <w:pStyle w:val="13"/>
            </w:pPr>
            <w:r>
              <w:t>森林消防大队公用经费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730000.00</w:t>
            </w:r>
          </w:p>
        </w:tc>
        <w:tc>
          <w:tcPr>
            <w:tcW w:w="1587" w:type="dxa"/>
            <w:vAlign w:val="center"/>
          </w:tcPr>
          <w:p>
            <w:pPr>
              <w:pStyle w:val="11"/>
            </w:pPr>
            <w:r>
              <w:t>其中：财政    资金</w:t>
            </w:r>
          </w:p>
        </w:tc>
        <w:tc>
          <w:tcPr>
            <w:tcW w:w="1304" w:type="dxa"/>
            <w:vAlign w:val="center"/>
          </w:tcPr>
          <w:p>
            <w:pPr>
              <w:pStyle w:val="13"/>
            </w:pPr>
            <w:r>
              <w:t>730000.00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通过支付保险、燃油、装备维护、学习宣传及其他日常消耗等费用保障森林消防大队人员工作正常运行。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20%</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1.通过支付保险、燃油、装备维护、学习宣传及其他日常消耗等费用保障森林消防大队人员工作正常运行。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保障办公人数</w:t>
            </w:r>
          </w:p>
        </w:tc>
        <w:tc>
          <w:tcPr>
            <w:tcW w:w="2891" w:type="dxa"/>
            <w:vAlign w:val="center"/>
          </w:tcPr>
          <w:p>
            <w:pPr>
              <w:pStyle w:val="13"/>
            </w:pPr>
            <w:r>
              <w:t>保障办公人数112人</w:t>
            </w:r>
          </w:p>
        </w:tc>
        <w:tc>
          <w:tcPr>
            <w:tcW w:w="1276" w:type="dxa"/>
            <w:vAlign w:val="center"/>
          </w:tcPr>
          <w:p>
            <w:pPr>
              <w:pStyle w:val="13"/>
            </w:pPr>
            <w:r>
              <w:t>109人</w:t>
            </w:r>
          </w:p>
        </w:tc>
        <w:tc>
          <w:tcPr>
            <w:tcW w:w="1843" w:type="dxa"/>
            <w:vAlign w:val="center"/>
          </w:tcPr>
          <w:p>
            <w:pPr>
              <w:pStyle w:val="13"/>
            </w:pPr>
            <w:r>
              <w:t>2026年度森林消防大队保障工作计划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日常工作保障率</w:t>
            </w:r>
          </w:p>
        </w:tc>
        <w:tc>
          <w:tcPr>
            <w:tcW w:w="2891" w:type="dxa"/>
            <w:vAlign w:val="center"/>
          </w:tcPr>
          <w:p>
            <w:pPr>
              <w:pStyle w:val="13"/>
            </w:pPr>
            <w:r>
              <w:t>各项日常工作保障情况</w:t>
            </w:r>
          </w:p>
        </w:tc>
        <w:tc>
          <w:tcPr>
            <w:tcW w:w="1276" w:type="dxa"/>
            <w:vAlign w:val="center"/>
          </w:tcPr>
          <w:p>
            <w:pPr>
              <w:pStyle w:val="13"/>
            </w:pPr>
            <w:r>
              <w:t>≥95%</w:t>
            </w:r>
          </w:p>
        </w:tc>
        <w:tc>
          <w:tcPr>
            <w:tcW w:w="1843" w:type="dxa"/>
            <w:vAlign w:val="center"/>
          </w:tcPr>
          <w:p>
            <w:pPr>
              <w:pStyle w:val="13"/>
            </w:pPr>
            <w:r>
              <w:t>2026年度森林消防大队保障工作计划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经费保障及时率</w:t>
            </w:r>
          </w:p>
        </w:tc>
        <w:tc>
          <w:tcPr>
            <w:tcW w:w="2891" w:type="dxa"/>
            <w:vAlign w:val="center"/>
          </w:tcPr>
          <w:p>
            <w:pPr>
              <w:pStyle w:val="13"/>
            </w:pPr>
            <w:r>
              <w:t>及时保障各项日常办公需要</w:t>
            </w:r>
          </w:p>
        </w:tc>
        <w:tc>
          <w:tcPr>
            <w:tcW w:w="1276" w:type="dxa"/>
            <w:vAlign w:val="center"/>
          </w:tcPr>
          <w:p>
            <w:pPr>
              <w:pStyle w:val="13"/>
            </w:pPr>
            <w:r>
              <w:t>每月按时发放</w:t>
            </w:r>
          </w:p>
        </w:tc>
        <w:tc>
          <w:tcPr>
            <w:tcW w:w="1843" w:type="dxa"/>
            <w:vAlign w:val="center"/>
          </w:tcPr>
          <w:p>
            <w:pPr>
              <w:pStyle w:val="13"/>
            </w:pPr>
            <w:r>
              <w:t>2026年度森林消防大队保障工作计划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森林消防大队运行保障成本</w:t>
            </w:r>
          </w:p>
        </w:tc>
        <w:tc>
          <w:tcPr>
            <w:tcW w:w="2891" w:type="dxa"/>
            <w:vAlign w:val="center"/>
          </w:tcPr>
          <w:p>
            <w:pPr>
              <w:pStyle w:val="13"/>
            </w:pPr>
            <w:r>
              <w:t>森林消防大队运行保障成本</w:t>
            </w:r>
          </w:p>
        </w:tc>
        <w:tc>
          <w:tcPr>
            <w:tcW w:w="1276" w:type="dxa"/>
            <w:vAlign w:val="center"/>
          </w:tcPr>
          <w:p>
            <w:pPr>
              <w:pStyle w:val="13"/>
            </w:pPr>
            <w:r>
              <w:t>≤73万元</w:t>
            </w:r>
          </w:p>
        </w:tc>
        <w:tc>
          <w:tcPr>
            <w:tcW w:w="1843" w:type="dxa"/>
            <w:vAlign w:val="center"/>
          </w:tcPr>
          <w:p>
            <w:pPr>
              <w:pStyle w:val="13"/>
            </w:pPr>
            <w:r>
              <w:t>2026年度森林消防大队保障工作计划</w:t>
            </w:r>
            <w:bookmarkStart w:id="18" w:name="_GoBack"/>
            <w:bookmarkEnd w:id="18"/>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劳务派遣考核通过率</w:t>
            </w:r>
          </w:p>
        </w:tc>
        <w:tc>
          <w:tcPr>
            <w:tcW w:w="2891" w:type="dxa"/>
            <w:vAlign w:val="center"/>
          </w:tcPr>
          <w:p>
            <w:pPr>
              <w:pStyle w:val="13"/>
            </w:pPr>
            <w:r>
              <w:t>通过考核按时按标准发放工资福利等，进一步增强干部职工</w:t>
            </w:r>
            <w:r>
              <w:rPr>
                <w:rFonts w:hint="eastAsia"/>
                <w:lang w:eastAsia="zh-CN"/>
              </w:rPr>
              <w:t>的</w:t>
            </w:r>
            <w:r>
              <w:t>归属感，保持干部队伍相对稳定，保障办公正常运转</w:t>
            </w:r>
          </w:p>
        </w:tc>
        <w:tc>
          <w:tcPr>
            <w:tcW w:w="1276" w:type="dxa"/>
            <w:vAlign w:val="center"/>
          </w:tcPr>
          <w:p>
            <w:pPr>
              <w:pStyle w:val="13"/>
            </w:pPr>
            <w:r>
              <w:t>≥95%</w:t>
            </w:r>
          </w:p>
        </w:tc>
        <w:tc>
          <w:tcPr>
            <w:tcW w:w="1843" w:type="dxa"/>
            <w:vAlign w:val="center"/>
          </w:tcPr>
          <w:p>
            <w:pPr>
              <w:pStyle w:val="13"/>
            </w:pPr>
            <w:r>
              <w:t>2026年度森林消防大队保障工作计划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单位人员满意度</w:t>
            </w:r>
          </w:p>
        </w:tc>
        <w:tc>
          <w:tcPr>
            <w:tcW w:w="2891" w:type="dxa"/>
            <w:vAlign w:val="center"/>
          </w:tcPr>
          <w:p>
            <w:pPr>
              <w:pStyle w:val="13"/>
            </w:pPr>
            <w:r>
              <w:t>单位人员对工资福利等发放工作的满意程度</w:t>
            </w:r>
          </w:p>
        </w:tc>
        <w:tc>
          <w:tcPr>
            <w:tcW w:w="1276" w:type="dxa"/>
            <w:vAlign w:val="center"/>
          </w:tcPr>
          <w:p>
            <w:pPr>
              <w:pStyle w:val="13"/>
            </w:pPr>
            <w:r>
              <w:t>≥95%</w:t>
            </w:r>
          </w:p>
        </w:tc>
        <w:tc>
          <w:tcPr>
            <w:tcW w:w="1843" w:type="dxa"/>
            <w:vAlign w:val="center"/>
          </w:tcPr>
          <w:p>
            <w:pPr>
              <w:pStyle w:val="13"/>
            </w:pPr>
            <w:r>
              <w:t>单位人员满意度调查问卷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r>
        <w:rPr>
          <w:rFonts w:ascii="方正仿宋_GBK" w:hAnsi="方正仿宋_GBK" w:eastAsia="方正仿宋_GBK" w:cs="方正仿宋_GBK"/>
          <w:color w:val="000000"/>
          <w:sz w:val="28"/>
        </w:rPr>
        <w:t>7.森林消防大队人员经费（森林消防员）绩效目标表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13012126P00007310195C</w:t>
            </w:r>
          </w:p>
        </w:tc>
        <w:tc>
          <w:tcPr>
            <w:tcW w:w="1587" w:type="dxa"/>
            <w:vAlign w:val="center"/>
          </w:tcPr>
          <w:p>
            <w:pPr>
              <w:pStyle w:val="11"/>
            </w:pPr>
            <w:r>
              <w:t>项目名称</w:t>
            </w:r>
          </w:p>
        </w:tc>
        <w:tc>
          <w:tcPr>
            <w:tcW w:w="4423" w:type="dxa"/>
            <w:gridSpan w:val="3"/>
            <w:vAlign w:val="center"/>
          </w:tcPr>
          <w:p>
            <w:pPr>
              <w:pStyle w:val="13"/>
            </w:pPr>
            <w:r>
              <w:t>森林消防大队人员经费（森林消防员）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5170000.00</w:t>
            </w:r>
          </w:p>
        </w:tc>
        <w:tc>
          <w:tcPr>
            <w:tcW w:w="1587" w:type="dxa"/>
            <w:vAlign w:val="center"/>
          </w:tcPr>
          <w:p>
            <w:pPr>
              <w:pStyle w:val="11"/>
            </w:pPr>
            <w:r>
              <w:t>其中：财政    资金</w:t>
            </w:r>
          </w:p>
        </w:tc>
        <w:tc>
          <w:tcPr>
            <w:tcW w:w="1304" w:type="dxa"/>
            <w:vAlign w:val="center"/>
          </w:tcPr>
          <w:p>
            <w:pPr>
              <w:pStyle w:val="13"/>
            </w:pPr>
            <w:r>
              <w:t>5170000.00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保障工资、伙食费、养老医疗等人员经费517万元。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20%</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1.保障工资、伙食费、养老医疗等人员经费517万元。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保障劳务派遣人数</w:t>
            </w:r>
          </w:p>
        </w:tc>
        <w:tc>
          <w:tcPr>
            <w:tcW w:w="2891" w:type="dxa"/>
            <w:vAlign w:val="center"/>
          </w:tcPr>
          <w:p>
            <w:pPr>
              <w:pStyle w:val="13"/>
            </w:pPr>
            <w:r>
              <w:t>保障劳务派遣人数</w:t>
            </w:r>
          </w:p>
        </w:tc>
        <w:tc>
          <w:tcPr>
            <w:tcW w:w="1276" w:type="dxa"/>
            <w:vAlign w:val="center"/>
          </w:tcPr>
          <w:p>
            <w:pPr>
              <w:pStyle w:val="13"/>
            </w:pPr>
            <w:r>
              <w:t>109人</w:t>
            </w:r>
          </w:p>
        </w:tc>
        <w:tc>
          <w:tcPr>
            <w:tcW w:w="1843" w:type="dxa"/>
            <w:vAlign w:val="center"/>
          </w:tcPr>
          <w:p>
            <w:pPr>
              <w:pStyle w:val="13"/>
            </w:pPr>
            <w:r>
              <w:t>2026年度劳务派遣合同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保障劳务派遣人员出勤率</w:t>
            </w:r>
          </w:p>
        </w:tc>
        <w:tc>
          <w:tcPr>
            <w:tcW w:w="2891" w:type="dxa"/>
            <w:vAlign w:val="center"/>
          </w:tcPr>
          <w:p>
            <w:pPr>
              <w:pStyle w:val="13"/>
            </w:pPr>
            <w:r>
              <w:t>劳务派遣人员出勤率</w:t>
            </w:r>
          </w:p>
        </w:tc>
        <w:tc>
          <w:tcPr>
            <w:tcW w:w="1276" w:type="dxa"/>
            <w:vAlign w:val="center"/>
          </w:tcPr>
          <w:p>
            <w:pPr>
              <w:pStyle w:val="13"/>
            </w:pPr>
            <w:r>
              <w:t>≥90%</w:t>
            </w:r>
          </w:p>
        </w:tc>
        <w:tc>
          <w:tcPr>
            <w:tcW w:w="1843" w:type="dxa"/>
            <w:vAlign w:val="center"/>
          </w:tcPr>
          <w:p>
            <w:pPr>
              <w:pStyle w:val="13"/>
            </w:pPr>
            <w:r>
              <w:t>2026年度劳务派遣合同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劳务派遣工资发放频次</w:t>
            </w:r>
          </w:p>
        </w:tc>
        <w:tc>
          <w:tcPr>
            <w:tcW w:w="2891" w:type="dxa"/>
            <w:vAlign w:val="center"/>
          </w:tcPr>
          <w:p>
            <w:pPr>
              <w:pStyle w:val="13"/>
            </w:pPr>
            <w:r>
              <w:t>保障劳务派遣工资发放频次</w:t>
            </w:r>
          </w:p>
        </w:tc>
        <w:tc>
          <w:tcPr>
            <w:tcW w:w="1276" w:type="dxa"/>
            <w:vAlign w:val="center"/>
          </w:tcPr>
          <w:p>
            <w:pPr>
              <w:pStyle w:val="13"/>
            </w:pPr>
            <w:r>
              <w:t>每月按时发放</w:t>
            </w:r>
          </w:p>
        </w:tc>
        <w:tc>
          <w:tcPr>
            <w:tcW w:w="1843" w:type="dxa"/>
            <w:vAlign w:val="center"/>
          </w:tcPr>
          <w:p>
            <w:pPr>
              <w:pStyle w:val="13"/>
            </w:pPr>
            <w:r>
              <w:t>2026年度劳务派遣合同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月均发放工资</w:t>
            </w:r>
          </w:p>
        </w:tc>
        <w:tc>
          <w:tcPr>
            <w:tcW w:w="2891" w:type="dxa"/>
            <w:vAlign w:val="center"/>
          </w:tcPr>
          <w:p>
            <w:pPr>
              <w:pStyle w:val="13"/>
            </w:pPr>
            <w:r>
              <w:t>月均发放工资</w:t>
            </w:r>
          </w:p>
        </w:tc>
        <w:tc>
          <w:tcPr>
            <w:tcW w:w="1276" w:type="dxa"/>
            <w:vAlign w:val="center"/>
          </w:tcPr>
          <w:p>
            <w:pPr>
              <w:pStyle w:val="13"/>
            </w:pPr>
            <w:r>
              <w:t>≤43.08万元</w:t>
            </w:r>
          </w:p>
        </w:tc>
        <w:tc>
          <w:tcPr>
            <w:tcW w:w="1843" w:type="dxa"/>
            <w:vAlign w:val="center"/>
          </w:tcPr>
          <w:p>
            <w:pPr>
              <w:pStyle w:val="13"/>
            </w:pPr>
            <w:r>
              <w:t>2026年度森林消防大队运行测算计划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劳务派遣考核通过率</w:t>
            </w:r>
          </w:p>
        </w:tc>
        <w:tc>
          <w:tcPr>
            <w:tcW w:w="2891" w:type="dxa"/>
            <w:vAlign w:val="center"/>
          </w:tcPr>
          <w:p>
            <w:pPr>
              <w:pStyle w:val="13"/>
            </w:pPr>
            <w:r>
              <w:t>通过考核按时按标准发放工资福利等，进一步增强干部职工</w:t>
            </w:r>
            <w:r>
              <w:rPr>
                <w:rFonts w:hint="eastAsia"/>
                <w:lang w:eastAsia="zh-CN"/>
              </w:rPr>
              <w:t>的</w:t>
            </w:r>
            <w:r>
              <w:t>归属感，保持干部队伍相对稳定，保障办公正常运转</w:t>
            </w:r>
          </w:p>
        </w:tc>
        <w:tc>
          <w:tcPr>
            <w:tcW w:w="1276" w:type="dxa"/>
            <w:vAlign w:val="center"/>
          </w:tcPr>
          <w:p>
            <w:pPr>
              <w:pStyle w:val="13"/>
            </w:pPr>
            <w:r>
              <w:t>≥90%</w:t>
            </w:r>
          </w:p>
        </w:tc>
        <w:tc>
          <w:tcPr>
            <w:tcW w:w="1843" w:type="dxa"/>
            <w:vAlign w:val="center"/>
          </w:tcPr>
          <w:p>
            <w:pPr>
              <w:pStyle w:val="13"/>
            </w:pPr>
            <w:r>
              <w:t>根据往年工作经验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单位人员满意度</w:t>
            </w:r>
          </w:p>
        </w:tc>
        <w:tc>
          <w:tcPr>
            <w:tcW w:w="2891" w:type="dxa"/>
            <w:vAlign w:val="center"/>
          </w:tcPr>
          <w:p>
            <w:pPr>
              <w:pStyle w:val="13"/>
            </w:pPr>
            <w:r>
              <w:t>单位人员对工资福利等发放工作的满意程度</w:t>
            </w:r>
          </w:p>
        </w:tc>
        <w:tc>
          <w:tcPr>
            <w:tcW w:w="1276" w:type="dxa"/>
            <w:vAlign w:val="center"/>
          </w:tcPr>
          <w:p>
            <w:pPr>
              <w:pStyle w:val="13"/>
            </w:pPr>
            <w:r>
              <w:t>≥95%</w:t>
            </w:r>
          </w:p>
        </w:tc>
        <w:tc>
          <w:tcPr>
            <w:tcW w:w="1843" w:type="dxa"/>
            <w:vAlign w:val="center"/>
          </w:tcPr>
          <w:p>
            <w:pPr>
              <w:pStyle w:val="13"/>
            </w:pPr>
            <w:r>
              <w:t>单位人员调查问卷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1"/>
      <w:r>
        <w:rPr>
          <w:rFonts w:ascii="方正仿宋_GBK" w:hAnsi="方正仿宋_GBK" w:eastAsia="方正仿宋_GBK" w:cs="方正仿宋_GBK"/>
          <w:color w:val="000000"/>
          <w:sz w:val="28"/>
        </w:rPr>
        <w:t>8.石财建[2025]69号关于提前下达2026年市级防震减灾群测群防补助资金的通知绩效目标表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13012126P00137610001L</w:t>
            </w:r>
          </w:p>
        </w:tc>
        <w:tc>
          <w:tcPr>
            <w:tcW w:w="1587" w:type="dxa"/>
            <w:vAlign w:val="center"/>
          </w:tcPr>
          <w:p>
            <w:pPr>
              <w:pStyle w:val="11"/>
            </w:pPr>
            <w:r>
              <w:t>项目名称</w:t>
            </w:r>
          </w:p>
        </w:tc>
        <w:tc>
          <w:tcPr>
            <w:tcW w:w="4423" w:type="dxa"/>
            <w:gridSpan w:val="3"/>
            <w:vAlign w:val="center"/>
          </w:tcPr>
          <w:p>
            <w:pPr>
              <w:pStyle w:val="13"/>
            </w:pPr>
            <w:r>
              <w:t>石财建[2025]69号关于提前下达2026年市级防震减灾群测群防补助资金的通知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5000.00</w:t>
            </w:r>
          </w:p>
        </w:tc>
        <w:tc>
          <w:tcPr>
            <w:tcW w:w="1587" w:type="dxa"/>
            <w:vAlign w:val="center"/>
          </w:tcPr>
          <w:p>
            <w:pPr>
              <w:pStyle w:val="11"/>
            </w:pPr>
            <w:r>
              <w:t>其中：财政    资金</w:t>
            </w:r>
          </w:p>
        </w:tc>
        <w:tc>
          <w:tcPr>
            <w:tcW w:w="1304" w:type="dxa"/>
            <w:vAlign w:val="center"/>
          </w:tcPr>
          <w:p>
            <w:pPr>
              <w:pStyle w:val="13"/>
            </w:pPr>
            <w:r>
              <w:t>5000.00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通过补充县级地震群测群防工作经费，确保地震监测台站运行率、数据质量优秀率等绩效考核指标达标。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 xml:space="preserve"> </w:t>
            </w:r>
          </w:p>
        </w:tc>
        <w:tc>
          <w:tcPr>
            <w:tcW w:w="1304" w:type="dxa"/>
            <w:vAlign w:val="center"/>
          </w:tcPr>
          <w:p>
            <w:pPr>
              <w:pStyle w:val="14"/>
            </w:pPr>
            <w:r>
              <w:t>100%</w:t>
            </w:r>
          </w:p>
        </w:tc>
        <w:tc>
          <w:tcPr>
            <w:tcW w:w="3119"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1.通过补充县级地震群测群防工作经费，确保地震监测台站运行率、数据质量优秀率等绩效考核指标达标。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微观观测点正常运</w:t>
            </w:r>
          </w:p>
          <w:p>
            <w:pPr>
              <w:pStyle w:val="13"/>
            </w:pPr>
            <w:r>
              <w:t>行率</w:t>
            </w:r>
          </w:p>
        </w:tc>
        <w:tc>
          <w:tcPr>
            <w:tcW w:w="2891" w:type="dxa"/>
            <w:vAlign w:val="center"/>
          </w:tcPr>
          <w:p>
            <w:pPr>
              <w:pStyle w:val="13"/>
            </w:pPr>
            <w:r>
              <w:t>地震前兆微观观测点</w:t>
            </w:r>
          </w:p>
          <w:p>
            <w:pPr>
              <w:pStyle w:val="13"/>
            </w:pPr>
            <w:r>
              <w:t>正常运行率</w:t>
            </w:r>
          </w:p>
        </w:tc>
        <w:tc>
          <w:tcPr>
            <w:tcW w:w="1276" w:type="dxa"/>
            <w:vAlign w:val="center"/>
          </w:tcPr>
          <w:p>
            <w:pPr>
              <w:pStyle w:val="13"/>
            </w:pPr>
            <w:r>
              <w:t>≥90%</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按时进行地震灾情</w:t>
            </w:r>
          </w:p>
          <w:p>
            <w:pPr>
              <w:pStyle w:val="13"/>
            </w:pPr>
            <w:r>
              <w:t>速报</w:t>
            </w:r>
          </w:p>
        </w:tc>
        <w:tc>
          <w:tcPr>
            <w:tcW w:w="2891" w:type="dxa"/>
            <w:vAlign w:val="center"/>
          </w:tcPr>
          <w:p>
            <w:pPr>
              <w:pStyle w:val="13"/>
            </w:pPr>
            <w:r>
              <w:t>按照有关工作要求，完</w:t>
            </w:r>
          </w:p>
          <w:p>
            <w:pPr>
              <w:pStyle w:val="13"/>
            </w:pPr>
            <w:r>
              <w:t>成地震灾情速报工作。</w:t>
            </w:r>
          </w:p>
        </w:tc>
        <w:tc>
          <w:tcPr>
            <w:tcW w:w="1276" w:type="dxa"/>
            <w:vAlign w:val="center"/>
          </w:tcPr>
          <w:p>
            <w:pPr>
              <w:pStyle w:val="13"/>
            </w:pPr>
            <w:r>
              <w:t>规定时间内完成上报</w:t>
            </w:r>
          </w:p>
          <w:p>
            <w:pPr>
              <w:pStyle w:val="13"/>
            </w:pPr>
            <w:r>
              <w:t>工作</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预算总成本</w:t>
            </w:r>
          </w:p>
        </w:tc>
        <w:tc>
          <w:tcPr>
            <w:tcW w:w="2891" w:type="dxa"/>
            <w:vAlign w:val="center"/>
          </w:tcPr>
          <w:p>
            <w:pPr>
              <w:pStyle w:val="13"/>
            </w:pPr>
            <w:r>
              <w:t>防震减灾群测群防专</w:t>
            </w:r>
          </w:p>
          <w:p>
            <w:pPr>
              <w:pStyle w:val="13"/>
            </w:pPr>
            <w:r>
              <w:t>项经费总金额</w:t>
            </w:r>
          </w:p>
        </w:tc>
        <w:tc>
          <w:tcPr>
            <w:tcW w:w="1276" w:type="dxa"/>
            <w:vAlign w:val="center"/>
          </w:tcPr>
          <w:p>
            <w:pPr>
              <w:pStyle w:val="13"/>
            </w:pPr>
            <w:r>
              <w:t>≤0.5万元</w:t>
            </w:r>
          </w:p>
        </w:tc>
        <w:tc>
          <w:tcPr>
            <w:tcW w:w="1843"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地震宏观观测点</w:t>
            </w:r>
          </w:p>
        </w:tc>
        <w:tc>
          <w:tcPr>
            <w:tcW w:w="2891" w:type="dxa"/>
            <w:vAlign w:val="center"/>
          </w:tcPr>
          <w:p>
            <w:pPr>
              <w:pStyle w:val="13"/>
            </w:pPr>
            <w:r>
              <w:t>地震宏观观测点</w:t>
            </w:r>
          </w:p>
        </w:tc>
        <w:tc>
          <w:tcPr>
            <w:tcW w:w="1276" w:type="dxa"/>
            <w:vAlign w:val="center"/>
          </w:tcPr>
          <w:p>
            <w:pPr>
              <w:pStyle w:val="13"/>
            </w:pPr>
            <w:r>
              <w:t>60个</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降低地震造成的经</w:t>
            </w:r>
          </w:p>
          <w:p>
            <w:pPr>
              <w:pStyle w:val="13"/>
            </w:pPr>
            <w:r>
              <w:t>济损失和人员伤亡</w:t>
            </w:r>
          </w:p>
        </w:tc>
        <w:tc>
          <w:tcPr>
            <w:tcW w:w="2891" w:type="dxa"/>
            <w:vAlign w:val="center"/>
          </w:tcPr>
          <w:p>
            <w:pPr>
              <w:pStyle w:val="13"/>
            </w:pPr>
            <w:r>
              <w:t>降低地震造成的经济</w:t>
            </w:r>
          </w:p>
          <w:p>
            <w:pPr>
              <w:pStyle w:val="13"/>
            </w:pPr>
            <w:r>
              <w:t>损失和人员伤亡</w:t>
            </w:r>
          </w:p>
        </w:tc>
        <w:tc>
          <w:tcPr>
            <w:tcW w:w="1276" w:type="dxa"/>
            <w:vAlign w:val="center"/>
          </w:tcPr>
          <w:p>
            <w:pPr>
              <w:pStyle w:val="13"/>
            </w:pPr>
            <w:r>
              <w:t>进一步降低地震造成的</w:t>
            </w:r>
          </w:p>
          <w:p>
            <w:pPr>
              <w:pStyle w:val="13"/>
            </w:pPr>
            <w:r>
              <w:t>经济损失和人员伤亡</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管理部门满意度</w:t>
            </w:r>
          </w:p>
        </w:tc>
        <w:tc>
          <w:tcPr>
            <w:tcW w:w="2891" w:type="dxa"/>
            <w:vAlign w:val="center"/>
          </w:tcPr>
          <w:p>
            <w:pPr>
              <w:pStyle w:val="13"/>
            </w:pPr>
            <w:r>
              <w:t>上报数据管理部门对</w:t>
            </w:r>
          </w:p>
          <w:p>
            <w:pPr>
              <w:pStyle w:val="13"/>
            </w:pPr>
            <w:r>
              <w:t>开展工作满意度</w:t>
            </w:r>
          </w:p>
        </w:tc>
        <w:tc>
          <w:tcPr>
            <w:tcW w:w="1276" w:type="dxa"/>
            <w:vAlign w:val="center"/>
          </w:tcPr>
          <w:p>
            <w:pPr>
              <w:pStyle w:val="13"/>
            </w:pPr>
            <w:r>
              <w:t>≥90%</w:t>
            </w:r>
          </w:p>
        </w:tc>
        <w:tc>
          <w:tcPr>
            <w:tcW w:w="1843" w:type="dxa"/>
            <w:vAlign w:val="center"/>
          </w:tcPr>
          <w:p>
            <w:pPr>
              <w:pStyle w:val="13"/>
            </w:pPr>
            <w:r>
              <w:t>问卷调查</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5" w:name="_Toc_4_4_0000000012"/>
      <w:r>
        <w:rPr>
          <w:rFonts w:ascii="方正仿宋_GBK" w:hAnsi="方正仿宋_GBK" w:eastAsia="方正仿宋_GBK" w:cs="方正仿宋_GBK"/>
          <w:color w:val="000000"/>
          <w:sz w:val="28"/>
        </w:rPr>
        <w:t>9.应急物资储备库运行经费绩效目标表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13012126P00949210007E</w:t>
            </w:r>
          </w:p>
        </w:tc>
        <w:tc>
          <w:tcPr>
            <w:tcW w:w="1587" w:type="dxa"/>
            <w:vAlign w:val="center"/>
          </w:tcPr>
          <w:p>
            <w:pPr>
              <w:pStyle w:val="11"/>
            </w:pPr>
            <w:r>
              <w:t>项目名称</w:t>
            </w:r>
          </w:p>
        </w:tc>
        <w:tc>
          <w:tcPr>
            <w:tcW w:w="4423" w:type="dxa"/>
            <w:gridSpan w:val="3"/>
            <w:vAlign w:val="center"/>
          </w:tcPr>
          <w:p>
            <w:pPr>
              <w:pStyle w:val="13"/>
            </w:pPr>
            <w:r>
              <w:t>应急物资储备库运行经费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104000.00</w:t>
            </w:r>
          </w:p>
        </w:tc>
        <w:tc>
          <w:tcPr>
            <w:tcW w:w="1587" w:type="dxa"/>
            <w:vAlign w:val="center"/>
          </w:tcPr>
          <w:p>
            <w:pPr>
              <w:pStyle w:val="11"/>
            </w:pPr>
            <w:r>
              <w:t>其中：财政    资金</w:t>
            </w:r>
          </w:p>
        </w:tc>
        <w:tc>
          <w:tcPr>
            <w:tcW w:w="1304" w:type="dxa"/>
            <w:vAlign w:val="center"/>
          </w:tcPr>
          <w:p>
            <w:pPr>
              <w:pStyle w:val="13"/>
            </w:pPr>
            <w:r>
              <w:t>104000.00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物资储备库租赁费9万元及保障防火设备灭火器材更换，检修、防潮措施、置物架补充、防盗设备网络服务费等保障措施1.4万元。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 xml:space="preserve"> </w:t>
            </w:r>
          </w:p>
        </w:tc>
        <w:tc>
          <w:tcPr>
            <w:tcW w:w="1304" w:type="dxa"/>
            <w:vAlign w:val="center"/>
          </w:tcPr>
          <w:p>
            <w:pPr>
              <w:pStyle w:val="14"/>
            </w:pPr>
            <w:r>
              <w:t>80%</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1.物资储备库租赁费9万元及保障防火设备灭火器材更换，检修、防潮措施、置物架补充、防盗设备网络服务费等保障措施1.4万元。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物资储备库租赁面积</w:t>
            </w:r>
          </w:p>
        </w:tc>
        <w:tc>
          <w:tcPr>
            <w:tcW w:w="2891" w:type="dxa"/>
            <w:vAlign w:val="center"/>
          </w:tcPr>
          <w:p>
            <w:pPr>
              <w:pStyle w:val="13"/>
            </w:pPr>
            <w:r>
              <w:t>物资储备库租赁面积860㎡</w:t>
            </w:r>
          </w:p>
        </w:tc>
        <w:tc>
          <w:tcPr>
            <w:tcW w:w="1276" w:type="dxa"/>
            <w:vAlign w:val="center"/>
          </w:tcPr>
          <w:p>
            <w:pPr>
              <w:pStyle w:val="13"/>
            </w:pPr>
            <w:r>
              <w:t>860平方米</w:t>
            </w:r>
          </w:p>
        </w:tc>
        <w:tc>
          <w:tcPr>
            <w:tcW w:w="1843"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物资库运行稳定率</w:t>
            </w:r>
          </w:p>
        </w:tc>
        <w:tc>
          <w:tcPr>
            <w:tcW w:w="2891" w:type="dxa"/>
            <w:vAlign w:val="center"/>
          </w:tcPr>
          <w:p>
            <w:pPr>
              <w:pStyle w:val="13"/>
            </w:pPr>
            <w:r>
              <w:t>物资库运行稳定率</w:t>
            </w:r>
          </w:p>
        </w:tc>
        <w:tc>
          <w:tcPr>
            <w:tcW w:w="1276" w:type="dxa"/>
            <w:vAlign w:val="center"/>
          </w:tcPr>
          <w:p>
            <w:pPr>
              <w:pStyle w:val="13"/>
            </w:pPr>
            <w:r>
              <w:t>≥90%</w:t>
            </w:r>
          </w:p>
        </w:tc>
        <w:tc>
          <w:tcPr>
            <w:tcW w:w="1843" w:type="dxa"/>
            <w:vAlign w:val="center"/>
          </w:tcPr>
          <w:p>
            <w:pPr>
              <w:pStyle w:val="13"/>
            </w:pPr>
            <w:r>
              <w:t>2026年度物资库保障工作计划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物资库租赁期限</w:t>
            </w:r>
          </w:p>
        </w:tc>
        <w:tc>
          <w:tcPr>
            <w:tcW w:w="2891" w:type="dxa"/>
            <w:vAlign w:val="center"/>
          </w:tcPr>
          <w:p>
            <w:pPr>
              <w:pStyle w:val="13"/>
            </w:pPr>
            <w:r>
              <w:t>物资库租赁期限</w:t>
            </w:r>
          </w:p>
        </w:tc>
        <w:tc>
          <w:tcPr>
            <w:tcW w:w="1276" w:type="dxa"/>
            <w:vAlign w:val="center"/>
          </w:tcPr>
          <w:p>
            <w:pPr>
              <w:pStyle w:val="13"/>
            </w:pPr>
            <w:r>
              <w:t>1年</w:t>
            </w:r>
          </w:p>
        </w:tc>
        <w:tc>
          <w:tcPr>
            <w:tcW w:w="1843" w:type="dxa"/>
            <w:vAlign w:val="center"/>
          </w:tcPr>
          <w:p>
            <w:pPr>
              <w:pStyle w:val="13"/>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运维成本</w:t>
            </w:r>
          </w:p>
        </w:tc>
        <w:tc>
          <w:tcPr>
            <w:tcW w:w="2891" w:type="dxa"/>
            <w:vAlign w:val="center"/>
          </w:tcPr>
          <w:p>
            <w:pPr>
              <w:pStyle w:val="13"/>
            </w:pPr>
            <w:r>
              <w:t>防火设备灭火器材更换，检修、防潮措施、置物架补充、防盗设备网络服务费等</w:t>
            </w:r>
          </w:p>
        </w:tc>
        <w:tc>
          <w:tcPr>
            <w:tcW w:w="1276" w:type="dxa"/>
            <w:vAlign w:val="center"/>
          </w:tcPr>
          <w:p>
            <w:pPr>
              <w:pStyle w:val="13"/>
            </w:pPr>
            <w:r>
              <w:t>≤1.4万元</w:t>
            </w:r>
          </w:p>
        </w:tc>
        <w:tc>
          <w:tcPr>
            <w:tcW w:w="1843" w:type="dxa"/>
            <w:vAlign w:val="center"/>
          </w:tcPr>
          <w:p>
            <w:pPr>
              <w:pStyle w:val="13"/>
            </w:pPr>
            <w:r>
              <w:t>2026年度预算测算需求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租赁成本</w:t>
            </w:r>
          </w:p>
        </w:tc>
        <w:tc>
          <w:tcPr>
            <w:tcW w:w="2891" w:type="dxa"/>
            <w:vAlign w:val="center"/>
          </w:tcPr>
          <w:p>
            <w:pPr>
              <w:pStyle w:val="13"/>
            </w:pPr>
            <w:r>
              <w:t>物资储备库租赁成本</w:t>
            </w:r>
          </w:p>
        </w:tc>
        <w:tc>
          <w:tcPr>
            <w:tcW w:w="1276" w:type="dxa"/>
            <w:vAlign w:val="center"/>
          </w:tcPr>
          <w:p>
            <w:pPr>
              <w:pStyle w:val="13"/>
            </w:pPr>
            <w:r>
              <w:t>≤9万元</w:t>
            </w:r>
          </w:p>
        </w:tc>
        <w:tc>
          <w:tcPr>
            <w:tcW w:w="1843" w:type="dxa"/>
            <w:vAlign w:val="center"/>
          </w:tcPr>
          <w:p>
            <w:pPr>
              <w:pStyle w:val="13"/>
            </w:pPr>
            <w:r>
              <w:t>2026年度物资库保障工作计划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物资储备完好率</w:t>
            </w:r>
          </w:p>
        </w:tc>
        <w:tc>
          <w:tcPr>
            <w:tcW w:w="2891" w:type="dxa"/>
            <w:vAlign w:val="center"/>
          </w:tcPr>
          <w:p>
            <w:pPr>
              <w:pStyle w:val="13"/>
            </w:pPr>
            <w:r>
              <w:t>反映物资储备完好情况</w:t>
            </w:r>
          </w:p>
        </w:tc>
        <w:tc>
          <w:tcPr>
            <w:tcW w:w="1276" w:type="dxa"/>
            <w:vAlign w:val="center"/>
          </w:tcPr>
          <w:p>
            <w:pPr>
              <w:pStyle w:val="13"/>
            </w:pPr>
            <w:r>
              <w:t>≥95%</w:t>
            </w:r>
          </w:p>
        </w:tc>
        <w:tc>
          <w:tcPr>
            <w:tcW w:w="1843" w:type="dxa"/>
            <w:vAlign w:val="center"/>
          </w:tcPr>
          <w:p>
            <w:pPr>
              <w:pStyle w:val="13"/>
            </w:pPr>
            <w:r>
              <w:t>2026年度物资库保障工作计划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主管单位满意度</w:t>
            </w:r>
          </w:p>
        </w:tc>
        <w:tc>
          <w:tcPr>
            <w:tcW w:w="2891" w:type="dxa"/>
            <w:vAlign w:val="center"/>
          </w:tcPr>
          <w:p>
            <w:pPr>
              <w:pStyle w:val="13"/>
            </w:pPr>
            <w:r>
              <w:t>主管单位满意度</w:t>
            </w:r>
          </w:p>
        </w:tc>
        <w:tc>
          <w:tcPr>
            <w:tcW w:w="1276" w:type="dxa"/>
            <w:vAlign w:val="center"/>
          </w:tcPr>
          <w:p>
            <w:pPr>
              <w:pStyle w:val="13"/>
            </w:pPr>
            <w:r>
              <w:t>≥90%</w:t>
            </w:r>
          </w:p>
        </w:tc>
        <w:tc>
          <w:tcPr>
            <w:tcW w:w="1843" w:type="dxa"/>
            <w:vAlign w:val="center"/>
          </w:tcPr>
          <w:p>
            <w:pPr>
              <w:pStyle w:val="13"/>
            </w:pPr>
            <w:r>
              <w:t>调查问卷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13"/>
      <w:r>
        <w:rPr>
          <w:rFonts w:ascii="方正仿宋_GBK" w:hAnsi="方正仿宋_GBK" w:eastAsia="方正仿宋_GBK" w:cs="方正仿宋_GBK"/>
          <w:color w:val="000000"/>
          <w:sz w:val="28"/>
        </w:rPr>
        <w:t>10.应急指挥中心运行经费绩效目标表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7"/>
            </w:pPr>
            <w:r>
              <w:t>426001井陉县应急管理局</w:t>
            </w:r>
          </w:p>
        </w:tc>
        <w:tc>
          <w:tcPr>
            <w:tcW w:w="1843" w:type="dxa"/>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13012126P00135910002T</w:t>
            </w:r>
          </w:p>
        </w:tc>
        <w:tc>
          <w:tcPr>
            <w:tcW w:w="1587" w:type="dxa"/>
            <w:vAlign w:val="center"/>
          </w:tcPr>
          <w:p>
            <w:pPr>
              <w:pStyle w:val="11"/>
            </w:pPr>
            <w:r>
              <w:t>项目名称</w:t>
            </w:r>
          </w:p>
        </w:tc>
        <w:tc>
          <w:tcPr>
            <w:tcW w:w="4423" w:type="dxa"/>
            <w:gridSpan w:val="3"/>
            <w:vAlign w:val="center"/>
          </w:tcPr>
          <w:p>
            <w:pPr>
              <w:pStyle w:val="13"/>
            </w:pPr>
            <w:r>
              <w:t>应急指挥中心运行经费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150000.00</w:t>
            </w:r>
          </w:p>
        </w:tc>
        <w:tc>
          <w:tcPr>
            <w:tcW w:w="1587" w:type="dxa"/>
            <w:vAlign w:val="center"/>
          </w:tcPr>
          <w:p>
            <w:pPr>
              <w:pStyle w:val="11"/>
            </w:pPr>
            <w:r>
              <w:t>其中：财政    资金</w:t>
            </w:r>
          </w:p>
        </w:tc>
        <w:tc>
          <w:tcPr>
            <w:tcW w:w="1304" w:type="dxa"/>
            <w:vAlign w:val="center"/>
          </w:tcPr>
          <w:p>
            <w:pPr>
              <w:pStyle w:val="13"/>
            </w:pPr>
            <w:r>
              <w:t>150000.00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8" w:type="dxa"/>
            <w:gridSpan w:val="6"/>
            <w:vAlign w:val="center"/>
          </w:tcPr>
          <w:p>
            <w:pPr>
              <w:pStyle w:val="13"/>
            </w:pPr>
            <w:r>
              <w:t xml:space="preserve">  保障水费、电费、网络费用及维护费经费15万元。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9"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20%</w:t>
            </w:r>
          </w:p>
        </w:tc>
        <w:tc>
          <w:tcPr>
            <w:tcW w:w="1587" w:type="dxa"/>
            <w:vAlign w:val="center"/>
          </w:tcPr>
          <w:p>
            <w:pPr>
              <w:pStyle w:val="14"/>
            </w:pPr>
            <w:r>
              <w:t>50%</w:t>
            </w:r>
          </w:p>
        </w:tc>
        <w:tc>
          <w:tcPr>
            <w:tcW w:w="1304" w:type="dxa"/>
            <w:vAlign w:val="center"/>
          </w:tcPr>
          <w:p>
            <w:pPr>
              <w:pStyle w:val="14"/>
            </w:pPr>
            <w:r>
              <w:t>75%</w:t>
            </w:r>
          </w:p>
        </w:tc>
        <w:tc>
          <w:tcPr>
            <w:tcW w:w="3119"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8" w:type="dxa"/>
            <w:gridSpan w:val="6"/>
            <w:vAlign w:val="center"/>
          </w:tcPr>
          <w:p>
            <w:pPr>
              <w:pStyle w:val="13"/>
            </w:pPr>
            <w:r>
              <w:t>1.  保障水费、电费、网络费用及维护费经费15万元。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保障办公楼层数</w:t>
            </w:r>
          </w:p>
        </w:tc>
        <w:tc>
          <w:tcPr>
            <w:tcW w:w="2891" w:type="dxa"/>
            <w:vAlign w:val="center"/>
          </w:tcPr>
          <w:p>
            <w:pPr>
              <w:pStyle w:val="13"/>
            </w:pPr>
            <w:r>
              <w:t>保障办公楼层三层</w:t>
            </w:r>
          </w:p>
        </w:tc>
        <w:tc>
          <w:tcPr>
            <w:tcW w:w="1276" w:type="dxa"/>
            <w:vAlign w:val="center"/>
          </w:tcPr>
          <w:p>
            <w:pPr>
              <w:pStyle w:val="13"/>
            </w:pPr>
            <w:r>
              <w:t>3层</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日常工作保障率</w:t>
            </w:r>
          </w:p>
        </w:tc>
        <w:tc>
          <w:tcPr>
            <w:tcW w:w="2891" w:type="dxa"/>
            <w:vAlign w:val="center"/>
          </w:tcPr>
          <w:p>
            <w:pPr>
              <w:pStyle w:val="13"/>
            </w:pPr>
            <w:r>
              <w:t>各项日常工作保障情况</w:t>
            </w:r>
          </w:p>
        </w:tc>
        <w:tc>
          <w:tcPr>
            <w:tcW w:w="1276" w:type="dxa"/>
            <w:vAlign w:val="center"/>
          </w:tcPr>
          <w:p>
            <w:pPr>
              <w:pStyle w:val="13"/>
            </w:pPr>
            <w:r>
              <w:t>≥95%</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经费保障及时率</w:t>
            </w:r>
          </w:p>
        </w:tc>
        <w:tc>
          <w:tcPr>
            <w:tcW w:w="2891" w:type="dxa"/>
            <w:vAlign w:val="center"/>
          </w:tcPr>
          <w:p>
            <w:pPr>
              <w:pStyle w:val="13"/>
            </w:pPr>
            <w:r>
              <w:t>及时保障各项日常办公需要</w:t>
            </w:r>
          </w:p>
        </w:tc>
        <w:tc>
          <w:tcPr>
            <w:tcW w:w="1276" w:type="dxa"/>
            <w:vAlign w:val="center"/>
          </w:tcPr>
          <w:p>
            <w:pPr>
              <w:pStyle w:val="13"/>
            </w:pPr>
            <w:r>
              <w:t>≥95%</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指挥中心保障成本</w:t>
            </w:r>
          </w:p>
        </w:tc>
        <w:tc>
          <w:tcPr>
            <w:tcW w:w="2891" w:type="dxa"/>
            <w:vAlign w:val="center"/>
          </w:tcPr>
          <w:p>
            <w:pPr>
              <w:pStyle w:val="13"/>
            </w:pPr>
            <w:r>
              <w:t>年度内用于保障指挥中心设备正常运行的水电、网络、运维等成本</w:t>
            </w:r>
          </w:p>
        </w:tc>
        <w:tc>
          <w:tcPr>
            <w:tcW w:w="1276" w:type="dxa"/>
            <w:vAlign w:val="center"/>
          </w:tcPr>
          <w:p>
            <w:pPr>
              <w:pStyle w:val="13"/>
            </w:pPr>
            <w:r>
              <w:t>15万元</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业务正常开展率</w:t>
            </w:r>
          </w:p>
        </w:tc>
        <w:tc>
          <w:tcPr>
            <w:tcW w:w="2891" w:type="dxa"/>
            <w:vAlign w:val="center"/>
          </w:tcPr>
          <w:p>
            <w:pPr>
              <w:pStyle w:val="13"/>
            </w:pPr>
            <w:r>
              <w:t>指挥中心各项业务正常开展情况</w:t>
            </w:r>
          </w:p>
        </w:tc>
        <w:tc>
          <w:tcPr>
            <w:tcW w:w="1276" w:type="dxa"/>
            <w:vAlign w:val="center"/>
          </w:tcPr>
          <w:p>
            <w:pPr>
              <w:pStyle w:val="13"/>
            </w:pPr>
            <w:r>
              <w:t>≥95%</w:t>
            </w:r>
          </w:p>
        </w:tc>
        <w:tc>
          <w:tcPr>
            <w:tcW w:w="1843" w:type="dxa"/>
            <w:vAlign w:val="center"/>
          </w:tcPr>
          <w:p>
            <w:pPr>
              <w:pStyle w:val="13"/>
            </w:pPr>
            <w:r>
              <w:t>2026年度应急指挥中心运行工作计划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 xml:space="preserve">  使用人员的满意程度</w:t>
            </w:r>
          </w:p>
        </w:tc>
        <w:tc>
          <w:tcPr>
            <w:tcW w:w="2891" w:type="dxa"/>
            <w:vAlign w:val="center"/>
          </w:tcPr>
          <w:p>
            <w:pPr>
              <w:pStyle w:val="13"/>
            </w:pPr>
            <w:r>
              <w:t>使用人员对指挥中心工作开展的满意程度</w:t>
            </w:r>
          </w:p>
        </w:tc>
        <w:tc>
          <w:tcPr>
            <w:tcW w:w="1276" w:type="dxa"/>
            <w:vAlign w:val="center"/>
          </w:tcPr>
          <w:p>
            <w:pPr>
              <w:pStyle w:val="13"/>
            </w:pPr>
            <w:r>
              <w:t>≥95%</w:t>
            </w:r>
          </w:p>
        </w:tc>
        <w:tc>
          <w:tcPr>
            <w:tcW w:w="1843" w:type="dxa"/>
            <w:vAlign w:val="center"/>
          </w:tcPr>
          <w:p>
            <w:pPr>
              <w:pStyle w:val="13"/>
            </w:pPr>
            <w:r>
              <w:t>使用人员满意度</w:t>
            </w:r>
          </w:p>
        </w:tc>
      </w:tr>
    </w:tbl>
    <w:p/>
    <w:p>
      <w:pPr>
        <w:spacing w:before="10" w:after="10" w:line="360" w:lineRule="auto"/>
        <w:ind w:firstLine="640"/>
        <w:jc w:val="left"/>
        <w:outlineLvl w:val="2"/>
        <w:sectPr>
          <w:pgSz w:w="11900" w:h="16840"/>
          <w:pgMar w:top="1020" w:right="1134" w:bottom="1020" w:left="1361" w:header="720" w:footer="720" w:gutter="0"/>
          <w:cols w:space="720" w:num="1"/>
        </w:sectPr>
      </w:pPr>
    </w:p>
    <w:p>
      <w:pPr>
        <w:spacing w:before="10" w:after="10" w:line="240" w:lineRule="auto"/>
        <w:ind w:firstLine="640"/>
        <w:jc w:val="left"/>
        <w:outlineLvl w:val="5"/>
        <w:rPr>
          <w:rFonts w:ascii="方正小标宋_GBK" w:hAnsi="方正小标宋_GBK" w:eastAsia="方正小标宋_GBK" w:cs="方正小标宋_GBK"/>
          <w:color w:val="000000"/>
          <w:sz w:val="32"/>
        </w:rPr>
      </w:pPr>
      <w:bookmarkStart w:id="17" w:name="_Toc_2_2_0000000007"/>
      <w:r>
        <w:rPr>
          <w:rFonts w:ascii="黑体" w:hAnsi="黑体" w:eastAsia="黑体" w:cs="黑体"/>
          <w:color w:val="000000"/>
          <w:sz w:val="32"/>
        </w:rPr>
        <w:t>六、政府采购预算情况</w:t>
      </w:r>
    </w:p>
    <w:p>
      <w:pPr>
        <w:spacing w:before="0" w:after="0" w:line="240" w:lineRule="auto"/>
        <w:ind w:firstLine="0"/>
        <w:jc w:val="center"/>
        <w:outlineLvl w:val="1"/>
      </w:pPr>
      <w:r>
        <w:rPr>
          <w:rFonts w:ascii="方正小标宋_GBK" w:hAnsi="方正小标宋_GBK" w:eastAsia="方正小标宋_GBK" w:cs="方正小标宋_GBK"/>
          <w:color w:val="000000"/>
          <w:sz w:val="32"/>
        </w:rPr>
        <w:t>部门政府采购预算</w:t>
      </w:r>
      <w:bookmarkEnd w:id="17"/>
    </w:p>
    <w:tbl>
      <w:tblPr>
        <w:tblStyle w:val="5"/>
        <w:tblW w:w="160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pPr>
              <w:pStyle w:val="10"/>
            </w:pPr>
            <w:r>
              <w:t>426</w:t>
            </w:r>
            <w:r>
              <w:rPr>
                <w:rFonts w:hint="eastAsia"/>
                <w:lang w:val="en-US" w:eastAsia="zh-CN"/>
              </w:rPr>
              <w:t>001</w:t>
            </w:r>
            <w:r>
              <w:t>井陉县应急管理局</w:t>
            </w:r>
          </w:p>
        </w:tc>
        <w:tc>
          <w:tcPr>
            <w:tcW w:w="8676" w:type="dxa"/>
            <w:gridSpan w:val="9"/>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276" w:type="dxa"/>
            <w:vMerge w:val="restart"/>
            <w:vAlign w:val="center"/>
          </w:tcPr>
          <w:p>
            <w:pPr>
              <w:pStyle w:val="11"/>
            </w:pPr>
            <w:r>
              <w:t>政府采购目录序号</w:t>
            </w:r>
          </w:p>
        </w:tc>
        <w:tc>
          <w:tcPr>
            <w:tcW w:w="709" w:type="dxa"/>
            <w:vMerge w:val="restart"/>
            <w:vAlign w:val="center"/>
          </w:tcPr>
          <w:p>
            <w:pPr>
              <w:pStyle w:val="11"/>
            </w:pPr>
            <w:r>
              <w:t>计量  单位</w:t>
            </w:r>
          </w:p>
        </w:tc>
        <w:tc>
          <w:tcPr>
            <w:tcW w:w="709"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276" w:type="dxa"/>
            <w:vMerge w:val="continue"/>
          </w:tcPr>
          <w:p/>
        </w:tc>
        <w:tc>
          <w:tcPr>
            <w:tcW w:w="709" w:type="dxa"/>
            <w:vMerge w:val="continue"/>
          </w:tcPr>
          <w:p/>
        </w:tc>
        <w:tc>
          <w:tcPr>
            <w:tcW w:w="709"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    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276" w:type="dxa"/>
            <w:vAlign w:val="center"/>
          </w:tcPr>
          <w:p>
            <w:pPr>
              <w:pStyle w:val="17"/>
            </w:pPr>
          </w:p>
        </w:tc>
        <w:tc>
          <w:tcPr>
            <w:tcW w:w="709" w:type="dxa"/>
            <w:vAlign w:val="center"/>
          </w:tcPr>
          <w:p>
            <w:pPr>
              <w:pStyle w:val="15"/>
            </w:pPr>
          </w:p>
        </w:tc>
        <w:tc>
          <w:tcPr>
            <w:tcW w:w="709" w:type="dxa"/>
            <w:vAlign w:val="center"/>
          </w:tcPr>
          <w:p>
            <w:pPr>
              <w:pStyle w:val="16"/>
            </w:pPr>
          </w:p>
        </w:tc>
        <w:tc>
          <w:tcPr>
            <w:tcW w:w="850" w:type="dxa"/>
            <w:vAlign w:val="center"/>
          </w:tcPr>
          <w:p>
            <w:pPr>
              <w:pStyle w:val="16"/>
            </w:pPr>
          </w:p>
        </w:tc>
        <w:tc>
          <w:tcPr>
            <w:tcW w:w="964" w:type="dxa"/>
            <w:vAlign w:val="center"/>
          </w:tcPr>
          <w:p>
            <w:pPr>
              <w:pStyle w:val="16"/>
            </w:pPr>
            <w:r>
              <w:t>1226744.00</w:t>
            </w:r>
          </w:p>
        </w:tc>
        <w:tc>
          <w:tcPr>
            <w:tcW w:w="964" w:type="dxa"/>
            <w:vAlign w:val="center"/>
          </w:tcPr>
          <w:p>
            <w:pPr>
              <w:pStyle w:val="16"/>
            </w:pPr>
            <w:r>
              <w:t>1226744.00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井陉县应急管理局小计</w:t>
            </w:r>
          </w:p>
        </w:tc>
        <w:tc>
          <w:tcPr>
            <w:tcW w:w="964" w:type="dxa"/>
            <w:vAlign w:val="center"/>
          </w:tcPr>
          <w:p>
            <w:pPr>
              <w:pStyle w:val="16"/>
            </w:pPr>
          </w:p>
        </w:tc>
        <w:tc>
          <w:tcPr>
            <w:tcW w:w="1134" w:type="dxa"/>
            <w:vAlign w:val="center"/>
          </w:tcPr>
          <w:p>
            <w:pPr>
              <w:pStyle w:val="17"/>
            </w:pPr>
          </w:p>
        </w:tc>
        <w:tc>
          <w:tcPr>
            <w:tcW w:w="1276" w:type="dxa"/>
            <w:vAlign w:val="center"/>
          </w:tcPr>
          <w:p>
            <w:pPr>
              <w:pStyle w:val="17"/>
            </w:pPr>
          </w:p>
        </w:tc>
        <w:tc>
          <w:tcPr>
            <w:tcW w:w="709" w:type="dxa"/>
            <w:vAlign w:val="center"/>
          </w:tcPr>
          <w:p>
            <w:pPr>
              <w:pStyle w:val="15"/>
            </w:pPr>
          </w:p>
        </w:tc>
        <w:tc>
          <w:tcPr>
            <w:tcW w:w="709" w:type="dxa"/>
            <w:vAlign w:val="center"/>
          </w:tcPr>
          <w:p>
            <w:pPr>
              <w:pStyle w:val="16"/>
            </w:pPr>
          </w:p>
        </w:tc>
        <w:tc>
          <w:tcPr>
            <w:tcW w:w="850" w:type="dxa"/>
            <w:vAlign w:val="center"/>
          </w:tcPr>
          <w:p>
            <w:pPr>
              <w:pStyle w:val="16"/>
            </w:pPr>
          </w:p>
        </w:tc>
        <w:tc>
          <w:tcPr>
            <w:tcW w:w="964" w:type="dxa"/>
            <w:vAlign w:val="center"/>
          </w:tcPr>
          <w:p>
            <w:pPr>
              <w:pStyle w:val="16"/>
            </w:pPr>
            <w:r>
              <w:t>1226744.00</w:t>
            </w:r>
          </w:p>
        </w:tc>
        <w:tc>
          <w:tcPr>
            <w:tcW w:w="964" w:type="dxa"/>
            <w:vAlign w:val="center"/>
          </w:tcPr>
          <w:p>
            <w:pPr>
              <w:pStyle w:val="16"/>
            </w:pPr>
            <w:r>
              <w:t>1226744.00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63150.00</w:t>
            </w:r>
          </w:p>
        </w:tc>
        <w:tc>
          <w:tcPr>
            <w:tcW w:w="1134" w:type="dxa"/>
            <w:vAlign w:val="center"/>
          </w:tcPr>
          <w:p>
            <w:pPr>
              <w:pStyle w:val="13"/>
            </w:pPr>
            <w:r>
              <w:t>复印纸</w:t>
            </w:r>
          </w:p>
        </w:tc>
        <w:tc>
          <w:tcPr>
            <w:tcW w:w="1276" w:type="dxa"/>
            <w:vAlign w:val="center"/>
          </w:tcPr>
          <w:p>
            <w:pPr>
              <w:pStyle w:val="13"/>
            </w:pPr>
            <w:r>
              <w:t>A05040101</w:t>
            </w:r>
          </w:p>
        </w:tc>
        <w:tc>
          <w:tcPr>
            <w:tcW w:w="709" w:type="dxa"/>
            <w:vAlign w:val="center"/>
          </w:tcPr>
          <w:p>
            <w:pPr>
              <w:pStyle w:val="14"/>
            </w:pPr>
            <w:r>
              <w:t>批</w:t>
            </w:r>
          </w:p>
        </w:tc>
        <w:tc>
          <w:tcPr>
            <w:tcW w:w="709" w:type="dxa"/>
            <w:vAlign w:val="center"/>
          </w:tcPr>
          <w:p>
            <w:pPr>
              <w:pStyle w:val="14"/>
            </w:pPr>
            <w:r>
              <w:t>10</w:t>
            </w:r>
          </w:p>
        </w:tc>
        <w:tc>
          <w:tcPr>
            <w:tcW w:w="850" w:type="dxa"/>
            <w:vAlign w:val="center"/>
          </w:tcPr>
          <w:p>
            <w:pPr>
              <w:pStyle w:val="12"/>
            </w:pPr>
            <w:r>
              <w:t>200.00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冀财建[2025]217号关于提前下达2026年自然灾害救助资金（农房保险试点补助经费）的通知</w:t>
            </w:r>
          </w:p>
        </w:tc>
        <w:tc>
          <w:tcPr>
            <w:tcW w:w="964" w:type="dxa"/>
            <w:vAlign w:val="center"/>
          </w:tcPr>
          <w:p>
            <w:pPr>
              <w:pStyle w:val="12"/>
            </w:pPr>
            <w:r>
              <w:t>588744.00</w:t>
            </w:r>
          </w:p>
        </w:tc>
        <w:tc>
          <w:tcPr>
            <w:tcW w:w="1134" w:type="dxa"/>
            <w:vAlign w:val="center"/>
          </w:tcPr>
          <w:p>
            <w:pPr>
              <w:pStyle w:val="13"/>
            </w:pPr>
            <w:r>
              <w:t>其他灾害防治和应急管理服务</w:t>
            </w:r>
          </w:p>
        </w:tc>
        <w:tc>
          <w:tcPr>
            <w:tcW w:w="1276" w:type="dxa"/>
            <w:vAlign w:val="center"/>
          </w:tcPr>
          <w:p>
            <w:pPr>
              <w:pStyle w:val="13"/>
            </w:pPr>
            <w:r>
              <w:t>C05039900</w:t>
            </w:r>
          </w:p>
        </w:tc>
        <w:tc>
          <w:tcPr>
            <w:tcW w:w="709" w:type="dxa"/>
            <w:vAlign w:val="center"/>
          </w:tcPr>
          <w:p>
            <w:pPr>
              <w:pStyle w:val="14"/>
            </w:pPr>
            <w:r>
              <w:t>项</w:t>
            </w:r>
          </w:p>
        </w:tc>
        <w:tc>
          <w:tcPr>
            <w:tcW w:w="709" w:type="dxa"/>
            <w:vAlign w:val="center"/>
          </w:tcPr>
          <w:p>
            <w:pPr>
              <w:pStyle w:val="14"/>
            </w:pPr>
            <w:r>
              <w:t>1</w:t>
            </w:r>
          </w:p>
        </w:tc>
        <w:tc>
          <w:tcPr>
            <w:tcW w:w="850" w:type="dxa"/>
            <w:vAlign w:val="center"/>
          </w:tcPr>
          <w:p>
            <w:pPr>
              <w:pStyle w:val="12"/>
            </w:pPr>
            <w:r>
              <w:t>588744.00</w:t>
            </w:r>
          </w:p>
        </w:tc>
        <w:tc>
          <w:tcPr>
            <w:tcW w:w="964" w:type="dxa"/>
            <w:vAlign w:val="center"/>
          </w:tcPr>
          <w:p>
            <w:pPr>
              <w:pStyle w:val="12"/>
            </w:pPr>
            <w:r>
              <w:t>588744.00</w:t>
            </w:r>
          </w:p>
        </w:tc>
        <w:tc>
          <w:tcPr>
            <w:tcW w:w="964" w:type="dxa"/>
            <w:vAlign w:val="center"/>
          </w:tcPr>
          <w:p>
            <w:pPr>
              <w:pStyle w:val="12"/>
            </w:pPr>
            <w:r>
              <w:t>588744.00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1701" w:type="dxa"/>
            <w:vAlign w:val="center"/>
          </w:tcPr>
          <w:p>
            <w:pPr>
              <w:pStyle w:val="13"/>
            </w:pPr>
            <w:r>
              <w:t>井陉县天长消防救援功能用房配套设备及物品采购项目</w:t>
            </w:r>
          </w:p>
        </w:tc>
        <w:tc>
          <w:tcPr>
            <w:tcW w:w="964" w:type="dxa"/>
            <w:vAlign w:val="center"/>
          </w:tcPr>
          <w:p>
            <w:pPr>
              <w:pStyle w:val="12"/>
            </w:pPr>
            <w:r>
              <w:t>500000.00</w:t>
            </w:r>
          </w:p>
        </w:tc>
        <w:tc>
          <w:tcPr>
            <w:tcW w:w="1134" w:type="dxa"/>
            <w:vAlign w:val="center"/>
          </w:tcPr>
          <w:p>
            <w:pPr>
              <w:pStyle w:val="13"/>
            </w:pPr>
            <w:r>
              <w:t>其他办公设备</w:t>
            </w:r>
          </w:p>
        </w:tc>
        <w:tc>
          <w:tcPr>
            <w:tcW w:w="1276" w:type="dxa"/>
            <w:vAlign w:val="center"/>
          </w:tcPr>
          <w:p>
            <w:pPr>
              <w:pStyle w:val="13"/>
            </w:pPr>
            <w:r>
              <w:t>A02029900</w:t>
            </w:r>
          </w:p>
        </w:tc>
        <w:tc>
          <w:tcPr>
            <w:tcW w:w="709" w:type="dxa"/>
            <w:vAlign w:val="center"/>
          </w:tcPr>
          <w:p>
            <w:pPr>
              <w:pStyle w:val="14"/>
            </w:pPr>
            <w:r>
              <w:t>元</w:t>
            </w:r>
          </w:p>
        </w:tc>
        <w:tc>
          <w:tcPr>
            <w:tcW w:w="709" w:type="dxa"/>
            <w:vAlign w:val="center"/>
          </w:tcPr>
          <w:p>
            <w:pPr>
              <w:pStyle w:val="14"/>
            </w:pPr>
            <w:r>
              <w:t>1</w:t>
            </w:r>
          </w:p>
        </w:tc>
        <w:tc>
          <w:tcPr>
            <w:tcW w:w="850"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7" w:hRule="atLeast"/>
          <w:jc w:val="center"/>
        </w:trPr>
        <w:tc>
          <w:tcPr>
            <w:tcW w:w="1701" w:type="dxa"/>
            <w:vAlign w:val="center"/>
          </w:tcPr>
          <w:p>
            <w:pPr>
              <w:pStyle w:val="13"/>
            </w:pPr>
            <w:r>
              <w:t>农房保险县级配套资金</w:t>
            </w:r>
          </w:p>
        </w:tc>
        <w:tc>
          <w:tcPr>
            <w:tcW w:w="964" w:type="dxa"/>
            <w:vAlign w:val="center"/>
          </w:tcPr>
          <w:p>
            <w:pPr>
              <w:pStyle w:val="12"/>
            </w:pPr>
            <w:r>
              <w:t>136000.00</w:t>
            </w:r>
          </w:p>
        </w:tc>
        <w:tc>
          <w:tcPr>
            <w:tcW w:w="1134" w:type="dxa"/>
            <w:vAlign w:val="center"/>
          </w:tcPr>
          <w:p>
            <w:pPr>
              <w:pStyle w:val="13"/>
            </w:pPr>
            <w:r>
              <w:t>其他灾害防治和应急管理服务</w:t>
            </w:r>
          </w:p>
        </w:tc>
        <w:tc>
          <w:tcPr>
            <w:tcW w:w="1276" w:type="dxa"/>
            <w:vAlign w:val="center"/>
          </w:tcPr>
          <w:p>
            <w:pPr>
              <w:pStyle w:val="13"/>
            </w:pPr>
            <w:r>
              <w:t>C05039900</w:t>
            </w:r>
          </w:p>
        </w:tc>
        <w:tc>
          <w:tcPr>
            <w:tcW w:w="709" w:type="dxa"/>
            <w:vAlign w:val="center"/>
          </w:tcPr>
          <w:p>
            <w:pPr>
              <w:pStyle w:val="14"/>
            </w:pPr>
            <w:r>
              <w:t>项</w:t>
            </w:r>
          </w:p>
        </w:tc>
        <w:tc>
          <w:tcPr>
            <w:tcW w:w="709" w:type="dxa"/>
            <w:vAlign w:val="center"/>
          </w:tcPr>
          <w:p>
            <w:pPr>
              <w:pStyle w:val="14"/>
            </w:pPr>
            <w:r>
              <w:t>1</w:t>
            </w:r>
          </w:p>
        </w:tc>
        <w:tc>
          <w:tcPr>
            <w:tcW w:w="850" w:type="dxa"/>
            <w:vAlign w:val="center"/>
          </w:tcPr>
          <w:p>
            <w:pPr>
              <w:pStyle w:val="12"/>
            </w:pPr>
            <w:r>
              <w:t>136000.00</w:t>
            </w:r>
          </w:p>
        </w:tc>
        <w:tc>
          <w:tcPr>
            <w:tcW w:w="964" w:type="dxa"/>
            <w:vAlign w:val="center"/>
          </w:tcPr>
          <w:p>
            <w:pPr>
              <w:pStyle w:val="12"/>
            </w:pPr>
            <w:r>
              <w:t>136000.00</w:t>
            </w:r>
          </w:p>
        </w:tc>
        <w:tc>
          <w:tcPr>
            <w:tcW w:w="964" w:type="dxa"/>
            <w:vAlign w:val="center"/>
          </w:tcPr>
          <w:p>
            <w:pPr>
              <w:pStyle w:val="12"/>
            </w:pPr>
            <w:r>
              <w:t>136000.00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10" w:after="10" w:line="240" w:lineRule="auto"/>
        <w:ind w:firstLine="640"/>
        <w:jc w:val="left"/>
        <w:outlineLvl w:val="5"/>
        <w:rPr>
          <w:rFonts w:ascii="方正仿宋_GBK" w:hAnsi="方正仿宋_GBK" w:eastAsia="方正仿宋_GBK" w:cs="方正仿宋_GBK"/>
          <w:color w:val="000000"/>
          <w:sz w:val="21"/>
        </w:rPr>
      </w:pPr>
      <w:r>
        <w:rPr>
          <w:rFonts w:ascii="方正仿宋_GBK" w:hAnsi="方正仿宋_GBK" w:eastAsia="方正仿宋_GBK" w:cs="方正仿宋_GBK"/>
          <w:color w:val="000000"/>
          <w:sz w:val="21"/>
        </w:rPr>
        <w:t>注：预算单位根据往年采购经验和市场调研，编制政府采购预算，由于货物的规格型号和服务工程的内容时限不尽相同，可能会导致同一政府采购品目单价存在差异。</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井陉县应急管理局本级上年末固定资产金额为</w:t>
      </w:r>
      <w:r>
        <w:rPr>
          <w:rFonts w:hint="eastAsia" w:ascii="Times New Roman" w:hAnsi="Times New Roman" w:eastAsia="方正仿宋_GBK" w:cs="Times New Roman"/>
          <w:b w:val="0"/>
          <w:color w:val="000000"/>
          <w:sz w:val="28"/>
          <w:lang w:val="en-US" w:eastAsia="zh-CN"/>
        </w:rPr>
        <w:t>142425256.55</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500000.00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426001井陉县应急管理局本级</w:t>
            </w:r>
          </w:p>
        </w:tc>
        <w:tc>
          <w:tcPr>
            <w:tcW w:w="5670" w:type="dxa"/>
            <w:gridSpan w:val="2"/>
            <w:tcBorders>
              <w:top w:val="single" w:color="FFFFFF" w:sz="6" w:space="0"/>
              <w:left w:val="single" w:color="FFFFFF" w:sz="6" w:space="0"/>
              <w:right w:val="single" w:color="FFFFFF" w:sz="6" w:space="0"/>
            </w:tcBorders>
            <w:vAlign w:val="center"/>
          </w:tcPr>
          <w:p>
            <w:pPr>
              <w:pStyle w:val="19"/>
            </w:pPr>
            <w:r>
              <w:t>截止时间：202</w:t>
            </w:r>
            <w:r>
              <w:rPr>
                <w:rFonts w:hint="eastAsia"/>
                <w:lang w:val="en-US" w:eastAsia="zh-CN"/>
              </w:rPr>
              <w:t>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3850</w:t>
            </w:r>
          </w:p>
        </w:tc>
        <w:tc>
          <w:tcPr>
            <w:tcW w:w="2835" w:type="dxa"/>
            <w:vAlign w:val="center"/>
          </w:tcPr>
          <w:p>
            <w:pPr>
              <w:pStyle w:val="12"/>
              <w:rPr>
                <w:rFonts w:hint="default" w:eastAsia="方正书宋_GBK"/>
                <w:lang w:val="en-US" w:eastAsia="zh-CN"/>
              </w:rPr>
            </w:pPr>
            <w:r>
              <w:rPr>
                <w:rFonts w:hint="eastAsia"/>
                <w:lang w:val="en-US" w:eastAsia="zh-CN"/>
              </w:rPr>
              <w:t>142425256.55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1、房屋（平方米）</w:t>
            </w:r>
          </w:p>
        </w:tc>
        <w:tc>
          <w:tcPr>
            <w:tcW w:w="2835" w:type="dxa"/>
            <w:vAlign w:val="center"/>
          </w:tcPr>
          <w:p>
            <w:pPr>
              <w:pStyle w:val="14"/>
              <w:rPr>
                <w:rFonts w:hint="default" w:eastAsia="方正书宋_GBK"/>
                <w:lang w:val="en-US" w:eastAsia="zh-CN"/>
              </w:rPr>
            </w:pPr>
            <w:r>
              <w:rPr>
                <w:rFonts w:hint="eastAsia"/>
                <w:lang w:val="en-US" w:eastAsia="zh-CN"/>
              </w:rPr>
              <w:t>13175.92</w:t>
            </w:r>
          </w:p>
        </w:tc>
        <w:tc>
          <w:tcPr>
            <w:tcW w:w="2835" w:type="dxa"/>
            <w:vAlign w:val="center"/>
          </w:tcPr>
          <w:p>
            <w:pPr>
              <w:pStyle w:val="12"/>
              <w:rPr>
                <w:rFonts w:hint="default" w:eastAsia="方正书宋_GBK"/>
                <w:lang w:val="en-US" w:eastAsia="zh-CN"/>
              </w:rPr>
            </w:pPr>
            <w:r>
              <w:rPr>
                <w:rFonts w:hint="eastAsia"/>
                <w:lang w:val="en-US" w:eastAsia="zh-CN"/>
              </w:rPr>
              <w:t>44589093.52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　　其中：办公用房（平方米）</w:t>
            </w:r>
          </w:p>
        </w:tc>
        <w:tc>
          <w:tcPr>
            <w:tcW w:w="2835" w:type="dxa"/>
            <w:vAlign w:val="center"/>
          </w:tcPr>
          <w:p>
            <w:pPr>
              <w:pStyle w:val="14"/>
              <w:rPr>
                <w:rFonts w:hint="default" w:eastAsia="方正书宋_GBK"/>
                <w:lang w:val="en-US" w:eastAsia="zh-CN"/>
              </w:rPr>
            </w:pPr>
            <w:r>
              <w:rPr>
                <w:rFonts w:hint="eastAsia"/>
                <w:lang w:val="en-US" w:eastAsia="zh-CN"/>
              </w:rPr>
              <w:t>3123</w:t>
            </w: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2、车辆（台、辆）</w:t>
            </w:r>
          </w:p>
        </w:tc>
        <w:tc>
          <w:tcPr>
            <w:tcW w:w="2835" w:type="dxa"/>
            <w:vAlign w:val="center"/>
          </w:tcPr>
          <w:p>
            <w:pPr>
              <w:pStyle w:val="14"/>
              <w:rPr>
                <w:rFonts w:hint="eastAsia" w:eastAsia="方正书宋_GBK"/>
                <w:lang w:val="en-US" w:eastAsia="zh-CN"/>
              </w:rPr>
            </w:pPr>
            <w:r>
              <w:rPr>
                <w:rFonts w:hint="eastAsia"/>
                <w:lang w:val="en-US" w:eastAsia="zh-CN"/>
              </w:rPr>
              <w:t>7</w:t>
            </w:r>
          </w:p>
        </w:tc>
        <w:tc>
          <w:tcPr>
            <w:tcW w:w="2835" w:type="dxa"/>
            <w:vAlign w:val="center"/>
          </w:tcPr>
          <w:p>
            <w:pPr>
              <w:pStyle w:val="12"/>
              <w:rPr>
                <w:rFonts w:hint="default" w:eastAsia="方正书宋_GBK"/>
                <w:lang w:val="en-US" w:eastAsia="zh-CN"/>
              </w:rPr>
            </w:pPr>
            <w:r>
              <w:rPr>
                <w:rFonts w:hint="eastAsia"/>
                <w:lang w:val="en-US" w:eastAsia="zh-CN"/>
              </w:rPr>
              <w:t>1059497.17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rPr>
                <w:rFonts w:hint="default" w:eastAsia="方正书宋_GBK"/>
                <w:lang w:val="en-US" w:eastAsia="zh-CN"/>
              </w:rPr>
            </w:pPr>
            <w:r>
              <w:rPr>
                <w:rFonts w:hint="eastAsia"/>
                <w:lang w:val="en-US" w:eastAsia="zh-CN"/>
              </w:rPr>
              <w:t>46</w:t>
            </w:r>
          </w:p>
        </w:tc>
        <w:tc>
          <w:tcPr>
            <w:tcW w:w="2835" w:type="dxa"/>
            <w:vAlign w:val="center"/>
          </w:tcPr>
          <w:p>
            <w:pPr>
              <w:pStyle w:val="12"/>
              <w:rPr>
                <w:rFonts w:hint="default" w:eastAsia="方正书宋_GBK"/>
                <w:lang w:val="en-US" w:eastAsia="zh-CN"/>
              </w:rPr>
            </w:pPr>
            <w:r>
              <w:rPr>
                <w:rFonts w:hint="eastAsia"/>
                <w:lang w:val="en-US" w:eastAsia="zh-CN"/>
              </w:rPr>
              <w:t>21789345.1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3791</w:t>
            </w:r>
          </w:p>
        </w:tc>
        <w:tc>
          <w:tcPr>
            <w:tcW w:w="2835" w:type="dxa"/>
            <w:vAlign w:val="center"/>
          </w:tcPr>
          <w:p>
            <w:pPr>
              <w:pStyle w:val="12"/>
              <w:rPr>
                <w:rFonts w:hint="default" w:eastAsia="方正书宋_GBK"/>
                <w:lang w:val="en-US" w:eastAsia="zh-CN"/>
              </w:rPr>
            </w:pPr>
            <w:r>
              <w:rPr>
                <w:rFonts w:hint="eastAsia"/>
                <w:lang w:val="en-US" w:eastAsia="zh-CN"/>
              </w:rPr>
              <w:t>74987320.76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p>
      <w:pPr>
        <w:spacing w:before="0" w:after="0" w:line="500" w:lineRule="exact"/>
        <w:ind w:firstLine="420"/>
        <w:jc w:val="left"/>
        <w:outlineLvl w:val="9"/>
        <w:sectPr>
          <w:pgSz w:w="16840" w:h="11900" w:orient="landscape"/>
          <w:pgMar w:top="1020" w:right="1361" w:bottom="1020" w:left="1361" w:header="720" w:footer="720" w:gutter="0"/>
          <w:cols w:space="720" w:num="1"/>
        </w:sectPr>
      </w:pPr>
    </w:p>
    <w:p/>
    <w:sectPr>
      <w:footerReference r:id="rId3" w:type="default"/>
      <w:footerReference r:id="rId4" w:type="even"/>
      <w:pgSz w:w="11907" w:h="16839"/>
      <w:pgMar w:top="400" w:right="1000" w:bottom="400" w:left="10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ACCA210"/>
    <w:multiLevelType w:val="singleLevel"/>
    <w:tmpl w:val="7ACCA21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1DAF60DE"/>
    <w:rsid w:val="38F54727"/>
    <w:rsid w:val="3BBB7068"/>
    <w:rsid w:val="46BFA9B8"/>
    <w:rsid w:val="4BFE374E"/>
    <w:rsid w:val="5E57DA00"/>
    <w:rsid w:val="7F9F931C"/>
    <w:rsid w:val="7FB5BD1B"/>
    <w:rsid w:val="9BD57B9F"/>
    <w:rsid w:val="A5CEDAB0"/>
    <w:rsid w:val="BB65738F"/>
    <w:rsid w:val="BDFCF96E"/>
    <w:rsid w:val="CD1FACFC"/>
    <w:rsid w:val="CDFF53D8"/>
    <w:rsid w:val="CF7F1D0E"/>
    <w:rsid w:val="F7EFF447"/>
    <w:rsid w:val="FB7C2FC3"/>
    <w:rsid w:val="FBAFB9F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3</TotalTime>
  <ScaleCrop>false</ScaleCrop>
  <LinksUpToDate>false</LinksUpToDate>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2026-02-04T11:42:00Z</dcterms:created>
  <dc:creator>uos</dc:creator>
  <cp:lastModifiedBy>uos</cp:lastModifiedBy>
  <dcterms:modified xsi:type="dcterms:W3CDTF">2026-03-19T10:15:41Z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EE0A42A3C6F501593A008469F43511C9</vt:lpwstr>
  </property>
</Properties>
</file>