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井陉县吴家窑乡人民政府本级2026年单位预算信息公开情况说明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按照《中华人民共和国预算法》、《地方预决算公开操作规程》和《关于进一步推进预算公开工作的实施意见》规定，现将井陉县吴家窑乡人民政府本级2026年单位预算公开如下：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根据《井陉县吴家窑乡人民政府职能配置、内设机构和人员编制规定》，井陉县吴家窑乡人民政府的主要职责是：</w:t>
      </w:r>
    </w:p>
    <w:p>
      <w:pPr>
        <w:pStyle w:val="27"/>
      </w:pPr>
      <w:r>
        <w:t>负责机关日常工作的综合协调和督促检查，负责机关日常运作工作，负责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井陉县吴家窑乡人民政府本级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反映本单位当年全部收入。2026年预算收入7336784.20元，其中：一般公共预算收入7336784.20元，基金预算收入0.00元，国有资本经营预算收入0.00元，财政专户核拨收入0.00元，单位资金收入0.00元，上年结转结余0.00元。</w:t>
      </w:r>
    </w:p>
    <w:p>
      <w:pPr>
        <w:pStyle w:val="28"/>
      </w:pPr>
      <w:r>
        <w:t>2、支出说明</w:t>
      </w:r>
    </w:p>
    <w:p>
      <w:pPr>
        <w:pStyle w:val="28"/>
      </w:pPr>
      <w:r>
        <w:t>收支预算总表支出栏、基本支出表、项目支出表按经济分类和支出功能分类科目编制，反映井陉县吴家窑乡人民政府本级年度单位预算中支出预算的总体情况。2026年支出预算7336784.20元，其中基本支出6336722.60元，包括人员经费5873062.60元和日常公用经费463660.00元；项目支出1000061.60元，主要为党政事务工作经费120000元，办公楼修缮45558元，基层武装经费30000元，办公楼取暖经费50000元，团委工作经费20000元，信访稳定经费30000元，计生经费9600元，护林防火经费50000元，环境整治经费40000元，交通道路占地补108511.2元，衡井线占地补119393.4元，公车购置140000元，文化站免费开放经费15000元，环境整治（非税）25000元，三馆一站免费开放运转经费35000元，临时救助金2000元，劳务派遣人员经费159999元。；预计下年使用的单位资金结余0.00元。委托业务费共计安排0.00元，主要用于因技术原因确需对外委托的辅助性工作和确有必要对外委托开展咨询、评审、规划等工作。</w:t>
      </w:r>
    </w:p>
    <w:p>
      <w:pPr>
        <w:pStyle w:val="28"/>
      </w:pPr>
      <w:r>
        <w:t>3、比上年增减情况</w:t>
      </w:r>
    </w:p>
    <w:p>
      <w:pPr>
        <w:pStyle w:val="28"/>
      </w:pPr>
      <w:r>
        <w:t>2026年预算收支安排7336784.20元，较2025年预算减少96942.24元，其中：基本支出减少62706.40元，主要为本年度调出6人。项目支出减少34235.84元，主要为绿化经费30000元。预计下年使用的单位资金结余增加0.00元。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2026年，我单位机关运行经费共计安排463660.00元，主要用于日常维修、办公用房水电费、办公用房取暖费、办公用房物业管理费等日常运行支出。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178860.00元，其中因公出国（境）费0.00元；公务用车购置及运维费178860.00元（其中：公务用车购置费为140000.00元，公务用车运维费38860.00元)；公务接待费0.00元。与2025年相比增加138860.00元，增减变化的主要原因是新购置公务用车1辆，价值140000元。</w:t>
      </w:r>
    </w:p>
    <w:p>
      <w:pPr>
        <w:spacing w:before="10" w:after="10" w:line="240" w:lineRule="auto"/>
        <w:ind w:firstLine="640"/>
        <w:jc w:val="left"/>
        <w:outlineLvl w:val="5"/>
        <w:sectPr>
          <w:footerReference r:id="rId3" w:type="default"/>
          <w:footerReference r:id="rId4" w:type="even"/>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13012126P00049810018Q</w:t>
            </w:r>
          </w:p>
        </w:tc>
        <w:tc>
          <w:tcPr>
            <w:tcW w:w="2835" w:type="dxa"/>
            <w:vAlign w:val="center"/>
          </w:tcPr>
          <w:p>
            <w:pPr>
              <w:pStyle w:val="12"/>
            </w:pPr>
            <w:r>
              <w:t>项目名称</w:t>
            </w:r>
          </w:p>
        </w:tc>
        <w:tc>
          <w:tcPr>
            <w:tcW w:w="6095" w:type="dxa"/>
            <w:gridSpan w:val="3"/>
            <w:vAlign w:val="center"/>
          </w:tcPr>
          <w:p>
            <w:pPr>
              <w:pStyle w:val="14"/>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108511.20</w:t>
            </w:r>
          </w:p>
        </w:tc>
        <w:tc>
          <w:tcPr>
            <w:tcW w:w="2835" w:type="dxa"/>
            <w:vAlign w:val="center"/>
          </w:tcPr>
          <w:p>
            <w:pPr>
              <w:pStyle w:val="12"/>
            </w:pPr>
            <w:r>
              <w:t>其中：财政    资金</w:t>
            </w:r>
          </w:p>
        </w:tc>
        <w:tc>
          <w:tcPr>
            <w:tcW w:w="2551" w:type="dxa"/>
            <w:vAlign w:val="center"/>
          </w:tcPr>
          <w:p>
            <w:pPr>
              <w:pStyle w:val="14"/>
            </w:pPr>
            <w:r>
              <w:t>108511.20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通过每年1次及时拨付村民占地补偿款，有效履行合同约定，保障村民合法权益。</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1.通过每年1次及时拨付村民占地补偿款，有效履行合同约定，保障村民合法权益。</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占地亩数</w:t>
            </w:r>
          </w:p>
        </w:tc>
        <w:tc>
          <w:tcPr>
            <w:tcW w:w="2268" w:type="dxa"/>
            <w:vAlign w:val="center"/>
          </w:tcPr>
          <w:p>
            <w:pPr>
              <w:pStyle w:val="14"/>
            </w:pPr>
            <w:r>
              <w:t>77.5亩</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支付准确率</w:t>
            </w:r>
          </w:p>
        </w:tc>
        <w:tc>
          <w:tcPr>
            <w:tcW w:w="5386" w:type="dxa"/>
            <w:vAlign w:val="center"/>
          </w:tcPr>
          <w:p>
            <w:pPr>
              <w:pStyle w:val="14"/>
            </w:pPr>
            <w:r>
              <w:t>支付占地补偿款的准确率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补偿完成时间</w:t>
            </w:r>
          </w:p>
        </w:tc>
        <w:tc>
          <w:tcPr>
            <w:tcW w:w="5386" w:type="dxa"/>
            <w:vAlign w:val="center"/>
          </w:tcPr>
          <w:p>
            <w:pPr>
              <w:pStyle w:val="14"/>
            </w:pPr>
            <w:r>
              <w:t>占地补偿款支付完成时间</w:t>
            </w:r>
          </w:p>
        </w:tc>
        <w:tc>
          <w:tcPr>
            <w:tcW w:w="2268" w:type="dxa"/>
            <w:vAlign w:val="center"/>
          </w:tcPr>
          <w:p>
            <w:pPr>
              <w:pStyle w:val="14"/>
            </w:pPr>
            <w:r>
              <w:t>202</w:t>
            </w:r>
            <w:r>
              <w:rPr>
                <w:rFonts w:hint="eastAsia"/>
                <w:lang w:val="en-US" w:eastAsia="zh-CN"/>
              </w:rPr>
              <w:t>6</w:t>
            </w:r>
            <w:r>
              <w:t>年11月30日前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单位补偿标准</w:t>
            </w:r>
          </w:p>
        </w:tc>
        <w:tc>
          <w:tcPr>
            <w:tcW w:w="5386" w:type="dxa"/>
            <w:vAlign w:val="center"/>
          </w:tcPr>
          <w:p>
            <w:pPr>
              <w:pStyle w:val="14"/>
            </w:pPr>
            <w:r>
              <w:t>每亩补偿标准</w:t>
            </w:r>
          </w:p>
        </w:tc>
        <w:tc>
          <w:tcPr>
            <w:tcW w:w="2268" w:type="dxa"/>
            <w:vAlign w:val="center"/>
          </w:tcPr>
          <w:p>
            <w:pPr>
              <w:pStyle w:val="14"/>
            </w:pPr>
            <w:r>
              <w:t>1400元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合同正常履约率</w:t>
            </w:r>
          </w:p>
        </w:tc>
        <w:tc>
          <w:tcPr>
            <w:tcW w:w="5386" w:type="dxa"/>
            <w:vAlign w:val="center"/>
          </w:tcPr>
          <w:p>
            <w:pPr>
              <w:pStyle w:val="14"/>
            </w:pPr>
            <w:r>
              <w:t>合同正常履约率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2、2026年井陉县吴家窑乡公车购置费用绩效目标表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13012126P00128010002M</w:t>
            </w:r>
          </w:p>
        </w:tc>
        <w:tc>
          <w:tcPr>
            <w:tcW w:w="2835" w:type="dxa"/>
            <w:vAlign w:val="center"/>
          </w:tcPr>
          <w:p>
            <w:pPr>
              <w:pStyle w:val="12"/>
            </w:pPr>
            <w:r>
              <w:t>项目名称</w:t>
            </w:r>
          </w:p>
        </w:tc>
        <w:tc>
          <w:tcPr>
            <w:tcW w:w="6095" w:type="dxa"/>
            <w:gridSpan w:val="3"/>
            <w:vAlign w:val="center"/>
          </w:tcPr>
          <w:p>
            <w:pPr>
              <w:pStyle w:val="14"/>
            </w:pPr>
            <w:r>
              <w:t>2026年井陉县吴家窑乡公车购置费用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140000.00</w:t>
            </w:r>
          </w:p>
        </w:tc>
        <w:tc>
          <w:tcPr>
            <w:tcW w:w="2835" w:type="dxa"/>
            <w:vAlign w:val="center"/>
          </w:tcPr>
          <w:p>
            <w:pPr>
              <w:pStyle w:val="12"/>
            </w:pPr>
            <w:r>
              <w:t>其中：财政    资金</w:t>
            </w:r>
          </w:p>
        </w:tc>
        <w:tc>
          <w:tcPr>
            <w:tcW w:w="2551" w:type="dxa"/>
            <w:vAlign w:val="center"/>
          </w:tcPr>
          <w:p>
            <w:pPr>
              <w:pStyle w:val="14"/>
            </w:pPr>
            <w:r>
              <w:t>140000.00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通过保障机关公车运行安全，</w:t>
            </w:r>
            <w:r>
              <w:rPr>
                <w:rFonts w:hint="eastAsia"/>
                <w:lang w:eastAsia="zh-CN"/>
              </w:rPr>
              <w:t>进一步</w:t>
            </w:r>
            <w:r>
              <w:t>提高工作效率，完成服务群众的任务。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1.通过保障机关公车运行安全，实现更好的提高工作效率，完成服务群众的任务。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购置车辆数量</w:t>
            </w:r>
          </w:p>
        </w:tc>
        <w:tc>
          <w:tcPr>
            <w:tcW w:w="5386" w:type="dxa"/>
            <w:vAlign w:val="center"/>
          </w:tcPr>
          <w:p>
            <w:pPr>
              <w:pStyle w:val="14"/>
            </w:pPr>
            <w:r>
              <w:t>新购置车辆数量</w:t>
            </w:r>
          </w:p>
        </w:tc>
        <w:tc>
          <w:tcPr>
            <w:tcW w:w="2268" w:type="dxa"/>
            <w:vAlign w:val="center"/>
          </w:tcPr>
          <w:p>
            <w:pPr>
              <w:pStyle w:val="14"/>
            </w:pPr>
            <w:r>
              <w:t>1辆</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考察购置车辆的质量合格情况</w:t>
            </w:r>
          </w:p>
        </w:tc>
        <w:tc>
          <w:tcPr>
            <w:tcW w:w="2268" w:type="dxa"/>
            <w:vAlign w:val="center"/>
          </w:tcPr>
          <w:p>
            <w:pPr>
              <w:pStyle w:val="14"/>
            </w:pPr>
            <w:r>
              <w:t>100%</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工作完成时间</w:t>
            </w:r>
          </w:p>
        </w:tc>
        <w:tc>
          <w:tcPr>
            <w:tcW w:w="5386" w:type="dxa"/>
            <w:vAlign w:val="center"/>
          </w:tcPr>
          <w:p>
            <w:pPr>
              <w:pStyle w:val="14"/>
            </w:pPr>
            <w:r>
              <w:t>按照购车合同进行支付</w:t>
            </w:r>
          </w:p>
        </w:tc>
        <w:tc>
          <w:tcPr>
            <w:tcW w:w="2268" w:type="dxa"/>
            <w:vAlign w:val="center"/>
          </w:tcPr>
          <w:p>
            <w:pPr>
              <w:pStyle w:val="14"/>
            </w:pPr>
            <w:r>
              <w:t>2026年12月31日前</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购车成本</w:t>
            </w:r>
          </w:p>
        </w:tc>
        <w:tc>
          <w:tcPr>
            <w:tcW w:w="5386" w:type="dxa"/>
            <w:vAlign w:val="center"/>
          </w:tcPr>
          <w:p>
            <w:pPr>
              <w:pStyle w:val="14"/>
            </w:pPr>
            <w:r>
              <w:t>用于支付购置公车的尾款费用</w:t>
            </w:r>
          </w:p>
        </w:tc>
        <w:tc>
          <w:tcPr>
            <w:tcW w:w="2268" w:type="dxa"/>
            <w:vAlign w:val="center"/>
          </w:tcPr>
          <w:p>
            <w:pPr>
              <w:pStyle w:val="14"/>
            </w:pPr>
            <w:r>
              <w:t>140000元</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可持续使用年限</w:t>
            </w:r>
          </w:p>
        </w:tc>
        <w:tc>
          <w:tcPr>
            <w:tcW w:w="5386" w:type="dxa"/>
            <w:vAlign w:val="center"/>
          </w:tcPr>
          <w:p>
            <w:pPr>
              <w:pStyle w:val="14"/>
            </w:pPr>
            <w:r>
              <w:t>公车可持续使用年限</w:t>
            </w:r>
          </w:p>
        </w:tc>
        <w:tc>
          <w:tcPr>
            <w:tcW w:w="2268" w:type="dxa"/>
            <w:vAlign w:val="center"/>
          </w:tcPr>
          <w:p>
            <w:pPr>
              <w:pStyle w:val="14"/>
            </w:pPr>
            <w:r>
              <w:t>15年</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机关工作人员满意程度</w:t>
            </w:r>
          </w:p>
        </w:tc>
        <w:tc>
          <w:tcPr>
            <w:tcW w:w="5386" w:type="dxa"/>
            <w:vAlign w:val="center"/>
          </w:tcPr>
          <w:p>
            <w:pPr>
              <w:pStyle w:val="14"/>
            </w:pPr>
            <w:r>
              <w:t>机关工作人员满意程度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13012126P00098610031B</w:t>
            </w:r>
          </w:p>
        </w:tc>
        <w:tc>
          <w:tcPr>
            <w:tcW w:w="2835" w:type="dxa"/>
            <w:vAlign w:val="center"/>
          </w:tcPr>
          <w:p>
            <w:pPr>
              <w:pStyle w:val="12"/>
            </w:pPr>
            <w:r>
              <w:t>项目名称</w:t>
            </w:r>
          </w:p>
        </w:tc>
        <w:tc>
          <w:tcPr>
            <w:tcW w:w="6095" w:type="dxa"/>
            <w:gridSpan w:val="3"/>
            <w:vAlign w:val="center"/>
          </w:tcPr>
          <w:p>
            <w:pPr>
              <w:pStyle w:val="14"/>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50000.00</w:t>
            </w:r>
          </w:p>
        </w:tc>
        <w:tc>
          <w:tcPr>
            <w:tcW w:w="2835" w:type="dxa"/>
            <w:vAlign w:val="center"/>
          </w:tcPr>
          <w:p>
            <w:pPr>
              <w:pStyle w:val="12"/>
            </w:pPr>
            <w:r>
              <w:t>其中：财政    资金</w:t>
            </w:r>
          </w:p>
        </w:tc>
        <w:tc>
          <w:tcPr>
            <w:tcW w:w="2551" w:type="dxa"/>
            <w:vAlign w:val="center"/>
          </w:tcPr>
          <w:p>
            <w:pPr>
              <w:pStyle w:val="14"/>
            </w:pPr>
            <w:r>
              <w:t>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通过保障机关主楼冬季取暖，</w:t>
            </w:r>
            <w:r>
              <w:rPr>
                <w:rFonts w:hint="eastAsia"/>
                <w:lang w:eastAsia="zh-CN"/>
              </w:rPr>
              <w:t>进一步</w:t>
            </w:r>
            <w:r>
              <w:t>提高工作效率，完成服务群众的任务。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1.通过保障机关主楼冬季取暖，实现更好的提高工作效率，完成服务群众的任务。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取暖面积</w:t>
            </w:r>
          </w:p>
        </w:tc>
        <w:tc>
          <w:tcPr>
            <w:tcW w:w="5386" w:type="dxa"/>
            <w:vAlign w:val="center"/>
          </w:tcPr>
          <w:p>
            <w:pPr>
              <w:pStyle w:val="14"/>
            </w:pPr>
            <w:r>
              <w:t>取暖面积</w:t>
            </w:r>
          </w:p>
        </w:tc>
        <w:tc>
          <w:tcPr>
            <w:tcW w:w="2268" w:type="dxa"/>
            <w:vAlign w:val="center"/>
          </w:tcPr>
          <w:p>
            <w:pPr>
              <w:pStyle w:val="14"/>
            </w:pPr>
            <w:r>
              <w:t>≥1200平方米</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取暖面积覆盖率</w:t>
            </w:r>
          </w:p>
        </w:tc>
        <w:tc>
          <w:tcPr>
            <w:tcW w:w="5386" w:type="dxa"/>
            <w:vAlign w:val="center"/>
          </w:tcPr>
          <w:p>
            <w:pPr>
              <w:pStyle w:val="14"/>
            </w:pPr>
            <w:r>
              <w:t>取暖面积覆盖率</w:t>
            </w:r>
          </w:p>
        </w:tc>
        <w:tc>
          <w:tcPr>
            <w:tcW w:w="2268" w:type="dxa"/>
            <w:vAlign w:val="center"/>
          </w:tcPr>
          <w:p>
            <w:pPr>
              <w:pStyle w:val="14"/>
            </w:pPr>
            <w:r>
              <w:t>100%</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保障取暖月份</w:t>
            </w:r>
          </w:p>
        </w:tc>
        <w:tc>
          <w:tcPr>
            <w:tcW w:w="5386" w:type="dxa"/>
            <w:vAlign w:val="center"/>
          </w:tcPr>
          <w:p>
            <w:pPr>
              <w:pStyle w:val="14"/>
            </w:pPr>
            <w:r>
              <w:t>保障冬季取暖月份</w:t>
            </w:r>
          </w:p>
        </w:tc>
        <w:tc>
          <w:tcPr>
            <w:tcW w:w="2268" w:type="dxa"/>
            <w:vAlign w:val="center"/>
          </w:tcPr>
          <w:p>
            <w:pPr>
              <w:pStyle w:val="14"/>
            </w:pPr>
            <w:r>
              <w:t>5个月</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每月取暖成本</w:t>
            </w:r>
          </w:p>
        </w:tc>
        <w:tc>
          <w:tcPr>
            <w:tcW w:w="5386" w:type="dxa"/>
            <w:vAlign w:val="center"/>
          </w:tcPr>
          <w:p>
            <w:pPr>
              <w:pStyle w:val="14"/>
            </w:pPr>
            <w:r>
              <w:t>每月取暖成本</w:t>
            </w:r>
          </w:p>
        </w:tc>
        <w:tc>
          <w:tcPr>
            <w:tcW w:w="2268" w:type="dxa"/>
            <w:vAlign w:val="center"/>
          </w:tcPr>
          <w:p>
            <w:pPr>
              <w:pStyle w:val="14"/>
            </w:pPr>
            <w:r>
              <w:t>≤10000元</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取暖温度</w:t>
            </w:r>
          </w:p>
        </w:tc>
        <w:tc>
          <w:tcPr>
            <w:tcW w:w="5386" w:type="dxa"/>
            <w:vAlign w:val="center"/>
          </w:tcPr>
          <w:p>
            <w:pPr>
              <w:pStyle w:val="14"/>
            </w:pPr>
            <w:r>
              <w:t>取暖温度</w:t>
            </w:r>
          </w:p>
        </w:tc>
        <w:tc>
          <w:tcPr>
            <w:tcW w:w="2268" w:type="dxa"/>
            <w:vAlign w:val="center"/>
          </w:tcPr>
          <w:p>
            <w:pPr>
              <w:pStyle w:val="14"/>
            </w:pPr>
            <w:r>
              <w:t>≥18度</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机关工作人员满意程度</w:t>
            </w:r>
          </w:p>
        </w:tc>
        <w:tc>
          <w:tcPr>
            <w:tcW w:w="5386" w:type="dxa"/>
            <w:vAlign w:val="center"/>
          </w:tcPr>
          <w:p>
            <w:pPr>
              <w:pStyle w:val="14"/>
            </w:pPr>
            <w:r>
              <w:t>机关工作人员满意程度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13012126P000993100106</w:t>
            </w:r>
          </w:p>
        </w:tc>
        <w:tc>
          <w:tcPr>
            <w:tcW w:w="2835" w:type="dxa"/>
            <w:vAlign w:val="center"/>
          </w:tcPr>
          <w:p>
            <w:pPr>
              <w:pStyle w:val="12"/>
            </w:pPr>
            <w:r>
              <w:t>项目名称</w:t>
            </w:r>
          </w:p>
        </w:tc>
        <w:tc>
          <w:tcPr>
            <w:tcW w:w="6095" w:type="dxa"/>
            <w:gridSpan w:val="3"/>
            <w:vAlign w:val="center"/>
          </w:tcPr>
          <w:p>
            <w:pPr>
              <w:pStyle w:val="14"/>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45558.00</w:t>
            </w:r>
          </w:p>
        </w:tc>
        <w:tc>
          <w:tcPr>
            <w:tcW w:w="2835" w:type="dxa"/>
            <w:vAlign w:val="center"/>
          </w:tcPr>
          <w:p>
            <w:pPr>
              <w:pStyle w:val="12"/>
            </w:pPr>
            <w:r>
              <w:t>其中：财政    资金</w:t>
            </w:r>
          </w:p>
        </w:tc>
        <w:tc>
          <w:tcPr>
            <w:tcW w:w="2551" w:type="dxa"/>
            <w:vAlign w:val="center"/>
          </w:tcPr>
          <w:p>
            <w:pPr>
              <w:pStyle w:val="14"/>
            </w:pPr>
            <w:r>
              <w:t>45558.00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通过完成乡政府办公楼800平方米修缮建设任务，改善水电线路老化以及院落地面破损带来的不便，提升我乡政府整体面貌，为我乡干部提供舒适的工作环境。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1.通过完成乡政府办公楼800平方米修缮建设任务，改善水电线路老化以及院落地面破损带来的不便，提升我乡政府整体面貌，为我乡干部提供舒适的工作环境。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修缮面积</w:t>
            </w:r>
          </w:p>
        </w:tc>
        <w:tc>
          <w:tcPr>
            <w:tcW w:w="5386" w:type="dxa"/>
            <w:vAlign w:val="center"/>
          </w:tcPr>
          <w:p>
            <w:pPr>
              <w:pStyle w:val="14"/>
            </w:pPr>
            <w:r>
              <w:t>办公楼及院落修缮面积</w:t>
            </w:r>
          </w:p>
        </w:tc>
        <w:tc>
          <w:tcPr>
            <w:tcW w:w="2268" w:type="dxa"/>
            <w:vAlign w:val="center"/>
          </w:tcPr>
          <w:p>
            <w:pPr>
              <w:pStyle w:val="14"/>
            </w:pPr>
            <w:r>
              <w:t>≥800平方米</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修缮完成后验收的合格率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修缮完成时间</w:t>
            </w:r>
          </w:p>
        </w:tc>
        <w:tc>
          <w:tcPr>
            <w:tcW w:w="5386" w:type="dxa"/>
            <w:vAlign w:val="center"/>
          </w:tcPr>
          <w:p>
            <w:pPr>
              <w:pStyle w:val="14"/>
            </w:pPr>
            <w:r>
              <w:t>修缮办公楼完成时间</w:t>
            </w:r>
          </w:p>
        </w:tc>
        <w:tc>
          <w:tcPr>
            <w:tcW w:w="2268" w:type="dxa"/>
            <w:vAlign w:val="center"/>
          </w:tcPr>
          <w:p>
            <w:pPr>
              <w:pStyle w:val="14"/>
            </w:pPr>
            <w:r>
              <w:t>2026年12月31日之前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每平米成本</w:t>
            </w:r>
          </w:p>
        </w:tc>
        <w:tc>
          <w:tcPr>
            <w:tcW w:w="5386" w:type="dxa"/>
            <w:vAlign w:val="center"/>
          </w:tcPr>
          <w:p>
            <w:pPr>
              <w:pStyle w:val="14"/>
            </w:pPr>
            <w:r>
              <w:t>办公楼修缮每平米成本</w:t>
            </w:r>
          </w:p>
        </w:tc>
        <w:tc>
          <w:tcPr>
            <w:tcW w:w="2268" w:type="dxa"/>
            <w:vAlign w:val="center"/>
          </w:tcPr>
          <w:p>
            <w:pPr>
              <w:pStyle w:val="14"/>
            </w:pPr>
            <w:r>
              <w:t>≤56.95元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长期使用年限</w:t>
            </w:r>
          </w:p>
        </w:tc>
        <w:tc>
          <w:tcPr>
            <w:tcW w:w="5386" w:type="dxa"/>
            <w:vAlign w:val="center"/>
          </w:tcPr>
          <w:p>
            <w:pPr>
              <w:pStyle w:val="14"/>
            </w:pPr>
            <w:r>
              <w:t>长期使用年限</w:t>
            </w:r>
          </w:p>
        </w:tc>
        <w:tc>
          <w:tcPr>
            <w:tcW w:w="2268" w:type="dxa"/>
            <w:vAlign w:val="center"/>
          </w:tcPr>
          <w:p>
            <w:pPr>
              <w:pStyle w:val="14"/>
            </w:pPr>
            <w:r>
              <w:t>≥5年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5、衡井线占地补偿款绩效目标表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13012126P00127910002H</w:t>
            </w:r>
          </w:p>
        </w:tc>
        <w:tc>
          <w:tcPr>
            <w:tcW w:w="2835" w:type="dxa"/>
            <w:vAlign w:val="center"/>
          </w:tcPr>
          <w:p>
            <w:pPr>
              <w:pStyle w:val="12"/>
            </w:pPr>
            <w:r>
              <w:t>项目名称</w:t>
            </w:r>
          </w:p>
        </w:tc>
        <w:tc>
          <w:tcPr>
            <w:tcW w:w="6095" w:type="dxa"/>
            <w:gridSpan w:val="3"/>
            <w:vAlign w:val="center"/>
          </w:tcPr>
          <w:p>
            <w:pPr>
              <w:pStyle w:val="14"/>
            </w:pPr>
            <w:r>
              <w:t>衡井线占地补偿款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119393.40</w:t>
            </w:r>
          </w:p>
        </w:tc>
        <w:tc>
          <w:tcPr>
            <w:tcW w:w="2835" w:type="dxa"/>
            <w:vAlign w:val="center"/>
          </w:tcPr>
          <w:p>
            <w:pPr>
              <w:pStyle w:val="12"/>
            </w:pPr>
            <w:r>
              <w:t>其中：财政    资金</w:t>
            </w:r>
          </w:p>
        </w:tc>
        <w:tc>
          <w:tcPr>
            <w:tcW w:w="2551" w:type="dxa"/>
            <w:vAlign w:val="center"/>
          </w:tcPr>
          <w:p>
            <w:pPr>
              <w:pStyle w:val="14"/>
            </w:pPr>
            <w:r>
              <w:t>119393.40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通过每年1次及时拨付村民占地补偿款，有效履行合同约定，保障村民合法权益。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1.通过每年1次及时拨付村民占地补偿款，有效履行合同约定，保障村民合法权益。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占地亩数</w:t>
            </w:r>
          </w:p>
        </w:tc>
        <w:tc>
          <w:tcPr>
            <w:tcW w:w="2268" w:type="dxa"/>
            <w:vAlign w:val="center"/>
          </w:tcPr>
          <w:p>
            <w:pPr>
              <w:pStyle w:val="14"/>
            </w:pPr>
            <w:r>
              <w:t>85.2</w:t>
            </w:r>
            <w:r>
              <w:rPr>
                <w:rFonts w:hint="eastAsia"/>
                <w:lang w:val="en-US" w:eastAsia="zh-CN"/>
              </w:rPr>
              <w:t>8</w:t>
            </w:r>
            <w:r>
              <w:t>亩</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支付准确率</w:t>
            </w:r>
          </w:p>
        </w:tc>
        <w:tc>
          <w:tcPr>
            <w:tcW w:w="5386" w:type="dxa"/>
            <w:vAlign w:val="center"/>
          </w:tcPr>
          <w:p>
            <w:pPr>
              <w:pStyle w:val="14"/>
            </w:pPr>
            <w:r>
              <w:t>支付占地补偿款的准确率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补偿完成时间</w:t>
            </w:r>
          </w:p>
        </w:tc>
        <w:tc>
          <w:tcPr>
            <w:tcW w:w="5386" w:type="dxa"/>
            <w:vAlign w:val="center"/>
          </w:tcPr>
          <w:p>
            <w:pPr>
              <w:pStyle w:val="14"/>
            </w:pPr>
            <w:r>
              <w:t>占地补偿款支付完成时间</w:t>
            </w:r>
          </w:p>
        </w:tc>
        <w:tc>
          <w:tcPr>
            <w:tcW w:w="2268" w:type="dxa"/>
            <w:vAlign w:val="center"/>
          </w:tcPr>
          <w:p>
            <w:pPr>
              <w:pStyle w:val="14"/>
            </w:pPr>
            <w:r>
              <w:t>202</w:t>
            </w:r>
            <w:r>
              <w:rPr>
                <w:rFonts w:hint="eastAsia"/>
                <w:lang w:val="en-US" w:eastAsia="zh-CN"/>
              </w:rPr>
              <w:t>6</w:t>
            </w:r>
            <w:r>
              <w:t>年11月30日前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单位补偿标准</w:t>
            </w:r>
          </w:p>
        </w:tc>
        <w:tc>
          <w:tcPr>
            <w:tcW w:w="5386" w:type="dxa"/>
            <w:vAlign w:val="center"/>
          </w:tcPr>
          <w:p>
            <w:pPr>
              <w:pStyle w:val="14"/>
            </w:pPr>
            <w:r>
              <w:t>每亩补偿标准</w:t>
            </w:r>
          </w:p>
        </w:tc>
        <w:tc>
          <w:tcPr>
            <w:tcW w:w="2268" w:type="dxa"/>
            <w:vAlign w:val="center"/>
          </w:tcPr>
          <w:p>
            <w:pPr>
              <w:pStyle w:val="14"/>
            </w:pPr>
            <w:r>
              <w:t>1400元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合同正常履约率</w:t>
            </w:r>
          </w:p>
        </w:tc>
        <w:tc>
          <w:tcPr>
            <w:tcW w:w="5386" w:type="dxa"/>
            <w:vAlign w:val="center"/>
          </w:tcPr>
          <w:p>
            <w:pPr>
              <w:pStyle w:val="14"/>
            </w:pPr>
            <w:r>
              <w:t>合同正常履约率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13012126P00100010029D</w:t>
            </w:r>
          </w:p>
        </w:tc>
        <w:tc>
          <w:tcPr>
            <w:tcW w:w="2835" w:type="dxa"/>
            <w:vAlign w:val="center"/>
          </w:tcPr>
          <w:p>
            <w:pPr>
              <w:pStyle w:val="12"/>
            </w:pPr>
            <w:r>
              <w:t>项目名称</w:t>
            </w:r>
          </w:p>
        </w:tc>
        <w:tc>
          <w:tcPr>
            <w:tcW w:w="6095" w:type="dxa"/>
            <w:gridSpan w:val="3"/>
            <w:vAlign w:val="center"/>
          </w:tcPr>
          <w:p>
            <w:pPr>
              <w:pStyle w:val="14"/>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50000.00</w:t>
            </w:r>
          </w:p>
        </w:tc>
        <w:tc>
          <w:tcPr>
            <w:tcW w:w="2835" w:type="dxa"/>
            <w:vAlign w:val="center"/>
          </w:tcPr>
          <w:p>
            <w:pPr>
              <w:pStyle w:val="12"/>
            </w:pPr>
            <w:r>
              <w:t>其中：财政    资金</w:t>
            </w:r>
          </w:p>
        </w:tc>
        <w:tc>
          <w:tcPr>
            <w:tcW w:w="2551" w:type="dxa"/>
            <w:vAlign w:val="center"/>
          </w:tcPr>
          <w:p>
            <w:pPr>
              <w:pStyle w:val="14"/>
            </w:pPr>
            <w:r>
              <w:t>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通过对11个村加强森林防火基础设施的建设和扑火队伍的专业培训工作，完善森林防火基础设施，提高扑火队伍的业务能力，逐步建成森林防火预测预报网、通讯联络网、火情</w:t>
            </w:r>
            <w:r>
              <w:rPr>
                <w:rFonts w:hint="eastAsia"/>
              </w:rPr>
              <w:t>瞭望</w:t>
            </w:r>
            <w:r>
              <w:t>网、阻火隔离网，减少火灾发生。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11个村加强森林防火基础设施的建设和扑火队伍的专业培训工作，完善森林防火基础设施，提高扑火队伍的业务能力，逐步建成森林防火预测预报网、通讯联络网、火情了望网、阻火隔离网，减少火灾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护林防火政策宣传数量</w:t>
            </w:r>
          </w:p>
        </w:tc>
        <w:tc>
          <w:tcPr>
            <w:tcW w:w="5386" w:type="dxa"/>
            <w:vAlign w:val="center"/>
          </w:tcPr>
          <w:p>
            <w:pPr>
              <w:pStyle w:val="14"/>
            </w:pPr>
            <w:r>
              <w:t>对乡域内的村落开展护林防火政策宣传</w:t>
            </w:r>
          </w:p>
        </w:tc>
        <w:tc>
          <w:tcPr>
            <w:tcW w:w="2268" w:type="dxa"/>
            <w:vAlign w:val="center"/>
          </w:tcPr>
          <w:p>
            <w:pPr>
              <w:pStyle w:val="14"/>
            </w:pPr>
            <w:r>
              <w:t>11个村</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宣传到位率</w:t>
            </w:r>
          </w:p>
        </w:tc>
        <w:tc>
          <w:tcPr>
            <w:tcW w:w="5386" w:type="dxa"/>
            <w:vAlign w:val="center"/>
          </w:tcPr>
          <w:p>
            <w:pPr>
              <w:pStyle w:val="14"/>
            </w:pPr>
            <w:r>
              <w:t>防火宣传到位率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宣传期限</w:t>
            </w:r>
          </w:p>
        </w:tc>
        <w:tc>
          <w:tcPr>
            <w:tcW w:w="5386" w:type="dxa"/>
            <w:vAlign w:val="center"/>
          </w:tcPr>
          <w:p>
            <w:pPr>
              <w:pStyle w:val="14"/>
            </w:pPr>
            <w:r>
              <w:t>开展防火宣传的期限</w:t>
            </w:r>
          </w:p>
        </w:tc>
        <w:tc>
          <w:tcPr>
            <w:tcW w:w="2268" w:type="dxa"/>
            <w:vAlign w:val="center"/>
          </w:tcPr>
          <w:p>
            <w:pPr>
              <w:pStyle w:val="14"/>
            </w:pPr>
            <w:r>
              <w:t>10月</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防火宣传成本</w:t>
            </w:r>
          </w:p>
        </w:tc>
        <w:tc>
          <w:tcPr>
            <w:tcW w:w="5386" w:type="dxa"/>
            <w:vAlign w:val="center"/>
          </w:tcPr>
          <w:p>
            <w:pPr>
              <w:pStyle w:val="14"/>
            </w:pPr>
            <w:r>
              <w:t>平均每月防火宣传成本</w:t>
            </w:r>
          </w:p>
        </w:tc>
        <w:tc>
          <w:tcPr>
            <w:tcW w:w="2268" w:type="dxa"/>
            <w:vAlign w:val="center"/>
          </w:tcPr>
          <w:p>
            <w:pPr>
              <w:pStyle w:val="14"/>
            </w:pPr>
            <w:r>
              <w:t>≤5000元</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护林防火政策知晓率</w:t>
            </w:r>
          </w:p>
        </w:tc>
        <w:tc>
          <w:tcPr>
            <w:tcW w:w="5386" w:type="dxa"/>
            <w:vAlign w:val="center"/>
          </w:tcPr>
          <w:p>
            <w:pPr>
              <w:pStyle w:val="14"/>
            </w:pPr>
            <w:r>
              <w:t>护林防火政策知晓率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村民对森林防火、宣传工作的满意度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13012126P000994100271</w:t>
            </w:r>
          </w:p>
        </w:tc>
        <w:tc>
          <w:tcPr>
            <w:tcW w:w="2835" w:type="dxa"/>
            <w:vAlign w:val="center"/>
          </w:tcPr>
          <w:p>
            <w:pPr>
              <w:pStyle w:val="12"/>
            </w:pPr>
            <w:r>
              <w:t>项目名称</w:t>
            </w:r>
          </w:p>
        </w:tc>
        <w:tc>
          <w:tcPr>
            <w:tcW w:w="6095" w:type="dxa"/>
            <w:gridSpan w:val="3"/>
            <w:vAlign w:val="center"/>
          </w:tcPr>
          <w:p>
            <w:pPr>
              <w:pStyle w:val="14"/>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40000.00</w:t>
            </w:r>
          </w:p>
        </w:tc>
        <w:tc>
          <w:tcPr>
            <w:tcW w:w="2835" w:type="dxa"/>
            <w:vAlign w:val="center"/>
          </w:tcPr>
          <w:p>
            <w:pPr>
              <w:pStyle w:val="12"/>
            </w:pPr>
            <w:r>
              <w:t>其中：财政    资金</w:t>
            </w:r>
          </w:p>
        </w:tc>
        <w:tc>
          <w:tcPr>
            <w:tcW w:w="2551" w:type="dxa"/>
            <w:vAlign w:val="center"/>
          </w:tcPr>
          <w:p>
            <w:pPr>
              <w:pStyle w:val="14"/>
            </w:pPr>
            <w:r>
              <w:t>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通过开展农村环境治理的工作，及时处理农村污水、垃圾，改善农村居住环境，推动农村走上“生产发展、生活富裕、生态文明”的发展新道路。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1.通过开展农村环境治理的工作，及时处理农村污水、垃圾，改善农村居住环境，推动农村走上“生产发展、生活富裕、生态文明”的发展新道路。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行政村数量</w:t>
            </w:r>
          </w:p>
        </w:tc>
        <w:tc>
          <w:tcPr>
            <w:tcW w:w="5386" w:type="dxa"/>
            <w:vAlign w:val="center"/>
          </w:tcPr>
          <w:p>
            <w:pPr>
              <w:pStyle w:val="14"/>
            </w:pPr>
            <w:r>
              <w:t>环境整治的行政村数量</w:t>
            </w:r>
          </w:p>
        </w:tc>
        <w:tc>
          <w:tcPr>
            <w:tcW w:w="2268" w:type="dxa"/>
            <w:vAlign w:val="center"/>
          </w:tcPr>
          <w:p>
            <w:pPr>
              <w:pStyle w:val="14"/>
            </w:pPr>
            <w:r>
              <w:t>11个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清理达标率</w:t>
            </w:r>
          </w:p>
        </w:tc>
        <w:tc>
          <w:tcPr>
            <w:tcW w:w="5386" w:type="dxa"/>
            <w:vAlign w:val="center"/>
          </w:tcPr>
          <w:p>
            <w:pPr>
              <w:pStyle w:val="14"/>
            </w:pPr>
            <w:r>
              <w:t>清理农村污水、垃圾等达标率</w:t>
            </w:r>
          </w:p>
        </w:tc>
        <w:tc>
          <w:tcPr>
            <w:tcW w:w="2268" w:type="dxa"/>
            <w:vAlign w:val="center"/>
          </w:tcPr>
          <w:p>
            <w:pPr>
              <w:pStyle w:val="14"/>
            </w:pPr>
            <w:r>
              <w:t>≥90%</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环境整治工作开展期限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平均每个月投入成本</w:t>
            </w:r>
          </w:p>
        </w:tc>
        <w:tc>
          <w:tcPr>
            <w:tcW w:w="5386" w:type="dxa"/>
            <w:vAlign w:val="center"/>
          </w:tcPr>
          <w:p>
            <w:pPr>
              <w:pStyle w:val="14"/>
            </w:pPr>
            <w:r>
              <w:t>平均每个月投入成本</w:t>
            </w:r>
          </w:p>
        </w:tc>
        <w:tc>
          <w:tcPr>
            <w:tcW w:w="2268" w:type="dxa"/>
            <w:vAlign w:val="center"/>
          </w:tcPr>
          <w:p>
            <w:pPr>
              <w:pStyle w:val="14"/>
            </w:pPr>
            <w:r>
              <w:t>≤3333.33元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提高环境质量</w:t>
            </w:r>
          </w:p>
        </w:tc>
        <w:tc>
          <w:tcPr>
            <w:tcW w:w="5386" w:type="dxa"/>
            <w:vAlign w:val="center"/>
          </w:tcPr>
          <w:p>
            <w:pPr>
              <w:pStyle w:val="14"/>
            </w:pPr>
            <w:r>
              <w:t>改善空气、水等环境，提高环境质量</w:t>
            </w:r>
          </w:p>
          <w:p>
            <w:pPr>
              <w:pStyle w:val="14"/>
            </w:pPr>
          </w:p>
        </w:tc>
        <w:tc>
          <w:tcPr>
            <w:tcW w:w="2268" w:type="dxa"/>
            <w:vAlign w:val="center"/>
          </w:tcPr>
          <w:p>
            <w:pPr>
              <w:pStyle w:val="14"/>
            </w:pPr>
            <w:r>
              <w:t>较上年度进一步提高环境质量</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受益人口数</w:t>
            </w:r>
          </w:p>
        </w:tc>
        <w:tc>
          <w:tcPr>
            <w:tcW w:w="2268" w:type="dxa"/>
            <w:vAlign w:val="center"/>
          </w:tcPr>
          <w:p>
            <w:pPr>
              <w:pStyle w:val="14"/>
            </w:pPr>
            <w:r>
              <w:t>≥6000人</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村民对污染整治情况满意度</w:t>
            </w:r>
          </w:p>
        </w:tc>
        <w:tc>
          <w:tcPr>
            <w:tcW w:w="2268" w:type="dxa"/>
            <w:vAlign w:val="center"/>
          </w:tcPr>
          <w:p>
            <w:pPr>
              <w:pStyle w:val="14"/>
            </w:pPr>
            <w:r>
              <w:t>≥95%</w:t>
            </w:r>
          </w:p>
        </w:tc>
        <w:tc>
          <w:tcPr>
            <w:tcW w:w="1276" w:type="dxa"/>
            <w:vAlign w:val="center"/>
          </w:tcPr>
          <w:p>
            <w:pPr>
              <w:pStyle w:val="14"/>
            </w:pPr>
            <w:r>
              <w:t>村民走访情况调查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8、环境整治经费（非税）绩效目标表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13012126P00127810002U</w:t>
            </w:r>
          </w:p>
        </w:tc>
        <w:tc>
          <w:tcPr>
            <w:tcW w:w="2835" w:type="dxa"/>
            <w:vAlign w:val="center"/>
          </w:tcPr>
          <w:p>
            <w:pPr>
              <w:pStyle w:val="12"/>
            </w:pPr>
            <w:r>
              <w:t>项目名称</w:t>
            </w:r>
          </w:p>
        </w:tc>
        <w:tc>
          <w:tcPr>
            <w:tcW w:w="6095" w:type="dxa"/>
            <w:gridSpan w:val="3"/>
            <w:vAlign w:val="center"/>
          </w:tcPr>
          <w:p>
            <w:pPr>
              <w:pStyle w:val="14"/>
            </w:pPr>
            <w:r>
              <w:t>环境整治经费（非税）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25000.00</w:t>
            </w:r>
          </w:p>
        </w:tc>
        <w:tc>
          <w:tcPr>
            <w:tcW w:w="2835" w:type="dxa"/>
            <w:vAlign w:val="center"/>
          </w:tcPr>
          <w:p>
            <w:pPr>
              <w:pStyle w:val="12"/>
            </w:pPr>
            <w:r>
              <w:t>其中：财政    资金</w:t>
            </w:r>
          </w:p>
        </w:tc>
        <w:tc>
          <w:tcPr>
            <w:tcW w:w="2551" w:type="dxa"/>
            <w:vAlign w:val="center"/>
          </w:tcPr>
          <w:p>
            <w:pPr>
              <w:pStyle w:val="14"/>
            </w:pPr>
            <w:r>
              <w:t>25000.00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通过开展农村环境治理的工作，及时处理农村污水、垃圾，改善农村居住环境，推动农村走上“生产发展、生活富裕、生态文明”的发展新道路。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1.通过开展农村环境治理的工作，及时处理农村污水、垃圾，改善农村居住环境，推动农村走上“生产发展、生活富裕、生态文明”的发展新道路。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行政村数量</w:t>
            </w:r>
          </w:p>
        </w:tc>
        <w:tc>
          <w:tcPr>
            <w:tcW w:w="5386" w:type="dxa"/>
            <w:vAlign w:val="center"/>
          </w:tcPr>
          <w:p>
            <w:pPr>
              <w:pStyle w:val="14"/>
            </w:pPr>
            <w:r>
              <w:t>环境整治的行政村数量</w:t>
            </w:r>
          </w:p>
        </w:tc>
        <w:tc>
          <w:tcPr>
            <w:tcW w:w="2268" w:type="dxa"/>
            <w:vAlign w:val="center"/>
          </w:tcPr>
          <w:p>
            <w:pPr>
              <w:pStyle w:val="14"/>
            </w:pPr>
            <w:r>
              <w:t>11个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清理达标率</w:t>
            </w:r>
          </w:p>
        </w:tc>
        <w:tc>
          <w:tcPr>
            <w:tcW w:w="5386" w:type="dxa"/>
            <w:vAlign w:val="center"/>
          </w:tcPr>
          <w:p>
            <w:pPr>
              <w:pStyle w:val="14"/>
            </w:pPr>
            <w:r>
              <w:t>清理农村污水、垃圾等达标率</w:t>
            </w:r>
          </w:p>
        </w:tc>
        <w:tc>
          <w:tcPr>
            <w:tcW w:w="2268" w:type="dxa"/>
            <w:vAlign w:val="center"/>
          </w:tcPr>
          <w:p>
            <w:pPr>
              <w:pStyle w:val="14"/>
            </w:pPr>
            <w:r>
              <w:t>≥90%</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环境整治工作开展期限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平均每个月投入成本</w:t>
            </w:r>
          </w:p>
        </w:tc>
        <w:tc>
          <w:tcPr>
            <w:tcW w:w="5386" w:type="dxa"/>
            <w:vAlign w:val="center"/>
          </w:tcPr>
          <w:p>
            <w:pPr>
              <w:pStyle w:val="14"/>
            </w:pPr>
            <w:r>
              <w:t>平均每个月投入成本</w:t>
            </w:r>
          </w:p>
        </w:tc>
        <w:tc>
          <w:tcPr>
            <w:tcW w:w="2268" w:type="dxa"/>
            <w:vAlign w:val="center"/>
          </w:tcPr>
          <w:p>
            <w:pPr>
              <w:pStyle w:val="14"/>
            </w:pPr>
            <w:r>
              <w:t>≤</w:t>
            </w:r>
            <w:r>
              <w:rPr>
                <w:rFonts w:hint="eastAsia"/>
                <w:lang w:val="en-US" w:eastAsia="zh-CN"/>
              </w:rPr>
              <w:t>2085</w:t>
            </w:r>
            <w:r>
              <w:t>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提高环境质量</w:t>
            </w:r>
          </w:p>
        </w:tc>
        <w:tc>
          <w:tcPr>
            <w:tcW w:w="5386" w:type="dxa"/>
            <w:vAlign w:val="center"/>
          </w:tcPr>
          <w:p>
            <w:pPr>
              <w:pStyle w:val="14"/>
            </w:pPr>
            <w:r>
              <w:t>改善空气、水等环境，提高环境质量</w:t>
            </w:r>
          </w:p>
          <w:p>
            <w:pPr>
              <w:pStyle w:val="14"/>
            </w:pPr>
          </w:p>
        </w:tc>
        <w:tc>
          <w:tcPr>
            <w:tcW w:w="2268" w:type="dxa"/>
            <w:vAlign w:val="center"/>
          </w:tcPr>
          <w:p>
            <w:pPr>
              <w:pStyle w:val="14"/>
            </w:pPr>
            <w:r>
              <w:t>较上年度进一步提高环境质量</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受益人口数</w:t>
            </w:r>
          </w:p>
        </w:tc>
        <w:tc>
          <w:tcPr>
            <w:tcW w:w="2268" w:type="dxa"/>
            <w:vAlign w:val="center"/>
          </w:tcPr>
          <w:p>
            <w:pPr>
              <w:pStyle w:val="14"/>
            </w:pPr>
            <w:r>
              <w:t>≥6000人</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村民对污染整治情况满意度</w:t>
            </w:r>
          </w:p>
        </w:tc>
        <w:tc>
          <w:tcPr>
            <w:tcW w:w="2268" w:type="dxa"/>
            <w:vAlign w:val="center"/>
          </w:tcPr>
          <w:p>
            <w:pPr>
              <w:pStyle w:val="14"/>
            </w:pPr>
            <w:r>
              <w:t>≥95%</w:t>
            </w:r>
          </w:p>
        </w:tc>
        <w:tc>
          <w:tcPr>
            <w:tcW w:w="1276" w:type="dxa"/>
            <w:vAlign w:val="center"/>
          </w:tcPr>
          <w:p>
            <w:pPr>
              <w:pStyle w:val="14"/>
            </w:pPr>
            <w:r>
              <w:t>村民走访情况调查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13012126P000991100297</w:t>
            </w:r>
          </w:p>
        </w:tc>
        <w:tc>
          <w:tcPr>
            <w:tcW w:w="2835" w:type="dxa"/>
            <w:vAlign w:val="center"/>
          </w:tcPr>
          <w:p>
            <w:pPr>
              <w:pStyle w:val="12"/>
            </w:pPr>
            <w:r>
              <w:t>项目名称</w:t>
            </w:r>
          </w:p>
        </w:tc>
        <w:tc>
          <w:tcPr>
            <w:tcW w:w="6095" w:type="dxa"/>
            <w:gridSpan w:val="3"/>
            <w:vAlign w:val="center"/>
          </w:tcPr>
          <w:p>
            <w:pPr>
              <w:pStyle w:val="14"/>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通过年度内开展2次民兵基层建设工作，包括民兵的军事训练、装备管理维修、组织建设、政治工作等，提高民兵的政治素质，增强基层民兵的凝聚力和战斗力，不断推进基层武装工作高质量发展。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1.通过年度内开展2次民兵基层建设工作，包括民兵的军事训练、装备管理维修、组织建设、政治工作等，提高民兵的政治素质，增强基层民兵的凝聚力和战斗力，不断推进基层武装工作高质量发展。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训练次数</w:t>
            </w:r>
          </w:p>
        </w:tc>
        <w:tc>
          <w:tcPr>
            <w:tcW w:w="5386" w:type="dxa"/>
            <w:vAlign w:val="center"/>
          </w:tcPr>
          <w:p>
            <w:pPr>
              <w:pStyle w:val="14"/>
            </w:pPr>
            <w:r>
              <w:t>组织民兵参加训练次数</w:t>
            </w:r>
          </w:p>
        </w:tc>
        <w:tc>
          <w:tcPr>
            <w:tcW w:w="2268" w:type="dxa"/>
            <w:vAlign w:val="center"/>
          </w:tcPr>
          <w:p>
            <w:pPr>
              <w:pStyle w:val="14"/>
            </w:pPr>
            <w:r>
              <w:t>≥2次</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民兵人数</w:t>
            </w:r>
          </w:p>
        </w:tc>
        <w:tc>
          <w:tcPr>
            <w:tcW w:w="5386" w:type="dxa"/>
            <w:vAlign w:val="center"/>
          </w:tcPr>
          <w:p>
            <w:pPr>
              <w:pStyle w:val="14"/>
            </w:pPr>
            <w:r>
              <w:t>参加训练的民兵人数</w:t>
            </w:r>
          </w:p>
        </w:tc>
        <w:tc>
          <w:tcPr>
            <w:tcW w:w="2268" w:type="dxa"/>
            <w:vAlign w:val="center"/>
          </w:tcPr>
          <w:p>
            <w:pPr>
              <w:pStyle w:val="14"/>
            </w:pPr>
            <w:r>
              <w:t>≥30人</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基层武装训练参与率</w:t>
            </w:r>
          </w:p>
        </w:tc>
        <w:tc>
          <w:tcPr>
            <w:tcW w:w="5386" w:type="dxa"/>
            <w:vAlign w:val="center"/>
          </w:tcPr>
          <w:p>
            <w:pPr>
              <w:pStyle w:val="14"/>
            </w:pPr>
            <w:r>
              <w:t>基层武装训练参与率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民兵基层建设工作开展期限</w:t>
            </w:r>
          </w:p>
        </w:tc>
        <w:tc>
          <w:tcPr>
            <w:tcW w:w="2268" w:type="dxa"/>
            <w:vAlign w:val="center"/>
          </w:tcPr>
          <w:p>
            <w:pPr>
              <w:pStyle w:val="14"/>
            </w:pPr>
            <w:r>
              <w:t>2个月</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人均成本</w:t>
            </w:r>
          </w:p>
        </w:tc>
        <w:tc>
          <w:tcPr>
            <w:tcW w:w="5386" w:type="dxa"/>
            <w:vAlign w:val="center"/>
          </w:tcPr>
          <w:p>
            <w:pPr>
              <w:pStyle w:val="14"/>
            </w:pPr>
            <w:r>
              <w:t>参训民兵人均费用</w:t>
            </w:r>
          </w:p>
        </w:tc>
        <w:tc>
          <w:tcPr>
            <w:tcW w:w="2268" w:type="dxa"/>
            <w:vAlign w:val="center"/>
          </w:tcPr>
          <w:p>
            <w:pPr>
              <w:pStyle w:val="14"/>
            </w:pPr>
            <w:r>
              <w:t>≤1000元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合格率</w:t>
            </w:r>
          </w:p>
        </w:tc>
        <w:tc>
          <w:tcPr>
            <w:tcW w:w="5386" w:type="dxa"/>
            <w:vAlign w:val="center"/>
          </w:tcPr>
          <w:p>
            <w:pPr>
              <w:pStyle w:val="14"/>
            </w:pPr>
            <w:r>
              <w:t>参训民兵合格率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参训民兵满意度</w:t>
            </w:r>
          </w:p>
        </w:tc>
        <w:tc>
          <w:tcPr>
            <w:tcW w:w="5386" w:type="dxa"/>
            <w:vAlign w:val="center"/>
          </w:tcPr>
          <w:p>
            <w:pPr>
              <w:pStyle w:val="14"/>
            </w:pPr>
            <w:r>
              <w:t>参训民兵满意度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13012126P008764101099</w:t>
            </w:r>
          </w:p>
        </w:tc>
        <w:tc>
          <w:tcPr>
            <w:tcW w:w="2835" w:type="dxa"/>
            <w:vAlign w:val="center"/>
          </w:tcPr>
          <w:p>
            <w:pPr>
              <w:pStyle w:val="12"/>
            </w:pPr>
            <w:r>
              <w:t>项目名称</w:t>
            </w:r>
          </w:p>
        </w:tc>
        <w:tc>
          <w:tcPr>
            <w:tcW w:w="6095" w:type="dxa"/>
            <w:gridSpan w:val="3"/>
            <w:vAlign w:val="center"/>
          </w:tcPr>
          <w:p>
            <w:pPr>
              <w:pStyle w:val="14"/>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用于组织开展辖区内各村文化演出活动经费，文化站免费开放正常运转经费。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1..通过开展不少于2次文化演出活动，丰富村民的精神生活，营造良好的社会文化环境。</w:t>
            </w:r>
          </w:p>
          <w:p>
            <w:pPr>
              <w:pStyle w:val="14"/>
            </w:pPr>
            <w:r>
              <w:t>2.通过保障文化站不少于240天免费开放，维持文化站正常运转。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w:t>
            </w:r>
            <w:r>
              <w:rPr>
                <w:rFonts w:hint="eastAsia"/>
                <w:lang w:val="en-US" w:eastAsia="zh-CN"/>
              </w:rPr>
              <w:t>2500</w:t>
            </w:r>
            <w:r>
              <w:t>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13012126P00876410089Y</w:t>
            </w:r>
          </w:p>
        </w:tc>
        <w:tc>
          <w:tcPr>
            <w:tcW w:w="2835" w:type="dxa"/>
            <w:vAlign w:val="center"/>
          </w:tcPr>
          <w:p>
            <w:pPr>
              <w:pStyle w:val="12"/>
            </w:pPr>
            <w:r>
              <w:t>项目名称</w:t>
            </w:r>
          </w:p>
        </w:tc>
        <w:tc>
          <w:tcPr>
            <w:tcW w:w="6095" w:type="dxa"/>
            <w:gridSpan w:val="3"/>
            <w:vAlign w:val="center"/>
          </w:tcPr>
          <w:p>
            <w:pPr>
              <w:pStyle w:val="14"/>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w:t>
            </w:r>
          </w:p>
        </w:tc>
        <w:tc>
          <w:tcPr>
            <w:tcW w:w="2835" w:type="dxa"/>
            <w:vAlign w:val="center"/>
          </w:tcPr>
          <w:p>
            <w:pPr>
              <w:pStyle w:val="12"/>
            </w:pPr>
            <w:r>
              <w:t>其中：财政    资金</w:t>
            </w:r>
          </w:p>
        </w:tc>
        <w:tc>
          <w:tcPr>
            <w:tcW w:w="2551" w:type="dxa"/>
            <w:vAlign w:val="center"/>
          </w:tcPr>
          <w:p>
            <w:pPr>
              <w:pStyle w:val="14"/>
            </w:pPr>
            <w:r>
              <w:t>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1、通过开展不少于2次文化演出活动，丰富村民的精神生活，营造良好的社会文化环境。2、通过保障文化站不少于240天免费开放，维持文化站正常运转。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w:t>
            </w:r>
            <w:r>
              <w:rPr>
                <w:rFonts w:hint="eastAsia"/>
                <w:lang w:val="en-US" w:eastAsia="zh-CN"/>
              </w:rPr>
              <w:t>420</w:t>
            </w:r>
            <w:r>
              <w:t>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13012126P000014100356</w:t>
            </w:r>
          </w:p>
        </w:tc>
        <w:tc>
          <w:tcPr>
            <w:tcW w:w="2835" w:type="dxa"/>
            <w:vAlign w:val="center"/>
          </w:tcPr>
          <w:p>
            <w:pPr>
              <w:pStyle w:val="12"/>
            </w:pPr>
            <w:r>
              <w:t>项目名称</w:t>
            </w:r>
          </w:p>
        </w:tc>
        <w:tc>
          <w:tcPr>
            <w:tcW w:w="6095" w:type="dxa"/>
            <w:gridSpan w:val="3"/>
            <w:vAlign w:val="center"/>
          </w:tcPr>
          <w:p>
            <w:pPr>
              <w:pStyle w:val="14"/>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w:t>
            </w:r>
          </w:p>
        </w:tc>
        <w:tc>
          <w:tcPr>
            <w:tcW w:w="2835" w:type="dxa"/>
            <w:vAlign w:val="center"/>
          </w:tcPr>
          <w:p>
            <w:pPr>
              <w:pStyle w:val="12"/>
            </w:pPr>
            <w:r>
              <w:t>其中：财政    资金</w:t>
            </w:r>
          </w:p>
        </w:tc>
        <w:tc>
          <w:tcPr>
            <w:tcW w:w="2551" w:type="dxa"/>
            <w:vAlign w:val="center"/>
          </w:tcPr>
          <w:p>
            <w:pPr>
              <w:pStyle w:val="14"/>
            </w:pPr>
            <w:r>
              <w:t>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w:t>
            </w:r>
            <w:bookmarkStart w:id="0" w:name="_GoBack"/>
            <w:bookmarkEnd w:id="0"/>
            <w:r>
              <w:t>作用。      临时救助金计算方法：临时救助金 ＝当地当年城镇最低生活月保障标准 ×需临时救助人口 ×困难持续时间。</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临时救助率</w:t>
            </w:r>
          </w:p>
        </w:tc>
        <w:tc>
          <w:tcPr>
            <w:tcW w:w="5386" w:type="dxa"/>
            <w:vAlign w:val="center"/>
          </w:tcPr>
          <w:p>
            <w:pPr>
              <w:pStyle w:val="14"/>
            </w:pPr>
            <w:r>
              <w:t>对符合条件人员实施临时救助完成率</w:t>
            </w:r>
          </w:p>
        </w:tc>
        <w:tc>
          <w:tcPr>
            <w:tcW w:w="2268" w:type="dxa"/>
            <w:vAlign w:val="center"/>
          </w:tcPr>
          <w:p>
            <w:pPr>
              <w:pStyle w:val="14"/>
            </w:pPr>
            <w:r>
              <w:t>100%</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救助人员准确率</w:t>
            </w:r>
          </w:p>
        </w:tc>
        <w:tc>
          <w:tcPr>
            <w:tcW w:w="5386" w:type="dxa"/>
            <w:vAlign w:val="center"/>
          </w:tcPr>
          <w:p>
            <w:pPr>
              <w:pStyle w:val="14"/>
            </w:pPr>
            <w:r>
              <w:t>符合条件的对象纳入临时救助范围的比例</w:t>
            </w:r>
          </w:p>
        </w:tc>
        <w:tc>
          <w:tcPr>
            <w:tcW w:w="2268" w:type="dxa"/>
            <w:vAlign w:val="center"/>
          </w:tcPr>
          <w:p>
            <w:pPr>
              <w:pStyle w:val="14"/>
            </w:pPr>
            <w:r>
              <w:t>100%</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资金发放时间</w:t>
            </w:r>
          </w:p>
        </w:tc>
        <w:tc>
          <w:tcPr>
            <w:tcW w:w="5386" w:type="dxa"/>
            <w:vAlign w:val="center"/>
          </w:tcPr>
          <w:p>
            <w:pPr>
              <w:pStyle w:val="14"/>
            </w:pPr>
            <w:r>
              <w:t>符合条件人员临时救助金发放时间</w:t>
            </w:r>
          </w:p>
        </w:tc>
        <w:tc>
          <w:tcPr>
            <w:tcW w:w="2268" w:type="dxa"/>
            <w:vAlign w:val="center"/>
          </w:tcPr>
          <w:p>
            <w:pPr>
              <w:pStyle w:val="14"/>
            </w:pPr>
            <w:r>
              <w:t>接到申请后不超过30个工作日</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临时救助人员救助标准</w:t>
            </w:r>
          </w:p>
        </w:tc>
        <w:tc>
          <w:tcPr>
            <w:tcW w:w="2268" w:type="dxa"/>
            <w:vAlign w:val="center"/>
          </w:tcPr>
          <w:p>
            <w:pPr>
              <w:pStyle w:val="14"/>
            </w:pPr>
            <w:r>
              <w:t>临时救助金 ＝当地当年城镇最低生活月保障标准 ×需临时救助人口 ×困难持续时间。</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困难群众基本生活保障率</w:t>
            </w:r>
          </w:p>
        </w:tc>
        <w:tc>
          <w:tcPr>
            <w:tcW w:w="5386" w:type="dxa"/>
            <w:vAlign w:val="center"/>
          </w:tcPr>
          <w:p>
            <w:pPr>
              <w:pStyle w:val="14"/>
            </w:pPr>
            <w:r>
              <w:t>困难群众基本生活保障率</w:t>
            </w:r>
          </w:p>
        </w:tc>
        <w:tc>
          <w:tcPr>
            <w:tcW w:w="2268" w:type="dxa"/>
            <w:vAlign w:val="center"/>
          </w:tcPr>
          <w:p>
            <w:pPr>
              <w:pStyle w:val="14"/>
            </w:pPr>
            <w:r>
              <w:t>≥95%</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5386" w:type="dxa"/>
            <w:vAlign w:val="center"/>
          </w:tcPr>
          <w:p>
            <w:pPr>
              <w:pStyle w:val="14"/>
            </w:pPr>
            <w:r>
              <w:t>临时救助对象满意度调查结果为满意以上的比例。</w:t>
            </w:r>
          </w:p>
        </w:tc>
        <w:tc>
          <w:tcPr>
            <w:tcW w:w="2268" w:type="dxa"/>
            <w:vAlign w:val="center"/>
          </w:tcPr>
          <w:p>
            <w:pPr>
              <w:pStyle w:val="14"/>
            </w:pPr>
            <w:r>
              <w:t>≥95%</w:t>
            </w:r>
          </w:p>
        </w:tc>
        <w:tc>
          <w:tcPr>
            <w:tcW w:w="1276" w:type="dxa"/>
            <w:vAlign w:val="center"/>
          </w:tcPr>
          <w:p>
            <w:pPr>
              <w:pStyle w:val="14"/>
            </w:pPr>
            <w:r>
              <w:t>《河北省临时救助管理办法》（冀民规[2022]1号）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13、井陉县吴家窑乡2026年劳务派遣人员经费绩效目标表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13012126P00007310210L</w:t>
            </w:r>
          </w:p>
        </w:tc>
        <w:tc>
          <w:tcPr>
            <w:tcW w:w="2835" w:type="dxa"/>
            <w:vAlign w:val="center"/>
          </w:tcPr>
          <w:p>
            <w:pPr>
              <w:pStyle w:val="12"/>
            </w:pPr>
            <w:r>
              <w:t>项目名称</w:t>
            </w:r>
          </w:p>
        </w:tc>
        <w:tc>
          <w:tcPr>
            <w:tcW w:w="6095" w:type="dxa"/>
            <w:gridSpan w:val="3"/>
            <w:vAlign w:val="center"/>
          </w:tcPr>
          <w:p>
            <w:pPr>
              <w:pStyle w:val="14"/>
            </w:pPr>
            <w:r>
              <w:t>井陉县吴家窑乡2026年劳务派遣人员经费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159999.00</w:t>
            </w:r>
          </w:p>
        </w:tc>
        <w:tc>
          <w:tcPr>
            <w:tcW w:w="2835" w:type="dxa"/>
            <w:vAlign w:val="center"/>
          </w:tcPr>
          <w:p>
            <w:pPr>
              <w:pStyle w:val="12"/>
            </w:pPr>
            <w:r>
              <w:t>其中：财政    资金</w:t>
            </w:r>
          </w:p>
        </w:tc>
        <w:tc>
          <w:tcPr>
            <w:tcW w:w="2551" w:type="dxa"/>
            <w:vAlign w:val="center"/>
          </w:tcPr>
          <w:p>
            <w:pPr>
              <w:pStyle w:val="14"/>
            </w:pPr>
            <w:r>
              <w:t>159999.00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通过对不少于3人劳务派遣人员发放工资，维持单位工作正常进行，保障职工权益。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1.通过对不少于3人劳务派遣人员发放工资，维持单位工作正常进行，保障职工权益。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保障聘用劳务派遣人数</w:t>
            </w:r>
          </w:p>
        </w:tc>
        <w:tc>
          <w:tcPr>
            <w:tcW w:w="5386" w:type="dxa"/>
            <w:vAlign w:val="center"/>
          </w:tcPr>
          <w:p>
            <w:pPr>
              <w:pStyle w:val="14"/>
            </w:pPr>
            <w:r>
              <w:t>保障聘用劳务派遣人数</w:t>
            </w:r>
          </w:p>
        </w:tc>
        <w:tc>
          <w:tcPr>
            <w:tcW w:w="2268" w:type="dxa"/>
            <w:vAlign w:val="center"/>
          </w:tcPr>
          <w:p>
            <w:pPr>
              <w:pStyle w:val="14"/>
            </w:pPr>
            <w:r>
              <w:t>≥3 人</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劳务派遣人员出勤率</w:t>
            </w:r>
          </w:p>
        </w:tc>
        <w:tc>
          <w:tcPr>
            <w:tcW w:w="5386" w:type="dxa"/>
            <w:vAlign w:val="center"/>
          </w:tcPr>
          <w:p>
            <w:pPr>
              <w:pStyle w:val="14"/>
            </w:pPr>
            <w:r>
              <w:t xml:space="preserve"> 聘用劳务派遣人员出勤率</w:t>
            </w:r>
          </w:p>
        </w:tc>
        <w:tc>
          <w:tcPr>
            <w:tcW w:w="2268" w:type="dxa"/>
            <w:vAlign w:val="center"/>
          </w:tcPr>
          <w:p>
            <w:pPr>
              <w:pStyle w:val="14"/>
            </w:pPr>
            <w:r>
              <w:t>≥95 %</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劳务派遣人员工资发放频次</w:t>
            </w:r>
          </w:p>
        </w:tc>
        <w:tc>
          <w:tcPr>
            <w:tcW w:w="5386" w:type="dxa"/>
            <w:vAlign w:val="center"/>
          </w:tcPr>
          <w:p>
            <w:pPr>
              <w:pStyle w:val="14"/>
            </w:pPr>
            <w:r>
              <w:t>劳务派遣人员工资发放频次</w:t>
            </w:r>
          </w:p>
        </w:tc>
        <w:tc>
          <w:tcPr>
            <w:tcW w:w="2268" w:type="dxa"/>
            <w:vAlign w:val="center"/>
          </w:tcPr>
          <w:p>
            <w:pPr>
              <w:pStyle w:val="14"/>
            </w:pPr>
            <w:r>
              <w:t>按月发放</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平均每月劳务派遣工资发放成本</w:t>
            </w:r>
          </w:p>
        </w:tc>
        <w:tc>
          <w:tcPr>
            <w:tcW w:w="5386" w:type="dxa"/>
            <w:vAlign w:val="center"/>
          </w:tcPr>
          <w:p>
            <w:pPr>
              <w:pStyle w:val="14"/>
            </w:pPr>
            <w:r>
              <w:t>平均每月劳务派遣工资发放成本</w:t>
            </w:r>
          </w:p>
        </w:tc>
        <w:tc>
          <w:tcPr>
            <w:tcW w:w="2268" w:type="dxa"/>
            <w:vAlign w:val="center"/>
          </w:tcPr>
          <w:p>
            <w:pPr>
              <w:pStyle w:val="14"/>
            </w:pPr>
            <w:r>
              <w:t>≤</w:t>
            </w:r>
            <w:r>
              <w:rPr>
                <w:rFonts w:hint="eastAsia"/>
                <w:lang w:val="en-US" w:eastAsia="zh-CN"/>
              </w:rPr>
              <w:t>4445</w:t>
            </w:r>
            <w:r>
              <w:t>元/月</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劳务派遣人员年度考核通过率</w:t>
            </w:r>
          </w:p>
        </w:tc>
        <w:tc>
          <w:tcPr>
            <w:tcW w:w="5386" w:type="dxa"/>
            <w:vAlign w:val="center"/>
          </w:tcPr>
          <w:p>
            <w:pPr>
              <w:pStyle w:val="14"/>
            </w:pPr>
            <w:r>
              <w:t>劳务派遣人员年度考核通过率</w:t>
            </w:r>
          </w:p>
        </w:tc>
        <w:tc>
          <w:tcPr>
            <w:tcW w:w="2268" w:type="dxa"/>
            <w:vAlign w:val="center"/>
          </w:tcPr>
          <w:p>
            <w:pPr>
              <w:pStyle w:val="14"/>
            </w:pPr>
            <w:r>
              <w:t>≥95 %</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劳务派遣人员满意度</w:t>
            </w:r>
          </w:p>
        </w:tc>
        <w:tc>
          <w:tcPr>
            <w:tcW w:w="5386" w:type="dxa"/>
            <w:vAlign w:val="center"/>
          </w:tcPr>
          <w:p>
            <w:pPr>
              <w:pStyle w:val="14"/>
            </w:pPr>
            <w:r>
              <w:t xml:space="preserve"> 劳务派遣人员满意度</w:t>
            </w:r>
          </w:p>
        </w:tc>
        <w:tc>
          <w:tcPr>
            <w:tcW w:w="2268" w:type="dxa"/>
            <w:vAlign w:val="center"/>
          </w:tcPr>
          <w:p>
            <w:pPr>
              <w:pStyle w:val="14"/>
            </w:pPr>
            <w:r>
              <w:t>≥90 %</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13012126P000989100347</w:t>
            </w:r>
          </w:p>
        </w:tc>
        <w:tc>
          <w:tcPr>
            <w:tcW w:w="2835" w:type="dxa"/>
            <w:vAlign w:val="center"/>
          </w:tcPr>
          <w:p>
            <w:pPr>
              <w:pStyle w:val="12"/>
            </w:pPr>
            <w:r>
              <w:t>项目名称</w:t>
            </w:r>
          </w:p>
        </w:tc>
        <w:tc>
          <w:tcPr>
            <w:tcW w:w="6095" w:type="dxa"/>
            <w:gridSpan w:val="3"/>
            <w:vAlign w:val="center"/>
          </w:tcPr>
          <w:p>
            <w:pPr>
              <w:pStyle w:val="14"/>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w:t>
            </w:r>
          </w:p>
        </w:tc>
        <w:tc>
          <w:tcPr>
            <w:tcW w:w="2835" w:type="dxa"/>
            <w:vAlign w:val="center"/>
          </w:tcPr>
          <w:p>
            <w:pPr>
              <w:pStyle w:val="12"/>
            </w:pPr>
            <w:r>
              <w:t>其中：财政    资金</w:t>
            </w:r>
          </w:p>
        </w:tc>
        <w:tc>
          <w:tcPr>
            <w:tcW w:w="2551" w:type="dxa"/>
            <w:vAlign w:val="center"/>
          </w:tcPr>
          <w:p>
            <w:pPr>
              <w:pStyle w:val="14"/>
            </w:pPr>
            <w:r>
              <w:t>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通过保障2次团委活动的实施开展，为我乡共青团工作提供了有力的资金保障，确保了共青团形式多样活动的不折不扣开展，不断提升共青团的整体建设水平。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1.通过保障2次团委活动的实施开展，为我乡共青团工作提供了有力的资金保障，确保了共青团形式多样活动的不折不扣开展，不断提升共青团的整体建设水平。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组织主题宣传活动场次</w:t>
            </w:r>
          </w:p>
        </w:tc>
        <w:tc>
          <w:tcPr>
            <w:tcW w:w="5386" w:type="dxa"/>
            <w:vAlign w:val="center"/>
          </w:tcPr>
          <w:p>
            <w:pPr>
              <w:pStyle w:val="14"/>
            </w:pPr>
            <w:r>
              <w:t>组织主题宣传活动场次</w:t>
            </w:r>
          </w:p>
        </w:tc>
        <w:tc>
          <w:tcPr>
            <w:tcW w:w="2268" w:type="dxa"/>
            <w:vAlign w:val="center"/>
          </w:tcPr>
          <w:p>
            <w:pPr>
              <w:pStyle w:val="14"/>
            </w:pPr>
            <w:r>
              <w:t>2次</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团组织活动正常开展率</w:t>
            </w:r>
          </w:p>
        </w:tc>
        <w:tc>
          <w:tcPr>
            <w:tcW w:w="5386" w:type="dxa"/>
            <w:vAlign w:val="center"/>
          </w:tcPr>
          <w:p>
            <w:pPr>
              <w:pStyle w:val="14"/>
            </w:pPr>
            <w:r>
              <w:t>团组织活动正常开展率</w:t>
            </w:r>
          </w:p>
        </w:tc>
        <w:tc>
          <w:tcPr>
            <w:tcW w:w="2268" w:type="dxa"/>
            <w:vAlign w:val="center"/>
          </w:tcPr>
          <w:p>
            <w:pPr>
              <w:pStyle w:val="14"/>
            </w:pPr>
            <w:r>
              <w:t>100%</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宣传完成时限</w:t>
            </w:r>
          </w:p>
        </w:tc>
        <w:tc>
          <w:tcPr>
            <w:tcW w:w="5386" w:type="dxa"/>
            <w:vAlign w:val="center"/>
          </w:tcPr>
          <w:p>
            <w:pPr>
              <w:pStyle w:val="14"/>
            </w:pPr>
            <w:r>
              <w:t>主题宣传完成时限</w:t>
            </w:r>
          </w:p>
        </w:tc>
        <w:tc>
          <w:tcPr>
            <w:tcW w:w="2268" w:type="dxa"/>
            <w:vAlign w:val="center"/>
          </w:tcPr>
          <w:p>
            <w:pPr>
              <w:pStyle w:val="14"/>
            </w:pPr>
            <w:r>
              <w:t>2026年12月31日前</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5386" w:type="dxa"/>
            <w:vAlign w:val="center"/>
          </w:tcPr>
          <w:p>
            <w:pPr>
              <w:pStyle w:val="14"/>
            </w:pPr>
            <w:r>
              <w:t>平均每场活动成本</w:t>
            </w:r>
          </w:p>
        </w:tc>
        <w:tc>
          <w:tcPr>
            <w:tcW w:w="2268" w:type="dxa"/>
            <w:vAlign w:val="center"/>
          </w:tcPr>
          <w:p>
            <w:pPr>
              <w:pStyle w:val="14"/>
            </w:pPr>
            <w:r>
              <w:t>10000元</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宣传覆盖人次</w:t>
            </w:r>
          </w:p>
        </w:tc>
        <w:tc>
          <w:tcPr>
            <w:tcW w:w="5386" w:type="dxa"/>
            <w:vAlign w:val="center"/>
          </w:tcPr>
          <w:p>
            <w:pPr>
              <w:pStyle w:val="14"/>
            </w:pPr>
            <w:r>
              <w:t>主题宣传覆盖人次</w:t>
            </w:r>
          </w:p>
        </w:tc>
        <w:tc>
          <w:tcPr>
            <w:tcW w:w="2268" w:type="dxa"/>
            <w:vAlign w:val="center"/>
          </w:tcPr>
          <w:p>
            <w:pPr>
              <w:pStyle w:val="14"/>
            </w:pPr>
            <w:r>
              <w:t>≥200人次</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青少年满意度</w:t>
            </w:r>
          </w:p>
        </w:tc>
        <w:tc>
          <w:tcPr>
            <w:tcW w:w="5386" w:type="dxa"/>
            <w:vAlign w:val="center"/>
          </w:tcPr>
          <w:p>
            <w:pPr>
              <w:pStyle w:val="14"/>
            </w:pPr>
            <w:r>
              <w:t>青少年满意度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13012126P00098810017L</w:t>
            </w:r>
          </w:p>
        </w:tc>
        <w:tc>
          <w:tcPr>
            <w:tcW w:w="2835" w:type="dxa"/>
            <w:vAlign w:val="center"/>
          </w:tcPr>
          <w:p>
            <w:pPr>
              <w:pStyle w:val="12"/>
            </w:pPr>
            <w:r>
              <w:t>项目名称</w:t>
            </w:r>
          </w:p>
        </w:tc>
        <w:tc>
          <w:tcPr>
            <w:tcW w:w="6095" w:type="dxa"/>
            <w:gridSpan w:val="3"/>
            <w:vAlign w:val="center"/>
          </w:tcPr>
          <w:p>
            <w:pPr>
              <w:pStyle w:val="14"/>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120000.00</w:t>
            </w:r>
          </w:p>
        </w:tc>
        <w:tc>
          <w:tcPr>
            <w:tcW w:w="2835" w:type="dxa"/>
            <w:vAlign w:val="center"/>
          </w:tcPr>
          <w:p>
            <w:pPr>
              <w:pStyle w:val="12"/>
            </w:pPr>
            <w:r>
              <w:t>其中：财政    资金</w:t>
            </w:r>
          </w:p>
        </w:tc>
        <w:tc>
          <w:tcPr>
            <w:tcW w:w="2551" w:type="dxa"/>
            <w:vAlign w:val="center"/>
          </w:tcPr>
          <w:p>
            <w:pPr>
              <w:pStyle w:val="14"/>
            </w:pPr>
            <w:r>
              <w:t>120000.00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通过维持1个机关基本正常运行各方面的办公经费，如办公费、印刷费、差旅费、水电费等，确保单位工作的正常运转，提升为民服务水平。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1.通过维持1个机关基本正常运行各方面的办公经费，如办公费、印刷费、差旅费、水电费等，确保单位工作的正常运转，提升为民服务水平。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保障机构数量</w:t>
            </w:r>
          </w:p>
        </w:tc>
        <w:tc>
          <w:tcPr>
            <w:tcW w:w="5386" w:type="dxa"/>
            <w:vAlign w:val="center"/>
          </w:tcPr>
          <w:p>
            <w:pPr>
              <w:pStyle w:val="14"/>
            </w:pPr>
            <w:r>
              <w:t>保障机关事务机构正常工作数量</w:t>
            </w:r>
          </w:p>
        </w:tc>
        <w:tc>
          <w:tcPr>
            <w:tcW w:w="2268" w:type="dxa"/>
            <w:vAlign w:val="center"/>
          </w:tcPr>
          <w:p>
            <w:pPr>
              <w:pStyle w:val="14"/>
            </w:pPr>
            <w:r>
              <w:t>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保障办公人数</w:t>
            </w:r>
          </w:p>
        </w:tc>
        <w:tc>
          <w:tcPr>
            <w:tcW w:w="2268" w:type="dxa"/>
            <w:vAlign w:val="center"/>
          </w:tcPr>
          <w:p>
            <w:pPr>
              <w:pStyle w:val="14"/>
            </w:pPr>
            <w:r>
              <w:t>≥50人</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工作保障准确率</w:t>
            </w:r>
          </w:p>
        </w:tc>
        <w:tc>
          <w:tcPr>
            <w:tcW w:w="5386" w:type="dxa"/>
            <w:vAlign w:val="center"/>
          </w:tcPr>
          <w:p>
            <w:pPr>
              <w:pStyle w:val="14"/>
            </w:pPr>
            <w:r>
              <w:t>机关事务工作经费保障准确率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工作保障期限</w:t>
            </w:r>
          </w:p>
        </w:tc>
        <w:tc>
          <w:tcPr>
            <w:tcW w:w="5386" w:type="dxa"/>
            <w:vAlign w:val="center"/>
          </w:tcPr>
          <w:p>
            <w:pPr>
              <w:pStyle w:val="14"/>
            </w:pPr>
            <w:r>
              <w:t>机关事务工作经费保障期限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平均每月办公成本</w:t>
            </w:r>
          </w:p>
        </w:tc>
        <w:tc>
          <w:tcPr>
            <w:tcW w:w="5386" w:type="dxa"/>
            <w:vAlign w:val="center"/>
          </w:tcPr>
          <w:p>
            <w:pPr>
              <w:pStyle w:val="14"/>
            </w:pPr>
            <w:r>
              <w:t>机关事务工作平均每月办公成本</w:t>
            </w:r>
          </w:p>
        </w:tc>
        <w:tc>
          <w:tcPr>
            <w:tcW w:w="2268" w:type="dxa"/>
            <w:vAlign w:val="center"/>
          </w:tcPr>
          <w:p>
            <w:pPr>
              <w:pStyle w:val="14"/>
            </w:pPr>
            <w:r>
              <w:t>≤10000元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机关正常运转率</w:t>
            </w:r>
          </w:p>
        </w:tc>
        <w:tc>
          <w:tcPr>
            <w:tcW w:w="5386" w:type="dxa"/>
            <w:vAlign w:val="center"/>
          </w:tcPr>
          <w:p>
            <w:pPr>
              <w:pStyle w:val="14"/>
            </w:pPr>
            <w:r>
              <w:t>机关正常运转率</w:t>
            </w:r>
          </w:p>
        </w:tc>
        <w:tc>
          <w:tcPr>
            <w:tcW w:w="2268" w:type="dxa"/>
            <w:vAlign w:val="center"/>
          </w:tcPr>
          <w:p>
            <w:pPr>
              <w:pStyle w:val="14"/>
            </w:pPr>
            <w:r>
              <w:t>≥95%</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13012126P00876410066C</w:t>
            </w:r>
          </w:p>
        </w:tc>
        <w:tc>
          <w:tcPr>
            <w:tcW w:w="2835" w:type="dxa"/>
            <w:vAlign w:val="center"/>
          </w:tcPr>
          <w:p>
            <w:pPr>
              <w:pStyle w:val="12"/>
            </w:pPr>
            <w:r>
              <w:t>项目名称</w:t>
            </w:r>
          </w:p>
        </w:tc>
        <w:tc>
          <w:tcPr>
            <w:tcW w:w="6095" w:type="dxa"/>
            <w:gridSpan w:val="3"/>
            <w:vAlign w:val="center"/>
          </w:tcPr>
          <w:p>
            <w:pPr>
              <w:pStyle w:val="14"/>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15000.00</w:t>
            </w:r>
          </w:p>
        </w:tc>
        <w:tc>
          <w:tcPr>
            <w:tcW w:w="2835" w:type="dxa"/>
            <w:vAlign w:val="center"/>
          </w:tcPr>
          <w:p>
            <w:pPr>
              <w:pStyle w:val="12"/>
            </w:pPr>
            <w:r>
              <w:t>其中：财政    资金</w:t>
            </w:r>
          </w:p>
        </w:tc>
        <w:tc>
          <w:tcPr>
            <w:tcW w:w="2551" w:type="dxa"/>
            <w:vAlign w:val="center"/>
          </w:tcPr>
          <w:p>
            <w:pPr>
              <w:pStyle w:val="14"/>
            </w:pPr>
            <w:r>
              <w:t>15000.00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1.通过开展不少于2次文化演出活动，丰富村民的精神生活，营造良好的社会文化环境。</w:t>
            </w:r>
          </w:p>
          <w:p>
            <w:pPr>
              <w:pStyle w:val="14"/>
            </w:pPr>
            <w:r>
              <w:t>2.通过保障文化站不少于240天免费开放，维持文化站正常运转。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≤1250元/月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13012126P009KJN10011B</w:t>
            </w:r>
          </w:p>
        </w:tc>
        <w:tc>
          <w:tcPr>
            <w:tcW w:w="2835" w:type="dxa"/>
            <w:vAlign w:val="center"/>
          </w:tcPr>
          <w:p>
            <w:pPr>
              <w:pStyle w:val="12"/>
            </w:pPr>
            <w:r>
              <w:t>项目名称</w:t>
            </w:r>
          </w:p>
        </w:tc>
        <w:tc>
          <w:tcPr>
            <w:tcW w:w="6095" w:type="dxa"/>
            <w:gridSpan w:val="3"/>
            <w:vAlign w:val="center"/>
          </w:tcPr>
          <w:p>
            <w:pPr>
              <w:pStyle w:val="14"/>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通过落实年度内10件上级督办信访事件，有效控制辖区内信访事件，防止出现群访、越级访事件，防止矛盾激化，及时解决人民群众的问题，促进社会友好发展，维护社会稳定。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1.通过落实年度内10件上级督办信访事件，有效控制辖区内信访事件，防止出现群访、越级访事件，防止矛盾激化，及时解决人民群众的问题，促进社会友好发展，维护社会稳定。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信访值班次数</w:t>
            </w:r>
          </w:p>
        </w:tc>
        <w:tc>
          <w:tcPr>
            <w:tcW w:w="5386" w:type="dxa"/>
            <w:vAlign w:val="center"/>
          </w:tcPr>
          <w:p>
            <w:pPr>
              <w:pStyle w:val="14"/>
            </w:pPr>
            <w:r>
              <w:t>信访值班次数</w:t>
            </w:r>
          </w:p>
        </w:tc>
        <w:tc>
          <w:tcPr>
            <w:tcW w:w="2268" w:type="dxa"/>
            <w:vAlign w:val="center"/>
          </w:tcPr>
          <w:p>
            <w:pPr>
              <w:pStyle w:val="14"/>
            </w:pPr>
            <w:r>
              <w:t>≥5次</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案件办结率</w:t>
            </w:r>
          </w:p>
        </w:tc>
        <w:tc>
          <w:tcPr>
            <w:tcW w:w="5386" w:type="dxa"/>
            <w:vAlign w:val="center"/>
          </w:tcPr>
          <w:p>
            <w:pPr>
              <w:pStyle w:val="14"/>
            </w:pPr>
            <w:r>
              <w:t>上访案件办结率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信访工作保障期限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信访值班补贴标准</w:t>
            </w:r>
          </w:p>
        </w:tc>
        <w:tc>
          <w:tcPr>
            <w:tcW w:w="5386" w:type="dxa"/>
            <w:vAlign w:val="center"/>
          </w:tcPr>
          <w:p>
            <w:pPr>
              <w:pStyle w:val="14"/>
            </w:pPr>
            <w:r>
              <w:t>信访值班补贴标准</w:t>
            </w:r>
          </w:p>
        </w:tc>
        <w:tc>
          <w:tcPr>
            <w:tcW w:w="2268" w:type="dxa"/>
            <w:vAlign w:val="center"/>
          </w:tcPr>
          <w:p>
            <w:pPr>
              <w:pStyle w:val="14"/>
            </w:pPr>
            <w:r>
              <w:t>≤180元/人/天</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信访案件数量</w:t>
            </w:r>
          </w:p>
        </w:tc>
        <w:tc>
          <w:tcPr>
            <w:tcW w:w="5386" w:type="dxa"/>
            <w:vAlign w:val="center"/>
          </w:tcPr>
          <w:p>
            <w:pPr>
              <w:pStyle w:val="14"/>
            </w:pPr>
            <w:r>
              <w:t>信访案件数量</w:t>
            </w:r>
          </w:p>
        </w:tc>
        <w:tc>
          <w:tcPr>
            <w:tcW w:w="2268" w:type="dxa"/>
            <w:vAlign w:val="center"/>
          </w:tcPr>
          <w:p>
            <w:pPr>
              <w:pStyle w:val="14"/>
            </w:pPr>
            <w:r>
              <w:t>≤10件</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上访人员满意度</w:t>
            </w:r>
          </w:p>
        </w:tc>
        <w:tc>
          <w:tcPr>
            <w:tcW w:w="5386" w:type="dxa"/>
            <w:vAlign w:val="center"/>
          </w:tcPr>
          <w:p>
            <w:pPr>
              <w:pStyle w:val="14"/>
            </w:pPr>
            <w:r>
              <w:t>上访人员满意度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13012126P00098410018H</w:t>
            </w:r>
          </w:p>
        </w:tc>
        <w:tc>
          <w:tcPr>
            <w:tcW w:w="2835" w:type="dxa"/>
            <w:vAlign w:val="center"/>
          </w:tcPr>
          <w:p>
            <w:pPr>
              <w:pStyle w:val="12"/>
            </w:pPr>
            <w:r>
              <w:t>项目名称</w:t>
            </w:r>
          </w:p>
        </w:tc>
        <w:tc>
          <w:tcPr>
            <w:tcW w:w="6095" w:type="dxa"/>
            <w:gridSpan w:val="3"/>
            <w:vAlign w:val="center"/>
          </w:tcPr>
          <w:p>
            <w:pPr>
              <w:pStyle w:val="14"/>
            </w:pPr>
            <w:r>
              <w:t>优化生育经费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9600.00</w:t>
            </w:r>
          </w:p>
        </w:tc>
        <w:tc>
          <w:tcPr>
            <w:tcW w:w="2835" w:type="dxa"/>
            <w:vAlign w:val="center"/>
          </w:tcPr>
          <w:p>
            <w:pPr>
              <w:pStyle w:val="12"/>
            </w:pPr>
            <w:r>
              <w:t>其中：财政    资金</w:t>
            </w:r>
          </w:p>
        </w:tc>
        <w:tc>
          <w:tcPr>
            <w:tcW w:w="2551" w:type="dxa"/>
            <w:vAlign w:val="center"/>
          </w:tcPr>
          <w:p>
            <w:pPr>
              <w:pStyle w:val="14"/>
            </w:pPr>
            <w:r>
              <w:t>9600.00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通过对乡域内20户独生子女家庭发放奖励金，保障农村户口独生子女家庭的权益。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1.通过对乡域内20户独生子女家庭发放奖励金，保障农村户口独生子女家庭的权益。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独生子女家庭户数</w:t>
            </w:r>
          </w:p>
        </w:tc>
        <w:tc>
          <w:tcPr>
            <w:tcW w:w="5386" w:type="dxa"/>
            <w:vAlign w:val="center"/>
          </w:tcPr>
          <w:p>
            <w:pPr>
              <w:pStyle w:val="14"/>
            </w:pPr>
            <w:r>
              <w:t>乡镇现有独生子女家庭数量</w:t>
            </w:r>
          </w:p>
        </w:tc>
        <w:tc>
          <w:tcPr>
            <w:tcW w:w="2268" w:type="dxa"/>
            <w:vAlign w:val="center"/>
          </w:tcPr>
          <w:p>
            <w:pPr>
              <w:pStyle w:val="14"/>
            </w:pPr>
            <w:r>
              <w:t>≥20户</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发放准确性</w:t>
            </w:r>
          </w:p>
        </w:tc>
        <w:tc>
          <w:tcPr>
            <w:tcW w:w="5386" w:type="dxa"/>
            <w:vAlign w:val="center"/>
          </w:tcPr>
          <w:p>
            <w:pPr>
              <w:pStyle w:val="14"/>
            </w:pPr>
            <w:r>
              <w:t>对农村独生子女家庭发放奖励金准确性</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补助资金发放完成时限</w:t>
            </w:r>
          </w:p>
        </w:tc>
        <w:tc>
          <w:tcPr>
            <w:tcW w:w="5386" w:type="dxa"/>
            <w:vAlign w:val="center"/>
          </w:tcPr>
          <w:p>
            <w:pPr>
              <w:pStyle w:val="14"/>
            </w:pPr>
            <w:r>
              <w:t>独生子女奖励金发放完成时限</w:t>
            </w:r>
          </w:p>
        </w:tc>
        <w:tc>
          <w:tcPr>
            <w:tcW w:w="2268" w:type="dxa"/>
            <w:vAlign w:val="center"/>
          </w:tcPr>
          <w:p>
            <w:pPr>
              <w:pStyle w:val="14"/>
            </w:pPr>
            <w:r>
              <w:t>2026年12月之前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平均人员奖励费用</w:t>
            </w:r>
          </w:p>
        </w:tc>
        <w:tc>
          <w:tcPr>
            <w:tcW w:w="5386" w:type="dxa"/>
            <w:vAlign w:val="center"/>
          </w:tcPr>
          <w:p>
            <w:pPr>
              <w:pStyle w:val="14"/>
            </w:pPr>
            <w:r>
              <w:t>对农村户口的独生子女父母的奖励金</w:t>
            </w:r>
          </w:p>
        </w:tc>
        <w:tc>
          <w:tcPr>
            <w:tcW w:w="2268" w:type="dxa"/>
            <w:vAlign w:val="center"/>
          </w:tcPr>
          <w:p>
            <w:pPr>
              <w:pStyle w:val="14"/>
            </w:pPr>
            <w:r>
              <w:t>10元/人/月</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政策普及率</w:t>
            </w:r>
          </w:p>
        </w:tc>
        <w:tc>
          <w:tcPr>
            <w:tcW w:w="5386" w:type="dxa"/>
            <w:vAlign w:val="center"/>
          </w:tcPr>
          <w:p>
            <w:pPr>
              <w:pStyle w:val="14"/>
            </w:pPr>
            <w:r>
              <w:t>政策普及率</w:t>
            </w:r>
          </w:p>
        </w:tc>
        <w:tc>
          <w:tcPr>
            <w:tcW w:w="2268" w:type="dxa"/>
            <w:vAlign w:val="center"/>
          </w:tcPr>
          <w:p>
            <w:pPr>
              <w:pStyle w:val="14"/>
            </w:pPr>
            <w:r>
              <w:t>≥95%</w:t>
            </w:r>
          </w:p>
        </w:tc>
        <w:tc>
          <w:tcPr>
            <w:tcW w:w="1276" w:type="dxa"/>
            <w:vAlign w:val="center"/>
          </w:tcPr>
          <w:p>
            <w:pPr>
              <w:pStyle w:val="14"/>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独生子女家庭人员满意度</w:t>
            </w:r>
          </w:p>
        </w:tc>
        <w:tc>
          <w:tcPr>
            <w:tcW w:w="5386" w:type="dxa"/>
            <w:vAlign w:val="center"/>
          </w:tcPr>
          <w:p>
            <w:pPr>
              <w:pStyle w:val="14"/>
            </w:pPr>
            <w:r>
              <w:t>独生子女家庭人员满意度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w:t>
            </w:r>
            <w:r>
              <w:rPr>
                <w:rFonts w:hint="eastAsia"/>
                <w:lang w:val="en-US" w:eastAsia="zh-CN"/>
              </w:rPr>
              <w:t>5</w:t>
            </w:r>
            <w:r>
              <w:t>3000.00</w:t>
            </w:r>
          </w:p>
        </w:tc>
        <w:tc>
          <w:tcPr>
            <w:tcW w:w="964" w:type="dxa"/>
            <w:vAlign w:val="center"/>
          </w:tcPr>
          <w:p>
            <w:pPr>
              <w:pStyle w:val="17"/>
            </w:pPr>
            <w:r>
              <w:t>1</w:t>
            </w:r>
            <w:r>
              <w:rPr>
                <w:rFonts w:hint="eastAsia"/>
                <w:lang w:val="en-US" w:eastAsia="zh-CN"/>
              </w:rPr>
              <w:t>5</w:t>
            </w:r>
            <w:r>
              <w:t>3000.00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w:t>
            </w:r>
            <w:r>
              <w:rPr>
                <w:rFonts w:hint="eastAsia"/>
                <w:lang w:val="en-US" w:eastAsia="zh-CN"/>
              </w:rPr>
              <w:t>5</w:t>
            </w: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井陉县吴家窑乡人民政府本级小计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w:t>
            </w:r>
            <w:r>
              <w:rPr>
                <w:rFonts w:hint="eastAsia"/>
                <w:lang w:val="en-US" w:eastAsia="zh-CN"/>
              </w:rPr>
              <w:t>5</w:t>
            </w:r>
            <w:r>
              <w:t>3000.00</w:t>
            </w:r>
          </w:p>
        </w:tc>
        <w:tc>
          <w:tcPr>
            <w:tcW w:w="964" w:type="dxa"/>
            <w:vAlign w:val="center"/>
          </w:tcPr>
          <w:p>
            <w:pPr>
              <w:pStyle w:val="17"/>
            </w:pPr>
            <w:r>
              <w:t>1</w:t>
            </w:r>
            <w:r>
              <w:rPr>
                <w:rFonts w:hint="eastAsia"/>
                <w:lang w:val="en-US" w:eastAsia="zh-CN"/>
              </w:rPr>
              <w:t>5</w:t>
            </w:r>
            <w:r>
              <w:t>3000.00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rPr>
                <w:rFonts w:hint="eastAsia"/>
                <w:lang w:val="en-US" w:eastAsia="zh-CN"/>
              </w:rPr>
              <w:t>15</w:t>
            </w: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维持机关基本运转经费</w:t>
            </w:r>
          </w:p>
        </w:tc>
        <w:tc>
          <w:tcPr>
            <w:tcW w:w="964" w:type="dxa"/>
            <w:vAlign w:val="center"/>
          </w:tcPr>
          <w:p>
            <w:pPr>
              <w:pStyle w:val="13"/>
            </w:pPr>
            <w:r>
              <w:t>120000.00</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4000.00</w:t>
            </w:r>
          </w:p>
        </w:tc>
        <w:tc>
          <w:tcPr>
            <w:tcW w:w="964" w:type="dxa"/>
            <w:vAlign w:val="center"/>
          </w:tcPr>
          <w:p>
            <w:pPr>
              <w:pStyle w:val="13"/>
            </w:pPr>
            <w:r>
              <w:t>4000.00</w:t>
            </w:r>
          </w:p>
        </w:tc>
        <w:tc>
          <w:tcPr>
            <w:tcW w:w="964" w:type="dxa"/>
            <w:vAlign w:val="center"/>
          </w:tcPr>
          <w:p>
            <w:pPr>
              <w:pStyle w:val="13"/>
            </w:pPr>
            <w:r>
              <w:t>4000.00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维持机关基本运转经费</w:t>
            </w:r>
          </w:p>
        </w:tc>
        <w:tc>
          <w:tcPr>
            <w:tcW w:w="964" w:type="dxa"/>
            <w:vAlign w:val="center"/>
          </w:tcPr>
          <w:p>
            <w:pPr>
              <w:pStyle w:val="13"/>
            </w:pPr>
            <w:r>
              <w:t>120000.00</w:t>
            </w:r>
          </w:p>
        </w:tc>
        <w:tc>
          <w:tcPr>
            <w:tcW w:w="1134" w:type="dxa"/>
            <w:vAlign w:val="center"/>
          </w:tcPr>
          <w:p>
            <w:pPr>
              <w:pStyle w:val="14"/>
            </w:pPr>
            <w:r>
              <w:t>碎纸机</w:t>
            </w:r>
          </w:p>
        </w:tc>
        <w:tc>
          <w:tcPr>
            <w:tcW w:w="1134" w:type="dxa"/>
            <w:vAlign w:val="center"/>
          </w:tcPr>
          <w:p>
            <w:pPr>
              <w:pStyle w:val="14"/>
            </w:pPr>
            <w:r>
              <w:t>A02021301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1000.00</w:t>
            </w:r>
          </w:p>
        </w:tc>
        <w:tc>
          <w:tcPr>
            <w:tcW w:w="964" w:type="dxa"/>
            <w:vAlign w:val="center"/>
          </w:tcPr>
          <w:p>
            <w:pPr>
              <w:pStyle w:val="13"/>
            </w:pPr>
            <w:r>
              <w:t>1000.00</w:t>
            </w:r>
          </w:p>
        </w:tc>
        <w:tc>
          <w:tcPr>
            <w:tcW w:w="964" w:type="dxa"/>
            <w:vAlign w:val="center"/>
          </w:tcPr>
          <w:p>
            <w:pPr>
              <w:pStyle w:val="13"/>
            </w:pPr>
            <w:r>
              <w:t>1000.00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维持机关基本运转经费</w:t>
            </w:r>
          </w:p>
        </w:tc>
        <w:tc>
          <w:tcPr>
            <w:tcW w:w="964" w:type="dxa"/>
            <w:vAlign w:val="center"/>
          </w:tcPr>
          <w:p>
            <w:pPr>
              <w:pStyle w:val="13"/>
            </w:pPr>
            <w:r>
              <w:t>120000.00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40</w:t>
            </w:r>
          </w:p>
        </w:tc>
        <w:tc>
          <w:tcPr>
            <w:tcW w:w="850" w:type="dxa"/>
            <w:vAlign w:val="center"/>
          </w:tcPr>
          <w:p>
            <w:pPr>
              <w:pStyle w:val="13"/>
            </w:pPr>
            <w:r>
              <w:t>200.00</w:t>
            </w:r>
          </w:p>
        </w:tc>
        <w:tc>
          <w:tcPr>
            <w:tcW w:w="964" w:type="dxa"/>
            <w:vAlign w:val="center"/>
          </w:tcPr>
          <w:p>
            <w:pPr>
              <w:pStyle w:val="13"/>
            </w:pPr>
            <w:r>
              <w:t>8000.00</w:t>
            </w:r>
          </w:p>
        </w:tc>
        <w:tc>
          <w:tcPr>
            <w:tcW w:w="964" w:type="dxa"/>
            <w:vAlign w:val="center"/>
          </w:tcPr>
          <w:p>
            <w:pPr>
              <w:pStyle w:val="13"/>
            </w:pPr>
            <w:r>
              <w:t>8000.00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rFonts w:hint="default" w:eastAsia="方正书宋_GBK"/>
                <w:lang w:val="en-US" w:eastAsia="zh-CN"/>
              </w:rPr>
            </w:pPr>
            <w:r>
              <w:rPr>
                <w:rFonts w:hint="eastAsia"/>
                <w:lang w:val="en-US" w:eastAsia="zh-CN"/>
              </w:rPr>
              <w:t>2026年井陉县吴家窑乡公车购置费用</w:t>
            </w:r>
          </w:p>
        </w:tc>
        <w:tc>
          <w:tcPr>
            <w:tcW w:w="964" w:type="dxa"/>
            <w:vAlign w:val="center"/>
          </w:tcPr>
          <w:p>
            <w:pPr>
              <w:pStyle w:val="13"/>
              <w:rPr>
                <w:rFonts w:hint="default" w:eastAsia="方正书宋_GBK"/>
                <w:lang w:val="en-US" w:eastAsia="zh-CN"/>
              </w:rPr>
            </w:pPr>
            <w:r>
              <w:rPr>
                <w:rFonts w:hint="eastAsia"/>
                <w:lang w:val="en-US" w:eastAsia="zh-CN"/>
              </w:rPr>
              <w:t>140000.00</w:t>
            </w:r>
          </w:p>
        </w:tc>
        <w:tc>
          <w:tcPr>
            <w:tcW w:w="1134" w:type="dxa"/>
            <w:vAlign w:val="center"/>
          </w:tcPr>
          <w:p>
            <w:pPr>
              <w:pStyle w:val="14"/>
            </w:pPr>
            <w:r>
              <w:t>公务用车</w:t>
            </w:r>
          </w:p>
        </w:tc>
        <w:tc>
          <w:tcPr>
            <w:tcW w:w="1134" w:type="dxa"/>
            <w:vAlign w:val="center"/>
          </w:tcPr>
          <w:p>
            <w:pPr>
              <w:pStyle w:val="14"/>
            </w:pPr>
          </w:p>
        </w:tc>
        <w:tc>
          <w:tcPr>
            <w:tcW w:w="709" w:type="dxa"/>
            <w:vAlign w:val="center"/>
          </w:tcPr>
          <w:p>
            <w:pPr>
              <w:pStyle w:val="15"/>
              <w:rPr>
                <w:rFonts w:hint="eastAsia" w:eastAsia="方正书宋_GBK"/>
                <w:lang w:val="en-US" w:eastAsia="zh-CN"/>
              </w:rPr>
            </w:pPr>
            <w:r>
              <w:rPr>
                <w:rFonts w:hint="eastAsia"/>
                <w:lang w:val="en-US" w:eastAsia="zh-CN"/>
              </w:rPr>
              <w:t>辆</w:t>
            </w:r>
          </w:p>
        </w:tc>
        <w:tc>
          <w:tcPr>
            <w:tcW w:w="850" w:type="dxa"/>
            <w:vAlign w:val="center"/>
          </w:tcPr>
          <w:p>
            <w:pPr>
              <w:pStyle w:val="13"/>
              <w:rPr>
                <w:rFonts w:hint="eastAsia" w:eastAsia="方正书宋_GBK"/>
                <w:lang w:val="en-US" w:eastAsia="zh-CN"/>
              </w:rPr>
            </w:pPr>
            <w:r>
              <w:rPr>
                <w:rFonts w:hint="eastAsia"/>
                <w:lang w:val="en-US" w:eastAsia="zh-CN"/>
              </w:rPr>
              <w:t>1</w:t>
            </w:r>
          </w:p>
        </w:tc>
        <w:tc>
          <w:tcPr>
            <w:tcW w:w="850" w:type="dxa"/>
            <w:vAlign w:val="center"/>
          </w:tcPr>
          <w:p>
            <w:pPr>
              <w:pStyle w:val="13"/>
              <w:rPr>
                <w:rFonts w:hint="default" w:eastAsia="方正书宋_GBK"/>
                <w:lang w:val="en-US" w:eastAsia="zh-CN"/>
              </w:rPr>
            </w:pPr>
            <w:r>
              <w:rPr>
                <w:rFonts w:hint="eastAsia"/>
                <w:lang w:val="en-US" w:eastAsia="zh-CN"/>
              </w:rPr>
              <w:t>140000.00</w:t>
            </w:r>
          </w:p>
        </w:tc>
        <w:tc>
          <w:tcPr>
            <w:tcW w:w="964" w:type="dxa"/>
            <w:vAlign w:val="center"/>
          </w:tcPr>
          <w:p>
            <w:pPr>
              <w:pStyle w:val="13"/>
              <w:rPr>
                <w:rFonts w:hint="default" w:eastAsia="方正书宋_GBK"/>
                <w:lang w:val="en-US" w:eastAsia="zh-CN"/>
              </w:rPr>
            </w:pPr>
            <w:r>
              <w:rPr>
                <w:rFonts w:hint="eastAsia"/>
                <w:lang w:val="en-US" w:eastAsia="zh-CN"/>
              </w:rPr>
              <w:t>140000.00</w:t>
            </w:r>
          </w:p>
        </w:tc>
        <w:tc>
          <w:tcPr>
            <w:tcW w:w="964" w:type="dxa"/>
            <w:vAlign w:val="center"/>
          </w:tcPr>
          <w:p>
            <w:pPr>
              <w:pStyle w:val="13"/>
              <w:rPr>
                <w:rFonts w:hint="default" w:eastAsia="方正书宋_GBK"/>
                <w:lang w:val="en-US" w:eastAsia="zh-CN"/>
              </w:rPr>
            </w:pPr>
            <w:r>
              <w:rPr>
                <w:rFonts w:hint="eastAsia"/>
                <w:lang w:val="en-US" w:eastAsia="zh-CN"/>
              </w:rPr>
              <w:t>140000.00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rPr>
                <w:rFonts w:hint="default" w:eastAsia="方正书宋_GBK"/>
                <w:lang w:val="en-US" w:eastAsia="zh-CN"/>
              </w:rPr>
            </w:pPr>
            <w:r>
              <w:rPr>
                <w:rFonts w:hint="eastAsia"/>
                <w:lang w:val="en-US" w:eastAsia="zh-CN"/>
              </w:rPr>
              <w:t>140000.00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井陉县吴家窑乡人民政府本级上年末固定资产金额为561149.00元（详见下表）。本年度拟购置固定资产总额为</w:t>
      </w:r>
      <w:r>
        <w:rPr>
          <w:rFonts w:hint="eastAsia" w:eastAsia="方正仿宋_GBK" w:cs="Times New Roman"/>
          <w:b w:val="0"/>
          <w:color w:val="000000"/>
          <w:sz w:val="28"/>
          <w:highlight w:val="none"/>
          <w:lang w:val="en-US" w:eastAsia="zh-CN"/>
        </w:rPr>
        <w:t>145000</w:t>
      </w:r>
      <w:r>
        <w:rPr>
          <w:rFonts w:ascii="Times New Roman" w:hAnsi="Times New Roman" w:eastAsia="方正仿宋_GBK" w:cs="Times New Roman"/>
          <w:b w:val="0"/>
          <w:color w:val="000000"/>
          <w:sz w:val="28"/>
          <w:highlight w:val="none"/>
        </w:rPr>
        <w:t>.00元，已按要求列入政府采购预算，详见政府采购预算表。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561149.00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3860</w:t>
            </w:r>
          </w:p>
        </w:tc>
        <w:tc>
          <w:tcPr>
            <w:tcW w:w="2835" w:type="dxa"/>
            <w:vAlign w:val="center"/>
          </w:tcPr>
          <w:p>
            <w:pPr>
              <w:pStyle w:val="13"/>
            </w:pPr>
            <w:r>
              <w:t>354360.00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400</w:t>
            </w:r>
          </w:p>
        </w:tc>
        <w:tc>
          <w:tcPr>
            <w:tcW w:w="2835" w:type="dxa"/>
            <w:vAlign w:val="center"/>
          </w:tcPr>
          <w:p>
            <w:pPr>
              <w:pStyle w:val="13"/>
            </w:pPr>
            <w:r>
              <w:t>36721.24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189789.00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40</w:t>
            </w:r>
          </w:p>
        </w:tc>
        <w:tc>
          <w:tcPr>
            <w:tcW w:w="2835" w:type="dxa"/>
            <w:vAlign w:val="center"/>
          </w:tcPr>
          <w:p>
            <w:pPr>
              <w:pStyle w:val="13"/>
            </w:pPr>
            <w:r>
              <w:t>17000.00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240" w:lineRule="auto"/>
        <w:ind w:firstLine="420"/>
        <w:jc w:val="left"/>
        <w:outlineLvl w:val="9"/>
        <w:rPr>
          <w:rFonts w:hint="eastAsia" w:eastAsia="方正仿宋_GBK"/>
          <w:lang w:eastAsia="zh-CN"/>
        </w:rPr>
        <w:sectPr>
          <w:pgSz w:w="16840" w:h="11900" w:orient="landscape"/>
          <w:pgMar w:top="1361" w:right="1020" w:bottom="1361"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7A0FD6"/>
    <w:rsid w:val="024825B5"/>
    <w:rsid w:val="02DF3C21"/>
    <w:rsid w:val="07E07FF3"/>
    <w:rsid w:val="0D48560D"/>
    <w:rsid w:val="0EDF1579"/>
    <w:rsid w:val="0FC10A69"/>
    <w:rsid w:val="1CB6536F"/>
    <w:rsid w:val="1D01483C"/>
    <w:rsid w:val="1D501E4C"/>
    <w:rsid w:val="1FE57740"/>
    <w:rsid w:val="20947775"/>
    <w:rsid w:val="21211F2D"/>
    <w:rsid w:val="229602A5"/>
    <w:rsid w:val="276E08C0"/>
    <w:rsid w:val="2F3E6592"/>
    <w:rsid w:val="319957A5"/>
    <w:rsid w:val="39D30EB6"/>
    <w:rsid w:val="3AFD125A"/>
    <w:rsid w:val="42C341BE"/>
    <w:rsid w:val="452F7361"/>
    <w:rsid w:val="45DA0F39"/>
    <w:rsid w:val="488836FC"/>
    <w:rsid w:val="4AC00034"/>
    <w:rsid w:val="4C35155C"/>
    <w:rsid w:val="53F01145"/>
    <w:rsid w:val="5585683A"/>
    <w:rsid w:val="56B97546"/>
    <w:rsid w:val="56BA5480"/>
    <w:rsid w:val="5BC903AC"/>
    <w:rsid w:val="5E2A3FBA"/>
    <w:rsid w:val="5F172392"/>
    <w:rsid w:val="5FD56E87"/>
    <w:rsid w:val="5FE74DA4"/>
    <w:rsid w:val="67FF7197"/>
    <w:rsid w:val="698B6B59"/>
    <w:rsid w:val="6AE70470"/>
    <w:rsid w:val="6F330D8D"/>
    <w:rsid w:val="6FDD29C2"/>
    <w:rsid w:val="730C20CE"/>
    <w:rsid w:val="74D84FF7"/>
    <w:rsid w:val="75457333"/>
    <w:rsid w:val="78D5284F"/>
    <w:rsid w:val="7CB709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122</Pages>
  <TotalTime>2</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2026-02-03T18:31:00Z</dcterms:created>
  <dc:creator>Administrator</dc:creator>
  <cp:lastModifiedBy>水木垚歌</cp:lastModifiedBy>
  <dcterms:modified xsi:type="dcterms:W3CDTF">2026-03-19T03:22:14Z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F6DF87C3722D4589867A31F35F0E02A8</vt:lpwstr>
  </property>
  <property fmtid="{D5CDD505-2E9C-101B-9397-08002B2CF9AE}" pid="4" name="KSOTemplateDocerSaveRecord">
    <vt:lpwstr>eyJoZGlkIjoiOWM4NzcyYjk0ZmUxMWRlOWEwMjYxY2JhMjViOGE3ZGUifQ==</vt:lpwstr>
  </property>
</Properties>
</file>