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一、井陉县人民代表大会常务委员会办公室收支预算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二、井陉县人大常委会办公室（事业）收支预算</w:t>
      </w:r>
      <w:r>
        <w:tab/>
      </w:r>
      <w:r>
        <w:fldChar w:fldCharType="begin"/>
      </w:r>
      <w:r>
        <w:instrText xml:space="preserve">PAGEREF _Toc_4_4_0000000002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一、井陉县人民代表大会常务委员会办公室收支预算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6428204.28</w:t>
            </w:r>
          </w:p>
        </w:tc>
        <w:tc>
          <w:tcPr>
            <w:tcW w:w="4535" w:type="dxa"/>
            <w:vAlign w:val="center"/>
          </w:tcPr>
          <w:p>
            <w:pPr>
              <w:pStyle w:val="12"/>
            </w:pPr>
            <w:r>
              <w:t>一、一般公共服务支出</w:t>
            </w:r>
          </w:p>
        </w:tc>
        <w:tc>
          <w:tcPr>
            <w:tcW w:w="2126" w:type="dxa"/>
            <w:vAlign w:val="center"/>
          </w:tcPr>
          <w:p>
            <w:pPr>
              <w:pStyle w:val="11"/>
            </w:pPr>
            <w:r>
              <w:t>4638646.08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1213121.00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201635.00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374802.20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6428204.28</w:t>
            </w:r>
          </w:p>
        </w:tc>
        <w:tc>
          <w:tcPr>
            <w:tcW w:w="4535" w:type="dxa"/>
            <w:vAlign w:val="center"/>
          </w:tcPr>
          <w:p>
            <w:pPr>
              <w:pStyle w:val="14"/>
            </w:pPr>
            <w:r>
              <w:t>本年支出合计</w:t>
            </w:r>
          </w:p>
        </w:tc>
        <w:tc>
          <w:tcPr>
            <w:tcW w:w="2126" w:type="dxa"/>
            <w:vAlign w:val="center"/>
          </w:tcPr>
          <w:p>
            <w:pPr>
              <w:pStyle w:val="15"/>
            </w:pPr>
            <w:r>
              <w:t>6428204.28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6428204.28</w:t>
            </w:r>
          </w:p>
        </w:tc>
        <w:tc>
          <w:tcPr>
            <w:tcW w:w="4535" w:type="dxa"/>
            <w:vAlign w:val="center"/>
          </w:tcPr>
          <w:p>
            <w:pPr>
              <w:pStyle w:val="14"/>
            </w:pPr>
            <w:r>
              <w:t>支出总计</w:t>
            </w:r>
          </w:p>
        </w:tc>
        <w:tc>
          <w:tcPr>
            <w:tcW w:w="2126" w:type="dxa"/>
            <w:vAlign w:val="center"/>
          </w:tcPr>
          <w:p>
            <w:pPr>
              <w:pStyle w:val="15"/>
            </w:pPr>
            <w:r>
              <w:t>6428204.28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6428204.28</w:t>
            </w:r>
          </w:p>
        </w:tc>
        <w:tc>
          <w:tcPr>
            <w:tcW w:w="1134" w:type="dxa"/>
            <w:vAlign w:val="center"/>
          </w:tcPr>
          <w:p>
            <w:pPr>
              <w:pStyle w:val="15"/>
            </w:pPr>
            <w:r>
              <w:t>6428204.28</w:t>
            </w:r>
          </w:p>
        </w:tc>
        <w:tc>
          <w:tcPr>
            <w:tcW w:w="1134" w:type="dxa"/>
            <w:vAlign w:val="center"/>
          </w:tcPr>
          <w:p>
            <w:pPr>
              <w:pStyle w:val="15"/>
            </w:pPr>
            <w:r>
              <w:t>6428204.28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4157146.08</w:t>
            </w:r>
          </w:p>
        </w:tc>
        <w:tc>
          <w:tcPr>
            <w:tcW w:w="1134" w:type="dxa"/>
            <w:vAlign w:val="center"/>
          </w:tcPr>
          <w:p>
            <w:pPr>
              <w:pStyle w:val="11"/>
            </w:pPr>
            <w:r>
              <w:t>4157146.08</w:t>
            </w:r>
          </w:p>
        </w:tc>
        <w:tc>
          <w:tcPr>
            <w:tcW w:w="1134" w:type="dxa"/>
            <w:vAlign w:val="center"/>
          </w:tcPr>
          <w:p>
            <w:pPr>
              <w:pStyle w:val="11"/>
            </w:pPr>
            <w:r>
              <w:t>4157146.08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2010104</w:t>
            </w:r>
          </w:p>
        </w:tc>
        <w:tc>
          <w:tcPr>
            <w:tcW w:w="1559" w:type="dxa"/>
            <w:vAlign w:val="center"/>
          </w:tcPr>
          <w:p>
            <w:pPr>
              <w:pStyle w:val="12"/>
            </w:pPr>
            <w:r>
              <w:t>人大会议</w:t>
            </w:r>
          </w:p>
        </w:tc>
        <w:tc>
          <w:tcPr>
            <w:tcW w:w="1134" w:type="dxa"/>
            <w:vAlign w:val="center"/>
          </w:tcPr>
          <w:p>
            <w:pPr>
              <w:pStyle w:val="11"/>
            </w:pPr>
            <w:r>
              <w:t>161500.00</w:t>
            </w:r>
          </w:p>
        </w:tc>
        <w:tc>
          <w:tcPr>
            <w:tcW w:w="1134" w:type="dxa"/>
            <w:vAlign w:val="center"/>
          </w:tcPr>
          <w:p>
            <w:pPr>
              <w:pStyle w:val="11"/>
            </w:pPr>
            <w:r>
              <w:t>161500.00</w:t>
            </w:r>
          </w:p>
        </w:tc>
        <w:tc>
          <w:tcPr>
            <w:tcW w:w="1134" w:type="dxa"/>
            <w:vAlign w:val="center"/>
          </w:tcPr>
          <w:p>
            <w:pPr>
              <w:pStyle w:val="11"/>
            </w:pPr>
            <w:r>
              <w:t>161500.00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2010106</w:t>
            </w:r>
          </w:p>
        </w:tc>
        <w:tc>
          <w:tcPr>
            <w:tcW w:w="1559" w:type="dxa"/>
            <w:vAlign w:val="center"/>
          </w:tcPr>
          <w:p>
            <w:pPr>
              <w:pStyle w:val="12"/>
            </w:pPr>
            <w:r>
              <w:t>人大监督</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170000.00</w:t>
            </w:r>
          </w:p>
        </w:tc>
        <w:tc>
          <w:tcPr>
            <w:tcW w:w="1134" w:type="dxa"/>
            <w:vAlign w:val="center"/>
          </w:tcPr>
          <w:p>
            <w:pPr>
              <w:pStyle w:val="11"/>
            </w:pPr>
            <w:r>
              <w:t>170000.00</w:t>
            </w:r>
          </w:p>
        </w:tc>
        <w:tc>
          <w:tcPr>
            <w:tcW w:w="1134" w:type="dxa"/>
            <w:vAlign w:val="center"/>
          </w:tcPr>
          <w:p>
            <w:pPr>
              <w:pStyle w:val="11"/>
            </w:pPr>
            <w:r>
              <w:t>170000.00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1213121.00</w:t>
            </w:r>
          </w:p>
        </w:tc>
        <w:tc>
          <w:tcPr>
            <w:tcW w:w="1134" w:type="dxa"/>
            <w:vAlign w:val="center"/>
          </w:tcPr>
          <w:p>
            <w:pPr>
              <w:pStyle w:val="11"/>
            </w:pPr>
            <w:r>
              <w:t>1213121.00</w:t>
            </w:r>
          </w:p>
        </w:tc>
        <w:tc>
          <w:tcPr>
            <w:tcW w:w="1134" w:type="dxa"/>
            <w:vAlign w:val="center"/>
          </w:tcPr>
          <w:p>
            <w:pPr>
              <w:pStyle w:val="11"/>
            </w:pPr>
            <w:r>
              <w:t>1213121.00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1195474.80</w:t>
            </w:r>
          </w:p>
        </w:tc>
        <w:tc>
          <w:tcPr>
            <w:tcW w:w="1134" w:type="dxa"/>
            <w:vAlign w:val="center"/>
          </w:tcPr>
          <w:p>
            <w:pPr>
              <w:pStyle w:val="11"/>
            </w:pPr>
            <w:r>
              <w:t>1195474.80</w:t>
            </w:r>
          </w:p>
        </w:tc>
        <w:tc>
          <w:tcPr>
            <w:tcW w:w="1134" w:type="dxa"/>
            <w:vAlign w:val="center"/>
          </w:tcPr>
          <w:p>
            <w:pPr>
              <w:pStyle w:val="11"/>
            </w:pPr>
            <w:r>
              <w:t>1195474.80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724539.40</w:t>
            </w:r>
          </w:p>
        </w:tc>
        <w:tc>
          <w:tcPr>
            <w:tcW w:w="1134" w:type="dxa"/>
            <w:vAlign w:val="center"/>
          </w:tcPr>
          <w:p>
            <w:pPr>
              <w:pStyle w:val="11"/>
            </w:pPr>
            <w:r>
              <w:t>724539.40</w:t>
            </w:r>
          </w:p>
        </w:tc>
        <w:tc>
          <w:tcPr>
            <w:tcW w:w="1134" w:type="dxa"/>
            <w:vAlign w:val="center"/>
          </w:tcPr>
          <w:p>
            <w:pPr>
              <w:pStyle w:val="11"/>
            </w:pPr>
            <w:r>
              <w:t>724539.40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470935.40</w:t>
            </w:r>
          </w:p>
        </w:tc>
        <w:tc>
          <w:tcPr>
            <w:tcW w:w="1134" w:type="dxa"/>
            <w:vAlign w:val="center"/>
          </w:tcPr>
          <w:p>
            <w:pPr>
              <w:pStyle w:val="11"/>
            </w:pPr>
            <w:r>
              <w:t>470935.40</w:t>
            </w:r>
          </w:p>
        </w:tc>
        <w:tc>
          <w:tcPr>
            <w:tcW w:w="1134" w:type="dxa"/>
            <w:vAlign w:val="center"/>
          </w:tcPr>
          <w:p>
            <w:pPr>
              <w:pStyle w:val="11"/>
            </w:pPr>
            <w:r>
              <w:t>470935.40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6428204.28</w:t>
            </w:r>
          </w:p>
        </w:tc>
        <w:tc>
          <w:tcPr>
            <w:tcW w:w="1361" w:type="dxa"/>
            <w:vAlign w:val="center"/>
          </w:tcPr>
          <w:p>
            <w:pPr>
              <w:pStyle w:val="15"/>
            </w:pPr>
            <w:r>
              <w:t>5623287.40</w:t>
            </w:r>
          </w:p>
        </w:tc>
        <w:tc>
          <w:tcPr>
            <w:tcW w:w="1361" w:type="dxa"/>
            <w:vAlign w:val="center"/>
          </w:tcPr>
          <w:p>
            <w:pPr>
              <w:pStyle w:val="15"/>
            </w:pPr>
            <w:r>
              <w:t>804916.88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4638646.08</w:t>
            </w:r>
          </w:p>
        </w:tc>
        <w:tc>
          <w:tcPr>
            <w:tcW w:w="1361" w:type="dxa"/>
            <w:vAlign w:val="center"/>
          </w:tcPr>
          <w:p>
            <w:pPr>
              <w:pStyle w:val="11"/>
            </w:pPr>
            <w:r>
              <w:t>3833729.20</w:t>
            </w:r>
          </w:p>
        </w:tc>
        <w:tc>
          <w:tcPr>
            <w:tcW w:w="1361" w:type="dxa"/>
            <w:vAlign w:val="center"/>
          </w:tcPr>
          <w:p>
            <w:pPr>
              <w:pStyle w:val="11"/>
            </w:pPr>
            <w:r>
              <w:t>804916.88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4638646.08</w:t>
            </w:r>
          </w:p>
        </w:tc>
        <w:tc>
          <w:tcPr>
            <w:tcW w:w="1361" w:type="dxa"/>
            <w:vAlign w:val="center"/>
          </w:tcPr>
          <w:p>
            <w:pPr>
              <w:pStyle w:val="11"/>
            </w:pPr>
            <w:r>
              <w:t>3833729.20</w:t>
            </w:r>
          </w:p>
        </w:tc>
        <w:tc>
          <w:tcPr>
            <w:tcW w:w="1361" w:type="dxa"/>
            <w:vAlign w:val="center"/>
          </w:tcPr>
          <w:p>
            <w:pPr>
              <w:pStyle w:val="11"/>
            </w:pPr>
            <w:r>
              <w:t>804916.88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4157146.08</w:t>
            </w:r>
          </w:p>
        </w:tc>
        <w:tc>
          <w:tcPr>
            <w:tcW w:w="1361" w:type="dxa"/>
            <w:vAlign w:val="center"/>
          </w:tcPr>
          <w:p>
            <w:pPr>
              <w:pStyle w:val="11"/>
            </w:pPr>
            <w:r>
              <w:t>3833729.20</w:t>
            </w:r>
          </w:p>
        </w:tc>
        <w:tc>
          <w:tcPr>
            <w:tcW w:w="1361" w:type="dxa"/>
            <w:vAlign w:val="center"/>
          </w:tcPr>
          <w:p>
            <w:pPr>
              <w:pStyle w:val="11"/>
            </w:pPr>
            <w:r>
              <w:t>323416.88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2010104</w:t>
            </w:r>
          </w:p>
        </w:tc>
        <w:tc>
          <w:tcPr>
            <w:tcW w:w="4535" w:type="dxa"/>
            <w:vAlign w:val="center"/>
          </w:tcPr>
          <w:p>
            <w:pPr>
              <w:pStyle w:val="12"/>
            </w:pPr>
            <w:r>
              <w:t>人大会议</w:t>
            </w:r>
          </w:p>
        </w:tc>
        <w:tc>
          <w:tcPr>
            <w:tcW w:w="1361" w:type="dxa"/>
            <w:vAlign w:val="center"/>
          </w:tcPr>
          <w:p>
            <w:pPr>
              <w:pStyle w:val="11"/>
            </w:pPr>
            <w:r>
              <w:t>161500.00</w:t>
            </w:r>
          </w:p>
        </w:tc>
        <w:tc>
          <w:tcPr>
            <w:tcW w:w="1361" w:type="dxa"/>
            <w:vAlign w:val="center"/>
          </w:tcPr>
          <w:p>
            <w:pPr>
              <w:pStyle w:val="11"/>
            </w:pPr>
          </w:p>
        </w:tc>
        <w:tc>
          <w:tcPr>
            <w:tcW w:w="1361" w:type="dxa"/>
            <w:vAlign w:val="center"/>
          </w:tcPr>
          <w:p>
            <w:pPr>
              <w:pStyle w:val="11"/>
            </w:pPr>
            <w:r>
              <w:t>161500.00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2010106</w:t>
            </w:r>
          </w:p>
        </w:tc>
        <w:tc>
          <w:tcPr>
            <w:tcW w:w="4535" w:type="dxa"/>
            <w:vAlign w:val="center"/>
          </w:tcPr>
          <w:p>
            <w:pPr>
              <w:pStyle w:val="12"/>
            </w:pPr>
            <w:r>
              <w:t>人大监督</w:t>
            </w: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170000.00</w:t>
            </w:r>
          </w:p>
        </w:tc>
        <w:tc>
          <w:tcPr>
            <w:tcW w:w="1361" w:type="dxa"/>
            <w:vAlign w:val="center"/>
          </w:tcPr>
          <w:p>
            <w:pPr>
              <w:pStyle w:val="11"/>
            </w:pPr>
          </w:p>
        </w:tc>
        <w:tc>
          <w:tcPr>
            <w:tcW w:w="1361" w:type="dxa"/>
            <w:vAlign w:val="center"/>
          </w:tcPr>
          <w:p>
            <w:pPr>
              <w:pStyle w:val="11"/>
            </w:pPr>
            <w:r>
              <w:t>170000.00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1213121.00</w:t>
            </w:r>
          </w:p>
        </w:tc>
        <w:tc>
          <w:tcPr>
            <w:tcW w:w="1361" w:type="dxa"/>
            <w:vAlign w:val="center"/>
          </w:tcPr>
          <w:p>
            <w:pPr>
              <w:pStyle w:val="11"/>
            </w:pPr>
            <w:r>
              <w:t>1213121.00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1195474.80</w:t>
            </w:r>
          </w:p>
        </w:tc>
        <w:tc>
          <w:tcPr>
            <w:tcW w:w="1361" w:type="dxa"/>
            <w:vAlign w:val="center"/>
          </w:tcPr>
          <w:p>
            <w:pPr>
              <w:pStyle w:val="11"/>
            </w:pPr>
            <w:r>
              <w:t>1195474.80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724539.40</w:t>
            </w:r>
          </w:p>
        </w:tc>
        <w:tc>
          <w:tcPr>
            <w:tcW w:w="1361" w:type="dxa"/>
            <w:vAlign w:val="center"/>
          </w:tcPr>
          <w:p>
            <w:pPr>
              <w:pStyle w:val="11"/>
            </w:pPr>
            <w:r>
              <w:t>724539.40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470935.40</w:t>
            </w:r>
          </w:p>
        </w:tc>
        <w:tc>
          <w:tcPr>
            <w:tcW w:w="1361" w:type="dxa"/>
            <w:vAlign w:val="center"/>
          </w:tcPr>
          <w:p>
            <w:pPr>
              <w:pStyle w:val="11"/>
            </w:pPr>
            <w:r>
              <w:t>470935.40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17646.20</w:t>
            </w:r>
          </w:p>
        </w:tc>
        <w:tc>
          <w:tcPr>
            <w:tcW w:w="1361" w:type="dxa"/>
            <w:vAlign w:val="center"/>
          </w:tcPr>
          <w:p>
            <w:pPr>
              <w:pStyle w:val="11"/>
            </w:pPr>
            <w:r>
              <w:t>17646.20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17646.20</w:t>
            </w:r>
          </w:p>
        </w:tc>
        <w:tc>
          <w:tcPr>
            <w:tcW w:w="1361" w:type="dxa"/>
            <w:vAlign w:val="center"/>
          </w:tcPr>
          <w:p>
            <w:pPr>
              <w:pStyle w:val="11"/>
            </w:pPr>
            <w:r>
              <w:t>17646.20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201635.00</w:t>
            </w:r>
          </w:p>
        </w:tc>
        <w:tc>
          <w:tcPr>
            <w:tcW w:w="1361" w:type="dxa"/>
            <w:vAlign w:val="center"/>
          </w:tcPr>
          <w:p>
            <w:pPr>
              <w:pStyle w:val="11"/>
            </w:pPr>
            <w:r>
              <w:t>201635.00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201635.00</w:t>
            </w:r>
          </w:p>
        </w:tc>
        <w:tc>
          <w:tcPr>
            <w:tcW w:w="1361" w:type="dxa"/>
            <w:vAlign w:val="center"/>
          </w:tcPr>
          <w:p>
            <w:pPr>
              <w:pStyle w:val="11"/>
            </w:pPr>
            <w:r>
              <w:t>201635.00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201635.00</w:t>
            </w:r>
          </w:p>
        </w:tc>
        <w:tc>
          <w:tcPr>
            <w:tcW w:w="1361" w:type="dxa"/>
            <w:vAlign w:val="center"/>
          </w:tcPr>
          <w:p>
            <w:pPr>
              <w:pStyle w:val="11"/>
            </w:pPr>
            <w:r>
              <w:t>201635.00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374802.20</w:t>
            </w:r>
          </w:p>
        </w:tc>
        <w:tc>
          <w:tcPr>
            <w:tcW w:w="1361" w:type="dxa"/>
            <w:vAlign w:val="center"/>
          </w:tcPr>
          <w:p>
            <w:pPr>
              <w:pStyle w:val="11"/>
            </w:pPr>
            <w:r>
              <w:t>374802.20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374802.20</w:t>
            </w:r>
          </w:p>
        </w:tc>
        <w:tc>
          <w:tcPr>
            <w:tcW w:w="1361" w:type="dxa"/>
            <w:vAlign w:val="center"/>
          </w:tcPr>
          <w:p>
            <w:pPr>
              <w:pStyle w:val="11"/>
            </w:pPr>
            <w:r>
              <w:t>374802.20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374802.20</w:t>
            </w:r>
          </w:p>
        </w:tc>
        <w:tc>
          <w:tcPr>
            <w:tcW w:w="1361" w:type="dxa"/>
            <w:vAlign w:val="center"/>
          </w:tcPr>
          <w:p>
            <w:pPr>
              <w:pStyle w:val="11"/>
            </w:pPr>
            <w:r>
              <w:t>374802.20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6428204.28</w:t>
            </w:r>
          </w:p>
        </w:tc>
        <w:tc>
          <w:tcPr>
            <w:tcW w:w="3402" w:type="dxa"/>
            <w:vAlign w:val="center"/>
          </w:tcPr>
          <w:p>
            <w:pPr>
              <w:pStyle w:val="12"/>
            </w:pPr>
            <w:r>
              <w:t>一、一般公共服务支出</w:t>
            </w:r>
          </w:p>
        </w:tc>
        <w:tc>
          <w:tcPr>
            <w:tcW w:w="1474" w:type="dxa"/>
            <w:vAlign w:val="center"/>
          </w:tcPr>
          <w:p>
            <w:pPr>
              <w:pStyle w:val="11"/>
            </w:pPr>
            <w:r>
              <w:t>4638646.08</w:t>
            </w:r>
          </w:p>
        </w:tc>
        <w:tc>
          <w:tcPr>
            <w:tcW w:w="1474" w:type="dxa"/>
            <w:vAlign w:val="center"/>
          </w:tcPr>
          <w:p>
            <w:pPr>
              <w:pStyle w:val="11"/>
            </w:pPr>
            <w:r>
              <w:t>4638646.08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1213121.00</w:t>
            </w:r>
          </w:p>
        </w:tc>
        <w:tc>
          <w:tcPr>
            <w:tcW w:w="1474" w:type="dxa"/>
            <w:vAlign w:val="center"/>
          </w:tcPr>
          <w:p>
            <w:pPr>
              <w:pStyle w:val="11"/>
            </w:pPr>
            <w:r>
              <w:t>1213121.00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201635.00</w:t>
            </w:r>
          </w:p>
        </w:tc>
        <w:tc>
          <w:tcPr>
            <w:tcW w:w="1474" w:type="dxa"/>
            <w:vAlign w:val="center"/>
          </w:tcPr>
          <w:p>
            <w:pPr>
              <w:pStyle w:val="11"/>
            </w:pPr>
            <w:r>
              <w:t>201635.00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374802.20</w:t>
            </w:r>
          </w:p>
        </w:tc>
        <w:tc>
          <w:tcPr>
            <w:tcW w:w="1474" w:type="dxa"/>
            <w:vAlign w:val="center"/>
          </w:tcPr>
          <w:p>
            <w:pPr>
              <w:pStyle w:val="11"/>
            </w:pPr>
            <w:r>
              <w:t>374802.20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6428204.28</w:t>
            </w:r>
          </w:p>
        </w:tc>
        <w:tc>
          <w:tcPr>
            <w:tcW w:w="3402" w:type="dxa"/>
            <w:vAlign w:val="center"/>
          </w:tcPr>
          <w:p>
            <w:pPr>
              <w:pStyle w:val="14"/>
            </w:pPr>
            <w:r>
              <w:t>本年支出合计</w:t>
            </w:r>
          </w:p>
        </w:tc>
        <w:tc>
          <w:tcPr>
            <w:tcW w:w="1474" w:type="dxa"/>
            <w:vAlign w:val="center"/>
          </w:tcPr>
          <w:p>
            <w:pPr>
              <w:pStyle w:val="15"/>
            </w:pPr>
            <w:r>
              <w:t>6428204.28</w:t>
            </w:r>
          </w:p>
        </w:tc>
        <w:tc>
          <w:tcPr>
            <w:tcW w:w="1474" w:type="dxa"/>
            <w:vAlign w:val="center"/>
          </w:tcPr>
          <w:p>
            <w:pPr>
              <w:pStyle w:val="15"/>
            </w:pPr>
            <w:r>
              <w:t>6428204.28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6428204.28</w:t>
            </w:r>
          </w:p>
        </w:tc>
        <w:tc>
          <w:tcPr>
            <w:tcW w:w="3402" w:type="dxa"/>
            <w:vAlign w:val="center"/>
          </w:tcPr>
          <w:p>
            <w:pPr>
              <w:pStyle w:val="14"/>
            </w:pPr>
            <w:r>
              <w:t>支出总计</w:t>
            </w:r>
          </w:p>
        </w:tc>
        <w:tc>
          <w:tcPr>
            <w:tcW w:w="1474" w:type="dxa"/>
            <w:vAlign w:val="center"/>
          </w:tcPr>
          <w:p>
            <w:pPr>
              <w:pStyle w:val="15"/>
            </w:pPr>
            <w:r>
              <w:t>6428204.28</w:t>
            </w:r>
          </w:p>
        </w:tc>
        <w:tc>
          <w:tcPr>
            <w:tcW w:w="1474" w:type="dxa"/>
            <w:vAlign w:val="center"/>
          </w:tcPr>
          <w:p>
            <w:pPr>
              <w:pStyle w:val="15"/>
            </w:pPr>
            <w:r>
              <w:t>6428204.28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6428204.28</w:t>
            </w:r>
          </w:p>
        </w:tc>
        <w:tc>
          <w:tcPr>
            <w:tcW w:w="2551" w:type="dxa"/>
            <w:vAlign w:val="center"/>
          </w:tcPr>
          <w:p>
            <w:pPr>
              <w:pStyle w:val="15"/>
            </w:pPr>
            <w:r>
              <w:t>5623287.40</w:t>
            </w:r>
          </w:p>
        </w:tc>
        <w:tc>
          <w:tcPr>
            <w:tcW w:w="2551" w:type="dxa"/>
            <w:vAlign w:val="center"/>
          </w:tcPr>
          <w:p>
            <w:pPr>
              <w:pStyle w:val="15"/>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4638646.08</w:t>
            </w:r>
          </w:p>
        </w:tc>
        <w:tc>
          <w:tcPr>
            <w:tcW w:w="2551" w:type="dxa"/>
            <w:vAlign w:val="center"/>
          </w:tcPr>
          <w:p>
            <w:pPr>
              <w:pStyle w:val="11"/>
            </w:pPr>
            <w:r>
              <w:t>3833729.20</w:t>
            </w:r>
          </w:p>
        </w:tc>
        <w:tc>
          <w:tcPr>
            <w:tcW w:w="2551" w:type="dxa"/>
            <w:vAlign w:val="center"/>
          </w:tcPr>
          <w:p>
            <w:pPr>
              <w:pStyle w:val="11"/>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4638646.08</w:t>
            </w:r>
          </w:p>
        </w:tc>
        <w:tc>
          <w:tcPr>
            <w:tcW w:w="2551" w:type="dxa"/>
            <w:vAlign w:val="center"/>
          </w:tcPr>
          <w:p>
            <w:pPr>
              <w:pStyle w:val="11"/>
            </w:pPr>
            <w:r>
              <w:t>3833729.20</w:t>
            </w:r>
          </w:p>
        </w:tc>
        <w:tc>
          <w:tcPr>
            <w:tcW w:w="2551" w:type="dxa"/>
            <w:vAlign w:val="center"/>
          </w:tcPr>
          <w:p>
            <w:pPr>
              <w:pStyle w:val="11"/>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4157146.08</w:t>
            </w:r>
          </w:p>
        </w:tc>
        <w:tc>
          <w:tcPr>
            <w:tcW w:w="2551" w:type="dxa"/>
            <w:vAlign w:val="center"/>
          </w:tcPr>
          <w:p>
            <w:pPr>
              <w:pStyle w:val="11"/>
            </w:pPr>
            <w:r>
              <w:t>3833729.20</w:t>
            </w:r>
          </w:p>
        </w:tc>
        <w:tc>
          <w:tcPr>
            <w:tcW w:w="2551" w:type="dxa"/>
            <w:vAlign w:val="center"/>
          </w:tcPr>
          <w:p>
            <w:pPr>
              <w:pStyle w:val="11"/>
            </w:pPr>
            <w:r>
              <w:t>323416.88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2010104</w:t>
            </w:r>
          </w:p>
        </w:tc>
        <w:tc>
          <w:tcPr>
            <w:tcW w:w="4535" w:type="dxa"/>
            <w:vAlign w:val="center"/>
          </w:tcPr>
          <w:p>
            <w:pPr>
              <w:pStyle w:val="12"/>
            </w:pPr>
            <w:r>
              <w:t>人大会议</w:t>
            </w:r>
          </w:p>
        </w:tc>
        <w:tc>
          <w:tcPr>
            <w:tcW w:w="2551" w:type="dxa"/>
            <w:vAlign w:val="center"/>
          </w:tcPr>
          <w:p>
            <w:pPr>
              <w:pStyle w:val="11"/>
            </w:pPr>
            <w:r>
              <w:t>161500.00</w:t>
            </w:r>
          </w:p>
        </w:tc>
        <w:tc>
          <w:tcPr>
            <w:tcW w:w="2551" w:type="dxa"/>
            <w:vAlign w:val="center"/>
          </w:tcPr>
          <w:p>
            <w:pPr>
              <w:pStyle w:val="11"/>
            </w:pPr>
          </w:p>
        </w:tc>
        <w:tc>
          <w:tcPr>
            <w:tcW w:w="2551" w:type="dxa"/>
            <w:vAlign w:val="center"/>
          </w:tcPr>
          <w:p>
            <w:pPr>
              <w:pStyle w:val="11"/>
            </w:pPr>
            <w:r>
              <w:t>161500.00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2010106</w:t>
            </w:r>
          </w:p>
        </w:tc>
        <w:tc>
          <w:tcPr>
            <w:tcW w:w="4535" w:type="dxa"/>
            <w:vAlign w:val="center"/>
          </w:tcPr>
          <w:p>
            <w:pPr>
              <w:pStyle w:val="12"/>
            </w:pPr>
            <w:r>
              <w:t>人大监督</w:t>
            </w:r>
          </w:p>
        </w:tc>
        <w:tc>
          <w:tcPr>
            <w:tcW w:w="2551" w:type="dxa"/>
            <w:vAlign w:val="center"/>
          </w:tcPr>
          <w:p>
            <w:pPr>
              <w:pStyle w:val="11"/>
            </w:pPr>
            <w:r>
              <w:t>150000.00</w:t>
            </w:r>
          </w:p>
        </w:tc>
        <w:tc>
          <w:tcPr>
            <w:tcW w:w="2551" w:type="dxa"/>
            <w:vAlign w:val="center"/>
          </w:tcPr>
          <w:p>
            <w:pPr>
              <w:pStyle w:val="11"/>
            </w:pPr>
          </w:p>
        </w:tc>
        <w:tc>
          <w:tcPr>
            <w:tcW w:w="2551"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170000.00</w:t>
            </w:r>
          </w:p>
        </w:tc>
        <w:tc>
          <w:tcPr>
            <w:tcW w:w="2551" w:type="dxa"/>
            <w:vAlign w:val="center"/>
          </w:tcPr>
          <w:p>
            <w:pPr>
              <w:pStyle w:val="11"/>
            </w:pPr>
          </w:p>
        </w:tc>
        <w:tc>
          <w:tcPr>
            <w:tcW w:w="2551" w:type="dxa"/>
            <w:vAlign w:val="center"/>
          </w:tcPr>
          <w:p>
            <w:pPr>
              <w:pStyle w:val="11"/>
            </w:pPr>
            <w: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1213121.00</w:t>
            </w:r>
          </w:p>
        </w:tc>
        <w:tc>
          <w:tcPr>
            <w:tcW w:w="2551" w:type="dxa"/>
            <w:vAlign w:val="center"/>
          </w:tcPr>
          <w:p>
            <w:pPr>
              <w:pStyle w:val="11"/>
            </w:pPr>
            <w:r>
              <w:t>1213121.00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1195474.80</w:t>
            </w:r>
          </w:p>
        </w:tc>
        <w:tc>
          <w:tcPr>
            <w:tcW w:w="2551" w:type="dxa"/>
            <w:vAlign w:val="center"/>
          </w:tcPr>
          <w:p>
            <w:pPr>
              <w:pStyle w:val="11"/>
            </w:pPr>
            <w:r>
              <w:t>1195474.80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724539.40</w:t>
            </w:r>
          </w:p>
        </w:tc>
        <w:tc>
          <w:tcPr>
            <w:tcW w:w="2551" w:type="dxa"/>
            <w:vAlign w:val="center"/>
          </w:tcPr>
          <w:p>
            <w:pPr>
              <w:pStyle w:val="11"/>
            </w:pPr>
            <w:r>
              <w:t>724539.40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470935.40</w:t>
            </w:r>
          </w:p>
        </w:tc>
        <w:tc>
          <w:tcPr>
            <w:tcW w:w="2551" w:type="dxa"/>
            <w:vAlign w:val="center"/>
          </w:tcPr>
          <w:p>
            <w:pPr>
              <w:pStyle w:val="11"/>
            </w:pPr>
            <w:r>
              <w:t>470935.40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17646.20</w:t>
            </w:r>
          </w:p>
        </w:tc>
        <w:tc>
          <w:tcPr>
            <w:tcW w:w="2551" w:type="dxa"/>
            <w:vAlign w:val="center"/>
          </w:tcPr>
          <w:p>
            <w:pPr>
              <w:pStyle w:val="11"/>
            </w:pPr>
            <w:r>
              <w:t>17646.20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17646.20</w:t>
            </w:r>
          </w:p>
        </w:tc>
        <w:tc>
          <w:tcPr>
            <w:tcW w:w="2551" w:type="dxa"/>
            <w:vAlign w:val="center"/>
          </w:tcPr>
          <w:p>
            <w:pPr>
              <w:pStyle w:val="11"/>
            </w:pPr>
            <w:r>
              <w:t>17646.20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5623287.40</w:t>
            </w:r>
          </w:p>
        </w:tc>
        <w:tc>
          <w:tcPr>
            <w:tcW w:w="2551" w:type="dxa"/>
            <w:vAlign w:val="center"/>
          </w:tcPr>
          <w:p>
            <w:pPr>
              <w:pStyle w:val="15"/>
            </w:pPr>
            <w:r>
              <w:t>5035900.40</w:t>
            </w:r>
          </w:p>
        </w:tc>
        <w:tc>
          <w:tcPr>
            <w:tcW w:w="2551" w:type="dxa"/>
            <w:vAlign w:val="center"/>
          </w:tcPr>
          <w:p>
            <w:pPr>
              <w:pStyle w:val="15"/>
            </w:pPr>
            <w:r>
              <w:t>587387.00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4311361.00</w:t>
            </w:r>
          </w:p>
        </w:tc>
        <w:tc>
          <w:tcPr>
            <w:tcW w:w="2551" w:type="dxa"/>
            <w:vAlign w:val="center"/>
          </w:tcPr>
          <w:p>
            <w:pPr>
              <w:pStyle w:val="11"/>
            </w:pPr>
            <w:r>
              <w:t>4311361.00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1772760.00</w:t>
            </w:r>
          </w:p>
        </w:tc>
        <w:tc>
          <w:tcPr>
            <w:tcW w:w="2551" w:type="dxa"/>
            <w:vAlign w:val="center"/>
          </w:tcPr>
          <w:p>
            <w:pPr>
              <w:pStyle w:val="11"/>
            </w:pPr>
            <w:r>
              <w:t>1772760.00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592476.20</w:t>
            </w:r>
          </w:p>
        </w:tc>
        <w:tc>
          <w:tcPr>
            <w:tcW w:w="2551" w:type="dxa"/>
            <w:vAlign w:val="center"/>
          </w:tcPr>
          <w:p>
            <w:pPr>
              <w:pStyle w:val="11"/>
            </w:pPr>
            <w:r>
              <w:t>592476.20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492214.00</w:t>
            </w:r>
          </w:p>
        </w:tc>
        <w:tc>
          <w:tcPr>
            <w:tcW w:w="2551" w:type="dxa"/>
            <w:vAlign w:val="center"/>
          </w:tcPr>
          <w:p>
            <w:pPr>
              <w:pStyle w:val="11"/>
            </w:pPr>
            <w:r>
              <w:t>492214.00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388892.00</w:t>
            </w:r>
          </w:p>
        </w:tc>
        <w:tc>
          <w:tcPr>
            <w:tcW w:w="2551" w:type="dxa"/>
            <w:vAlign w:val="center"/>
          </w:tcPr>
          <w:p>
            <w:pPr>
              <w:pStyle w:val="11"/>
            </w:pPr>
            <w:r>
              <w:t>388892.00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470935.40</w:t>
            </w:r>
          </w:p>
        </w:tc>
        <w:tc>
          <w:tcPr>
            <w:tcW w:w="2551" w:type="dxa"/>
            <w:vAlign w:val="center"/>
          </w:tcPr>
          <w:p>
            <w:pPr>
              <w:pStyle w:val="11"/>
            </w:pPr>
            <w:r>
              <w:t>470935.40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17646.20</w:t>
            </w:r>
          </w:p>
        </w:tc>
        <w:tc>
          <w:tcPr>
            <w:tcW w:w="2551" w:type="dxa"/>
            <w:vAlign w:val="center"/>
          </w:tcPr>
          <w:p>
            <w:pPr>
              <w:pStyle w:val="11"/>
            </w:pPr>
            <w:r>
              <w:t>17646.20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587387.00</w:t>
            </w:r>
          </w:p>
        </w:tc>
        <w:tc>
          <w:tcPr>
            <w:tcW w:w="2551" w:type="dxa"/>
            <w:vAlign w:val="center"/>
          </w:tcPr>
          <w:p>
            <w:pPr>
              <w:pStyle w:val="11"/>
            </w:pPr>
          </w:p>
        </w:tc>
        <w:tc>
          <w:tcPr>
            <w:tcW w:w="2551" w:type="dxa"/>
            <w:vAlign w:val="center"/>
          </w:tcPr>
          <w:p>
            <w:pPr>
              <w:pStyle w:val="11"/>
            </w:pPr>
            <w:r>
              <w:t>587387.00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60000.00</w:t>
            </w:r>
          </w:p>
        </w:tc>
        <w:tc>
          <w:tcPr>
            <w:tcW w:w="2551" w:type="dxa"/>
            <w:vAlign w:val="center"/>
          </w:tcPr>
          <w:p>
            <w:pPr>
              <w:pStyle w:val="11"/>
            </w:pPr>
          </w:p>
        </w:tc>
        <w:tc>
          <w:tcPr>
            <w:tcW w:w="2551" w:type="dxa"/>
            <w:vAlign w:val="center"/>
          </w:tcPr>
          <w:p>
            <w:pPr>
              <w:pStyle w:val="11"/>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89200.00</w:t>
            </w:r>
          </w:p>
        </w:tc>
        <w:tc>
          <w:tcPr>
            <w:tcW w:w="2551" w:type="dxa"/>
            <w:vAlign w:val="center"/>
          </w:tcPr>
          <w:p>
            <w:pPr>
              <w:pStyle w:val="11"/>
            </w:pPr>
          </w:p>
        </w:tc>
        <w:tc>
          <w:tcPr>
            <w:tcW w:w="2551" w:type="dxa"/>
            <w:vAlign w:val="center"/>
          </w:tcPr>
          <w:p>
            <w:pPr>
              <w:pStyle w:val="11"/>
            </w:pPr>
            <w:r>
              <w:t>89200.00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110000.00</w:t>
            </w:r>
          </w:p>
        </w:tc>
        <w:tc>
          <w:tcPr>
            <w:tcW w:w="2551" w:type="dxa"/>
            <w:vAlign w:val="center"/>
          </w:tcPr>
          <w:p>
            <w:pPr>
              <w:pStyle w:val="11"/>
            </w:pPr>
          </w:p>
        </w:tc>
        <w:tc>
          <w:tcPr>
            <w:tcW w:w="2551" w:type="dxa"/>
            <w:vAlign w:val="center"/>
          </w:tcPr>
          <w:p>
            <w:pPr>
              <w:pStyle w:val="11"/>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95207.00</w:t>
            </w:r>
          </w:p>
        </w:tc>
        <w:tc>
          <w:tcPr>
            <w:tcW w:w="2551" w:type="dxa"/>
            <w:vAlign w:val="center"/>
          </w:tcPr>
          <w:p>
            <w:pPr>
              <w:pStyle w:val="11"/>
            </w:pPr>
          </w:p>
        </w:tc>
        <w:tc>
          <w:tcPr>
            <w:tcW w:w="2551" w:type="dxa"/>
            <w:vAlign w:val="center"/>
          </w:tcPr>
          <w:p>
            <w:pPr>
              <w:pStyle w:val="11"/>
            </w:pPr>
            <w:r>
              <w:t>95207.00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179880.00</w:t>
            </w:r>
          </w:p>
        </w:tc>
        <w:tc>
          <w:tcPr>
            <w:tcW w:w="2551" w:type="dxa"/>
            <w:vAlign w:val="center"/>
          </w:tcPr>
          <w:p>
            <w:pPr>
              <w:pStyle w:val="11"/>
            </w:pPr>
          </w:p>
        </w:tc>
        <w:tc>
          <w:tcPr>
            <w:tcW w:w="2551" w:type="dxa"/>
            <w:vAlign w:val="center"/>
          </w:tcPr>
          <w:p>
            <w:pPr>
              <w:pStyle w:val="11"/>
            </w:pPr>
            <w:r>
              <w:t>179880.00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8100.00</w:t>
            </w:r>
          </w:p>
        </w:tc>
        <w:tc>
          <w:tcPr>
            <w:tcW w:w="2551" w:type="dxa"/>
            <w:vAlign w:val="center"/>
          </w:tcPr>
          <w:p>
            <w:pPr>
              <w:pStyle w:val="11"/>
            </w:pPr>
          </w:p>
        </w:tc>
        <w:tc>
          <w:tcPr>
            <w:tcW w:w="2551" w:type="dxa"/>
            <w:vAlign w:val="center"/>
          </w:tcPr>
          <w:p>
            <w:pPr>
              <w:pStyle w:val="11"/>
            </w:pPr>
            <w:r>
              <w:t>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724539.40</w:t>
            </w:r>
          </w:p>
        </w:tc>
        <w:tc>
          <w:tcPr>
            <w:tcW w:w="2551" w:type="dxa"/>
            <w:vAlign w:val="center"/>
          </w:tcPr>
          <w:p>
            <w:pPr>
              <w:pStyle w:val="11"/>
            </w:pPr>
            <w:r>
              <w:t>724539.40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724539.40</w:t>
            </w:r>
          </w:p>
        </w:tc>
        <w:tc>
          <w:tcPr>
            <w:tcW w:w="2551" w:type="dxa"/>
            <w:vAlign w:val="center"/>
          </w:tcPr>
          <w:p>
            <w:pPr>
              <w:pStyle w:val="11"/>
            </w:pPr>
            <w:r>
              <w:t>724539.40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205207.00</w:t>
            </w:r>
          </w:p>
        </w:tc>
        <w:tc>
          <w:tcPr>
            <w:tcW w:w="2381" w:type="dxa"/>
            <w:vAlign w:val="center"/>
          </w:tcPr>
          <w:p>
            <w:pPr>
              <w:pStyle w:val="15"/>
            </w:pPr>
            <w:r>
              <w:t>205207.00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205207.00</w:t>
            </w:r>
          </w:p>
        </w:tc>
        <w:tc>
          <w:tcPr>
            <w:tcW w:w="2381" w:type="dxa"/>
            <w:vAlign w:val="center"/>
          </w:tcPr>
          <w:p>
            <w:pPr>
              <w:pStyle w:val="11"/>
            </w:pPr>
            <w:r>
              <w:t>205207.00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95207.00</w:t>
            </w:r>
          </w:p>
        </w:tc>
        <w:tc>
          <w:tcPr>
            <w:tcW w:w="2381" w:type="dxa"/>
            <w:vAlign w:val="center"/>
          </w:tcPr>
          <w:p>
            <w:pPr>
              <w:pStyle w:val="11"/>
            </w:pPr>
            <w:r>
              <w:t>95207.00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95207.00</w:t>
            </w:r>
          </w:p>
        </w:tc>
        <w:tc>
          <w:tcPr>
            <w:tcW w:w="2381" w:type="dxa"/>
            <w:vAlign w:val="center"/>
          </w:tcPr>
          <w:p>
            <w:pPr>
              <w:pStyle w:val="11"/>
            </w:pPr>
            <w:r>
              <w:t>95207.00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110000.00</w:t>
            </w:r>
          </w:p>
        </w:tc>
        <w:tc>
          <w:tcPr>
            <w:tcW w:w="2381" w:type="dxa"/>
            <w:vAlign w:val="center"/>
          </w:tcPr>
          <w:p>
            <w:pPr>
              <w:pStyle w:val="11"/>
            </w:pPr>
            <w:r>
              <w:t>110000.00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井陉县人民代表大会常务委员会办公室2026年单位预算信息公开情况说明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按照《中华人民共和国预算法》、《地方预决算公开操作规程》和《关于进一步推进预算公开工作的实施意见》规定，现将井陉县人民代表大会常务委员会办公室2026年单位预算公开如下：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井陉县人大常委会办公室本级是井陉县人民代表大会的常设机关。依照宪法和地方组织法的规定，井陉县人民代表大会常务委员会行使下列职权：</w:t>
      </w:r>
    </w:p>
    <w:p>
      <w:pPr>
        <w:pStyle w:val="17"/>
      </w:pPr>
      <w:r>
        <w:t>（一）、人大监督</w:t>
      </w:r>
    </w:p>
    <w:p>
      <w:pPr>
        <w:pStyle w:val="17"/>
      </w:pPr>
      <w:r>
        <w:t>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组织专门委员会委员、各工作委员会及特聘专家进行对法律实施情况进行执法检查；组织县人大常委及县人大代表进行执法检查和集中视察；开展代表建议督办；组织对常委及代表培训。发挥常委及代表的作用，集中反映民意，促进依法履职。</w:t>
      </w:r>
    </w:p>
    <w:p>
      <w:pPr>
        <w:pStyle w:val="17"/>
      </w:pPr>
      <w:r>
        <w:t>（二）、人大会议</w:t>
      </w:r>
    </w:p>
    <w:p>
      <w:pPr>
        <w:pStyle w:val="17"/>
      </w:pPr>
      <w:r>
        <w:t>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承担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w:t>
      </w:r>
    </w:p>
    <w:p>
      <w:pPr>
        <w:pStyle w:val="17"/>
      </w:pPr>
      <w:r>
        <w:t>（三）、选举和任免</w:t>
      </w:r>
    </w:p>
    <w:p>
      <w:pPr>
        <w:pStyle w:val="17"/>
      </w:pPr>
      <w:r>
        <w:t>检查监督代表法、选举法及其实施办法的贯彻实施；承担人大换届选举及人事任免服务工作；负责对县政府组成人员和县级人民法院、县人民检察院主要负责人的目标责任书、述职报告的督办工作。确保换届选举工作顺利完成，实现省市和县委人事安排部署；提高组织换届选举工作水平。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确保县人大和乡人大换届选举工作顺利完成，提高组织换届选举工作水平；高质量完成国家机关领导人选举和常委会人事任免服务工作；高效督办有关单位负责人的目标责任书和述职报告。</w:t>
      </w:r>
    </w:p>
    <w:p>
      <w:pPr>
        <w:pStyle w:val="17"/>
      </w:pPr>
      <w:r>
        <w:t>（四）、人大事务管理</w:t>
      </w:r>
    </w:p>
    <w:p>
      <w:pPr>
        <w:pStyle w:val="17"/>
      </w:pPr>
      <w:r>
        <w:t>新闻宣传和机关信息化建设与维护；人代会及常委会会议表决系统、机关基础设施建设与维护；县人大机关日常管理事务；公报、年检的编辑印刷；信访工作。促进机关自身建设、服务保障能力进一步提升。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保障新闻宣传与新闻发布工作正常开展，提高人大信息透明度和影响力；保障会议表决系统正常运转；网络与办公平台正常运行；促进社会和谐稳定。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机关基础设施设备正常运转，信息化保障、老干部服务保障能力进一步提高。</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井陉县人民代表大会常务委员会办公室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反映本单位当年全部收入。2026年预算收入6428204.28元，其中：一般公共预算收入6428204.28元，基金预算收入0.00元，国有资本经营预算收入0.00元，财政专户核拨收入0.00元，单位资金收入0.00元，上年结转结余0.00元。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人民代表大会常务委员会办公室年度单位预算中支出预算的总体情况。2026年支出预算6428204.28元，其中基本支出5623287.40元，包括人员经费5035900.40元和日常公用经费587387.00元；项目支出804916.88元，主要为其他个人部分支出94916.88元，人大报刊费40000元，人大代表活动经费80000元，人大代表之家建设经费90000元，人大会议经费190000元，人大专门委员会工作经费60000元，县乡两级换届选举经费50000元，十九届一次人代会经费200000元。；预计下年使用的单位资金结余0.00元。委托业务费共计安排0.00元，主要用于因技术原因确需对外委托的辅助性工作和确有必要对外委托开展咨询、评审、规划等工作。</w:t>
      </w:r>
    </w:p>
    <w:p>
      <w:pPr>
        <w:pStyle w:val="18"/>
      </w:pPr>
      <w:r>
        <w:t>3、比上年增减情况</w:t>
      </w:r>
    </w:p>
    <w:p>
      <w:pPr>
        <w:pStyle w:val="18"/>
      </w:pPr>
      <w:r>
        <w:t>2026年预算收支安排6428204.28元，较2025年预算增加539831.23元，其中：基本支出增加204914.35元，主要为人员变动。项目支出增加334916.88元，主要为本年度为换届年，增加换届选举经费及增开一次人代会会议</w:t>
      </w:r>
      <w:r>
        <w:rPr>
          <w:rFonts w:hint="eastAsia"/>
          <w:lang w:eastAsia="zh-CN"/>
        </w:rPr>
        <w:t>经费</w:t>
      </w:r>
      <w:r>
        <w:t>。增加劳务派遣人员经费。预计下年使用的单位资金结余增加0.00元。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2026年，我单位机关运行经费共计安排587387.00元，主要用于日常维修、办公用房水电费、办公用房取暖费、办公用房物业管理费等日常运行支出。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205207.00元，其中因公出国（境）费0.00元；公务用车购置及运维费95207.00元（其中：公务用车购置费为0.00元，公务用车运维费95207.00元)；公务接待费110000.00元。与2025年相比减少9793.00元，增减变化的主要原因是按照政府过紧日子要求，压缩“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1、2026年人大报刊费绩效目标表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13012126P00114210001Q</w:t>
            </w:r>
          </w:p>
        </w:tc>
        <w:tc>
          <w:tcPr>
            <w:tcW w:w="2835" w:type="dxa"/>
            <w:vAlign w:val="center"/>
          </w:tcPr>
          <w:p>
            <w:pPr>
              <w:pStyle w:val="10"/>
            </w:pPr>
            <w:r>
              <w:t>项目名称</w:t>
            </w:r>
          </w:p>
        </w:tc>
        <w:tc>
          <w:tcPr>
            <w:tcW w:w="6095" w:type="dxa"/>
            <w:gridSpan w:val="3"/>
            <w:vAlign w:val="center"/>
          </w:tcPr>
          <w:p>
            <w:pPr>
              <w:pStyle w:val="12"/>
            </w:pPr>
            <w:r>
              <w:t>2026年人大报刊费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为人大代表及机关订阅《中国人大》等报刊杂志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pPr>
              <w:pStyle w:val="13"/>
            </w:pPr>
            <w:r>
              <w:rPr>
                <w:rFonts w:hint="eastAsia"/>
                <w:lang w:val="en-US" w:eastAsia="zh-CN"/>
              </w:rPr>
              <w:t>50%</w:t>
            </w:r>
            <w:r>
              <w:t xml:space="preserve"> </w:t>
            </w:r>
          </w:p>
        </w:tc>
        <w:tc>
          <w:tcPr>
            <w:tcW w:w="2551" w:type="dxa"/>
            <w:vAlign w:val="center"/>
          </w:tcPr>
          <w:p>
            <w:pPr>
              <w:pStyle w:val="13"/>
            </w:pPr>
            <w:r>
              <w:rPr>
                <w:rFonts w:hint="eastAsia"/>
                <w:lang w:val="en-US" w:eastAsia="zh-CN"/>
              </w:rPr>
              <w:t>75%</w:t>
            </w: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1.为193名代表及机关工作订阅党报党刊，中国人大、公民与法制等学习资料，提高</w:t>
            </w:r>
            <w:r>
              <w:rPr>
                <w:rFonts w:hint="eastAsia"/>
                <w:lang w:eastAsia="zh-CN"/>
              </w:rPr>
              <w:t>个人</w:t>
            </w:r>
            <w:r>
              <w:t>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报刊数量</w:t>
            </w:r>
          </w:p>
        </w:tc>
        <w:tc>
          <w:tcPr>
            <w:tcW w:w="5386" w:type="dxa"/>
            <w:vAlign w:val="center"/>
          </w:tcPr>
          <w:p>
            <w:pPr>
              <w:pStyle w:val="12"/>
            </w:pPr>
            <w:r>
              <w:t>全国及省市人大杂志、党报党刊订阅份数</w:t>
            </w:r>
          </w:p>
        </w:tc>
        <w:tc>
          <w:tcPr>
            <w:tcW w:w="2268" w:type="dxa"/>
            <w:vAlign w:val="center"/>
          </w:tcPr>
          <w:p>
            <w:pPr>
              <w:pStyle w:val="12"/>
            </w:pPr>
            <w:r>
              <w:t>≥10份</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学习资料发放率</w:t>
            </w:r>
          </w:p>
        </w:tc>
        <w:tc>
          <w:tcPr>
            <w:tcW w:w="5386" w:type="dxa"/>
            <w:vAlign w:val="center"/>
          </w:tcPr>
          <w:p>
            <w:pPr>
              <w:pStyle w:val="12"/>
            </w:pPr>
            <w:r>
              <w:t>学习资料发放率</w:t>
            </w:r>
          </w:p>
        </w:tc>
        <w:tc>
          <w:tcPr>
            <w:tcW w:w="2268" w:type="dxa"/>
            <w:vAlign w:val="center"/>
          </w:tcPr>
          <w:p>
            <w:pPr>
              <w:pStyle w:val="12"/>
            </w:pPr>
            <w:r>
              <w:t>≥95％</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报刊订阅时长</w:t>
            </w:r>
          </w:p>
        </w:tc>
        <w:tc>
          <w:tcPr>
            <w:tcW w:w="5386" w:type="dxa"/>
            <w:vAlign w:val="center"/>
          </w:tcPr>
          <w:p>
            <w:pPr>
              <w:pStyle w:val="12"/>
            </w:pPr>
            <w:r>
              <w:t>各类报刊订阅时长</w:t>
            </w:r>
          </w:p>
        </w:tc>
        <w:tc>
          <w:tcPr>
            <w:tcW w:w="2268" w:type="dxa"/>
            <w:vAlign w:val="center"/>
          </w:tcPr>
          <w:p>
            <w:pPr>
              <w:pStyle w:val="12"/>
            </w:pPr>
            <w:r>
              <w:t>1年</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人均报刊费</w:t>
            </w:r>
          </w:p>
        </w:tc>
        <w:tc>
          <w:tcPr>
            <w:tcW w:w="5386" w:type="dxa"/>
            <w:vAlign w:val="center"/>
          </w:tcPr>
          <w:p>
            <w:pPr>
              <w:pStyle w:val="12"/>
            </w:pPr>
            <w:r>
              <w:t>报刊订阅人均费用</w:t>
            </w:r>
          </w:p>
        </w:tc>
        <w:tc>
          <w:tcPr>
            <w:tcW w:w="2268" w:type="dxa"/>
            <w:vAlign w:val="center"/>
          </w:tcPr>
          <w:p>
            <w:pPr>
              <w:pStyle w:val="12"/>
            </w:pPr>
            <w:r>
              <w:t>≥100元/人</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提高代表及工作人员理论水平</w:t>
            </w:r>
          </w:p>
        </w:tc>
        <w:tc>
          <w:tcPr>
            <w:tcW w:w="5386" w:type="dxa"/>
            <w:vAlign w:val="center"/>
          </w:tcPr>
          <w:p>
            <w:pPr>
              <w:pStyle w:val="12"/>
            </w:pPr>
            <w:r>
              <w:t>理论水平持续提升</w:t>
            </w:r>
          </w:p>
        </w:tc>
        <w:tc>
          <w:tcPr>
            <w:tcW w:w="2268" w:type="dxa"/>
            <w:vAlign w:val="center"/>
          </w:tcPr>
          <w:p>
            <w:pPr>
              <w:pStyle w:val="12"/>
            </w:pPr>
            <w:r>
              <w:t>100％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2、2026年人大代表活动经费绩效目标表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13012126P001141100013</w:t>
            </w:r>
          </w:p>
        </w:tc>
        <w:tc>
          <w:tcPr>
            <w:tcW w:w="2835" w:type="dxa"/>
            <w:vAlign w:val="center"/>
          </w:tcPr>
          <w:p>
            <w:pPr>
              <w:pStyle w:val="10"/>
            </w:pPr>
            <w:r>
              <w:t>项目名称</w:t>
            </w:r>
          </w:p>
        </w:tc>
        <w:tc>
          <w:tcPr>
            <w:tcW w:w="6095" w:type="dxa"/>
            <w:gridSpan w:val="3"/>
            <w:vAlign w:val="center"/>
          </w:tcPr>
          <w:p>
            <w:pPr>
              <w:pStyle w:val="12"/>
            </w:pPr>
            <w:r>
              <w:t>2026年人大代表活动经费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用于人大代表活动产生的各种费用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1.通过保障调研和视察活动正常开展，保证省市县乡四级人大代表履行宪法和法律赋予的职能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开展调研活动次数</w:t>
            </w:r>
          </w:p>
        </w:tc>
        <w:tc>
          <w:tcPr>
            <w:tcW w:w="5386" w:type="dxa"/>
            <w:vAlign w:val="center"/>
          </w:tcPr>
          <w:p>
            <w:pPr>
              <w:pStyle w:val="12"/>
            </w:pPr>
            <w:r>
              <w:t>闭会期间代表参加调研活动次数</w:t>
            </w:r>
          </w:p>
        </w:tc>
        <w:tc>
          <w:tcPr>
            <w:tcW w:w="2268" w:type="dxa"/>
            <w:vAlign w:val="center"/>
          </w:tcPr>
          <w:p>
            <w:pPr>
              <w:pStyle w:val="12"/>
            </w:pPr>
            <w:r>
              <w:t>≥10次</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调研活动正常开展率</w:t>
            </w:r>
          </w:p>
        </w:tc>
        <w:tc>
          <w:tcPr>
            <w:tcW w:w="5386" w:type="dxa"/>
            <w:vAlign w:val="center"/>
          </w:tcPr>
          <w:p>
            <w:pPr>
              <w:pStyle w:val="12"/>
            </w:pPr>
            <w:r>
              <w:t>调研活动正常开展情况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完成法定调研时间节点</w:t>
            </w:r>
          </w:p>
        </w:tc>
        <w:tc>
          <w:tcPr>
            <w:tcW w:w="5386" w:type="dxa"/>
            <w:vAlign w:val="center"/>
          </w:tcPr>
          <w:p>
            <w:pPr>
              <w:pStyle w:val="12"/>
            </w:pPr>
            <w:r>
              <w:t>完成法定调研时间节点</w:t>
            </w:r>
          </w:p>
        </w:tc>
        <w:tc>
          <w:tcPr>
            <w:tcW w:w="2268" w:type="dxa"/>
            <w:vAlign w:val="center"/>
          </w:tcPr>
          <w:p>
            <w:pPr>
              <w:pStyle w:val="12"/>
            </w:pPr>
            <w:r>
              <w:t>2026年12月</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开展调研活动的人均成本</w:t>
            </w:r>
          </w:p>
        </w:tc>
        <w:tc>
          <w:tcPr>
            <w:tcW w:w="5386" w:type="dxa"/>
            <w:vAlign w:val="center"/>
          </w:tcPr>
          <w:p>
            <w:pPr>
              <w:pStyle w:val="12"/>
            </w:pPr>
            <w:r>
              <w:t>开展调研活动的人均成本</w:t>
            </w:r>
          </w:p>
        </w:tc>
        <w:tc>
          <w:tcPr>
            <w:tcW w:w="2268" w:type="dxa"/>
            <w:vAlign w:val="center"/>
          </w:tcPr>
          <w:p>
            <w:pPr>
              <w:pStyle w:val="12"/>
            </w:pPr>
            <w:r>
              <w:t>≤500元/人</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时差问题整改率</w:t>
            </w:r>
          </w:p>
        </w:tc>
        <w:tc>
          <w:tcPr>
            <w:tcW w:w="5386" w:type="dxa"/>
            <w:vAlign w:val="center"/>
          </w:tcPr>
          <w:p>
            <w:pPr>
              <w:pStyle w:val="12"/>
            </w:pPr>
            <w:r>
              <w:t>视察问题整改情况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人大代表满意度</w:t>
            </w:r>
          </w:p>
        </w:tc>
        <w:tc>
          <w:tcPr>
            <w:tcW w:w="5386" w:type="dxa"/>
            <w:vAlign w:val="center"/>
          </w:tcPr>
          <w:p>
            <w:pPr>
              <w:pStyle w:val="12"/>
            </w:pPr>
            <w:r>
              <w:t>各级人大代表满意度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3、2026年人大代表之家建设经费绩效目标表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13012126P001139100019</w:t>
            </w:r>
          </w:p>
        </w:tc>
        <w:tc>
          <w:tcPr>
            <w:tcW w:w="2835" w:type="dxa"/>
            <w:vAlign w:val="center"/>
          </w:tcPr>
          <w:p>
            <w:pPr>
              <w:pStyle w:val="10"/>
            </w:pPr>
            <w:r>
              <w:t>项目名称</w:t>
            </w:r>
          </w:p>
        </w:tc>
        <w:tc>
          <w:tcPr>
            <w:tcW w:w="6095" w:type="dxa"/>
            <w:gridSpan w:val="3"/>
            <w:vAlign w:val="center"/>
          </w:tcPr>
          <w:p>
            <w:pPr>
              <w:pStyle w:val="12"/>
            </w:pPr>
            <w:r>
              <w:t>2026年人大代表之家建设经费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90000.00</w:t>
            </w:r>
          </w:p>
        </w:tc>
        <w:tc>
          <w:tcPr>
            <w:tcW w:w="2835" w:type="dxa"/>
            <w:vAlign w:val="center"/>
          </w:tcPr>
          <w:p>
            <w:pPr>
              <w:pStyle w:val="10"/>
            </w:pPr>
            <w:r>
              <w:t>其中：财政    资金</w:t>
            </w:r>
          </w:p>
        </w:tc>
        <w:tc>
          <w:tcPr>
            <w:tcW w:w="2551" w:type="dxa"/>
            <w:vAlign w:val="center"/>
          </w:tcPr>
          <w:p>
            <w:pPr>
              <w:pStyle w:val="12"/>
            </w:pPr>
            <w:r>
              <w:t>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云视频维护费及代表家站正常运行产生的费用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1.通过制定制度开展代表活动，对代表之家站进行运行维护工作。</w:t>
            </w:r>
          </w:p>
          <w:p>
            <w:pPr>
              <w:pStyle w:val="12"/>
            </w:pPr>
            <w:r>
              <w:t>2.通过对云视频系统进行维护，保障会议正常召开。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维护架站数量</w:t>
            </w:r>
          </w:p>
        </w:tc>
        <w:tc>
          <w:tcPr>
            <w:tcW w:w="5386" w:type="dxa"/>
            <w:vAlign w:val="center"/>
          </w:tcPr>
          <w:p>
            <w:pPr>
              <w:pStyle w:val="12"/>
            </w:pPr>
            <w:r>
              <w:t>代表家站现有数量</w:t>
            </w:r>
          </w:p>
        </w:tc>
        <w:tc>
          <w:tcPr>
            <w:tcW w:w="2268" w:type="dxa"/>
            <w:vAlign w:val="center"/>
          </w:tcPr>
          <w:p>
            <w:pPr>
              <w:pStyle w:val="12"/>
            </w:pPr>
            <w:r>
              <w:t>≥17个</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家站运行覆盖率</w:t>
            </w:r>
          </w:p>
        </w:tc>
        <w:tc>
          <w:tcPr>
            <w:tcW w:w="5386" w:type="dxa"/>
            <w:vAlign w:val="center"/>
          </w:tcPr>
          <w:p>
            <w:pPr>
              <w:pStyle w:val="12"/>
            </w:pPr>
            <w:r>
              <w:t>家站正常运转情况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运行维护家站时间</w:t>
            </w:r>
          </w:p>
        </w:tc>
        <w:tc>
          <w:tcPr>
            <w:tcW w:w="5386" w:type="dxa"/>
            <w:vAlign w:val="center"/>
          </w:tcPr>
          <w:p>
            <w:pPr>
              <w:pStyle w:val="12"/>
            </w:pPr>
            <w:r>
              <w:t>运行维护家站时间</w:t>
            </w:r>
          </w:p>
        </w:tc>
        <w:tc>
          <w:tcPr>
            <w:tcW w:w="2268" w:type="dxa"/>
            <w:vAlign w:val="center"/>
          </w:tcPr>
          <w:p>
            <w:pPr>
              <w:pStyle w:val="12"/>
            </w:pPr>
            <w:r>
              <w:t>1年</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家站运行的平均成本</w:t>
            </w:r>
          </w:p>
        </w:tc>
        <w:tc>
          <w:tcPr>
            <w:tcW w:w="5386" w:type="dxa"/>
            <w:vAlign w:val="center"/>
          </w:tcPr>
          <w:p>
            <w:pPr>
              <w:pStyle w:val="12"/>
            </w:pPr>
            <w:r>
              <w:t>一个代表家站成本情况</w:t>
            </w:r>
          </w:p>
        </w:tc>
        <w:tc>
          <w:tcPr>
            <w:tcW w:w="2268" w:type="dxa"/>
            <w:vAlign w:val="center"/>
          </w:tcPr>
          <w:p>
            <w:pPr>
              <w:pStyle w:val="12"/>
            </w:pPr>
            <w:r>
              <w:t>≤1万元/个</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家站正常运转率</w:t>
            </w:r>
          </w:p>
        </w:tc>
        <w:tc>
          <w:tcPr>
            <w:tcW w:w="5386" w:type="dxa"/>
            <w:vAlign w:val="center"/>
          </w:tcPr>
          <w:p>
            <w:pPr>
              <w:pStyle w:val="12"/>
            </w:pPr>
            <w:r>
              <w:t>家站正常运转情况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基层代表和人民群众满意度</w:t>
            </w:r>
          </w:p>
        </w:tc>
        <w:tc>
          <w:tcPr>
            <w:tcW w:w="5386" w:type="dxa"/>
            <w:vAlign w:val="center"/>
          </w:tcPr>
          <w:p>
            <w:pPr>
              <w:pStyle w:val="12"/>
            </w:pPr>
            <w:r>
              <w:t>基层代表和人民群众满意度</w:t>
            </w:r>
          </w:p>
        </w:tc>
        <w:tc>
          <w:tcPr>
            <w:tcW w:w="2268" w:type="dxa"/>
            <w:vAlign w:val="center"/>
          </w:tcPr>
          <w:p>
            <w:pPr>
              <w:pStyle w:val="12"/>
            </w:pPr>
            <w:r>
              <w:t>≥95％</w:t>
            </w:r>
          </w:p>
        </w:tc>
        <w:tc>
          <w:tcPr>
            <w:tcW w:w="1276" w:type="dxa"/>
            <w:vAlign w:val="center"/>
          </w:tcPr>
          <w:p>
            <w:pPr>
              <w:pStyle w:val="12"/>
            </w:pPr>
            <w:r>
              <w:t>2026年机关工作计划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4、2026年人大专门委员会工作经费绩效目标表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13012126P00114010001D</w:t>
            </w:r>
          </w:p>
        </w:tc>
        <w:tc>
          <w:tcPr>
            <w:tcW w:w="2835" w:type="dxa"/>
            <w:vAlign w:val="center"/>
          </w:tcPr>
          <w:p>
            <w:pPr>
              <w:pStyle w:val="10"/>
            </w:pPr>
            <w:r>
              <w:t>项目名称</w:t>
            </w:r>
          </w:p>
        </w:tc>
        <w:tc>
          <w:tcPr>
            <w:tcW w:w="6095" w:type="dxa"/>
            <w:gridSpan w:val="3"/>
            <w:vAlign w:val="center"/>
          </w:tcPr>
          <w:p>
            <w:pPr>
              <w:pStyle w:val="12"/>
            </w:pPr>
            <w:r>
              <w:t>2026年人大专门委员会工作经费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w:t>
            </w:r>
          </w:p>
        </w:tc>
        <w:tc>
          <w:tcPr>
            <w:tcW w:w="2835" w:type="dxa"/>
            <w:vAlign w:val="center"/>
          </w:tcPr>
          <w:p>
            <w:pPr>
              <w:pStyle w:val="10"/>
            </w:pPr>
            <w:r>
              <w:t>其中：财政    资金</w:t>
            </w:r>
          </w:p>
        </w:tc>
        <w:tc>
          <w:tcPr>
            <w:tcW w:w="2551" w:type="dxa"/>
            <w:vAlign w:val="center"/>
          </w:tcPr>
          <w:p>
            <w:pPr>
              <w:pStyle w:val="12"/>
            </w:pPr>
            <w:r>
              <w:t>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预算联网监督维护费，专委会监督活动中产生的费用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1.通过保障5个专门委员会正常开展调研实践工作，综合运用行之有效的监督方式，加大监督力度，提高监督实效。</w:t>
            </w:r>
          </w:p>
          <w:p>
            <w:pPr>
              <w:pStyle w:val="12"/>
            </w:pPr>
            <w:r>
              <w:t>2.通过对预算联网监督系统进行维护，保障监督工作顺利进行。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保障专委会数量</w:t>
            </w:r>
          </w:p>
        </w:tc>
        <w:tc>
          <w:tcPr>
            <w:tcW w:w="5386" w:type="dxa"/>
            <w:vAlign w:val="center"/>
          </w:tcPr>
          <w:p>
            <w:pPr>
              <w:pStyle w:val="12"/>
            </w:pPr>
            <w:r>
              <w:t>开展视察调研等监督活动</w:t>
            </w:r>
          </w:p>
        </w:tc>
        <w:tc>
          <w:tcPr>
            <w:tcW w:w="2268" w:type="dxa"/>
            <w:vAlign w:val="center"/>
          </w:tcPr>
          <w:p>
            <w:pPr>
              <w:pStyle w:val="12"/>
            </w:pPr>
            <w:r>
              <w:t>5个</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专委会调研活动正常开展</w:t>
            </w:r>
          </w:p>
        </w:tc>
        <w:tc>
          <w:tcPr>
            <w:tcW w:w="5386" w:type="dxa"/>
            <w:vAlign w:val="center"/>
          </w:tcPr>
          <w:p>
            <w:pPr>
              <w:pStyle w:val="12"/>
            </w:pPr>
            <w:r>
              <w:t>开展多种形式的监督活动</w:t>
            </w:r>
          </w:p>
        </w:tc>
        <w:tc>
          <w:tcPr>
            <w:tcW w:w="2268" w:type="dxa"/>
            <w:vAlign w:val="center"/>
          </w:tcPr>
          <w:p>
            <w:pPr>
              <w:pStyle w:val="12"/>
            </w:pPr>
            <w:r>
              <w:t>≥90％</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完成调研活动时间</w:t>
            </w:r>
          </w:p>
        </w:tc>
        <w:tc>
          <w:tcPr>
            <w:tcW w:w="5386" w:type="dxa"/>
            <w:vAlign w:val="center"/>
          </w:tcPr>
          <w:p>
            <w:pPr>
              <w:pStyle w:val="12"/>
            </w:pPr>
            <w:r>
              <w:t>完成调研活动的时间节点</w:t>
            </w:r>
          </w:p>
        </w:tc>
        <w:tc>
          <w:tcPr>
            <w:tcW w:w="2268" w:type="dxa"/>
            <w:vAlign w:val="center"/>
          </w:tcPr>
          <w:p>
            <w:pPr>
              <w:pStyle w:val="12"/>
            </w:pPr>
            <w:r>
              <w:t>2026年12月</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专委会调研工作开展平均成本</w:t>
            </w:r>
          </w:p>
        </w:tc>
        <w:tc>
          <w:tcPr>
            <w:tcW w:w="5386" w:type="dxa"/>
            <w:vAlign w:val="center"/>
          </w:tcPr>
          <w:p>
            <w:pPr>
              <w:pStyle w:val="12"/>
            </w:pPr>
            <w:r>
              <w:t>每个专委会工作开展平均成本</w:t>
            </w:r>
          </w:p>
        </w:tc>
        <w:tc>
          <w:tcPr>
            <w:tcW w:w="2268" w:type="dxa"/>
            <w:vAlign w:val="center"/>
          </w:tcPr>
          <w:p>
            <w:pPr>
              <w:pStyle w:val="12"/>
            </w:pPr>
            <w:r>
              <w:t>≤1万元</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视察问题整改率</w:t>
            </w:r>
          </w:p>
        </w:tc>
        <w:tc>
          <w:tcPr>
            <w:tcW w:w="5386" w:type="dxa"/>
            <w:vAlign w:val="center"/>
          </w:tcPr>
          <w:p>
            <w:pPr>
              <w:pStyle w:val="12"/>
            </w:pPr>
            <w:r>
              <w:t>视察问题整改情况</w:t>
            </w:r>
          </w:p>
        </w:tc>
        <w:tc>
          <w:tcPr>
            <w:tcW w:w="2268" w:type="dxa"/>
            <w:vAlign w:val="center"/>
          </w:tcPr>
          <w:p>
            <w:pPr>
              <w:pStyle w:val="12"/>
            </w:pPr>
            <w:r>
              <w:t>≥90％</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对专委会监督工作群众的满意水平</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5、2026年十八届人大七次会议经费绩效目标表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13012126P00N49X10006M</w:t>
            </w:r>
          </w:p>
        </w:tc>
        <w:tc>
          <w:tcPr>
            <w:tcW w:w="2835" w:type="dxa"/>
            <w:vAlign w:val="center"/>
          </w:tcPr>
          <w:p>
            <w:pPr>
              <w:pStyle w:val="10"/>
            </w:pPr>
            <w:r>
              <w:t>项目名称</w:t>
            </w:r>
          </w:p>
        </w:tc>
        <w:tc>
          <w:tcPr>
            <w:tcW w:w="6095" w:type="dxa"/>
            <w:gridSpan w:val="3"/>
            <w:vAlign w:val="center"/>
          </w:tcPr>
          <w:p>
            <w:pPr>
              <w:pStyle w:val="12"/>
            </w:pPr>
            <w:r>
              <w:t>2026年十八届人大七次会议经费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190000.00</w:t>
            </w:r>
          </w:p>
        </w:tc>
        <w:tc>
          <w:tcPr>
            <w:tcW w:w="2835" w:type="dxa"/>
            <w:vAlign w:val="center"/>
          </w:tcPr>
          <w:p>
            <w:pPr>
              <w:pStyle w:val="10"/>
            </w:pPr>
            <w:r>
              <w:t>其中：财政    资金</w:t>
            </w:r>
          </w:p>
        </w:tc>
        <w:tc>
          <w:tcPr>
            <w:tcW w:w="2551" w:type="dxa"/>
            <w:vAlign w:val="center"/>
          </w:tcPr>
          <w:p>
            <w:pPr>
              <w:pStyle w:val="12"/>
            </w:pPr>
            <w:r>
              <w:t>190000.00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十八届人大七次会议期间代表食宿，会议印刷机各种</w:t>
            </w:r>
            <w:r>
              <w:rPr>
                <w:rFonts w:hint="eastAsia"/>
                <w:lang w:eastAsia="zh-CN"/>
              </w:rPr>
              <w:t>耗材</w:t>
            </w:r>
            <w:bookmarkStart w:id="2" w:name="_GoBack"/>
            <w:bookmarkEnd w:id="2"/>
            <w:r>
              <w:t>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1.开展人代会会务工作，保障人代会正常开展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保障会议次数</w:t>
            </w:r>
          </w:p>
        </w:tc>
        <w:tc>
          <w:tcPr>
            <w:tcW w:w="5386" w:type="dxa"/>
            <w:vAlign w:val="center"/>
          </w:tcPr>
          <w:p>
            <w:pPr>
              <w:pStyle w:val="12"/>
            </w:pPr>
            <w:r>
              <w:t>保障人代会正常召开</w:t>
            </w:r>
          </w:p>
        </w:tc>
        <w:tc>
          <w:tcPr>
            <w:tcW w:w="2268" w:type="dxa"/>
            <w:vAlign w:val="center"/>
          </w:tcPr>
          <w:p>
            <w:pPr>
              <w:pStyle w:val="12"/>
            </w:pPr>
            <w:r>
              <w:t>1次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会议正常开展率</w:t>
            </w:r>
          </w:p>
        </w:tc>
        <w:tc>
          <w:tcPr>
            <w:tcW w:w="5386" w:type="dxa"/>
            <w:vAlign w:val="center"/>
          </w:tcPr>
          <w:p>
            <w:pPr>
              <w:pStyle w:val="12"/>
            </w:pPr>
            <w:r>
              <w:t>人代会正常开展情况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会议时间</w:t>
            </w:r>
          </w:p>
        </w:tc>
        <w:tc>
          <w:tcPr>
            <w:tcW w:w="5386" w:type="dxa"/>
            <w:vAlign w:val="center"/>
          </w:tcPr>
          <w:p>
            <w:pPr>
              <w:pStyle w:val="12"/>
            </w:pPr>
            <w:r>
              <w:t>人代会开展时间</w:t>
            </w:r>
          </w:p>
        </w:tc>
        <w:tc>
          <w:tcPr>
            <w:tcW w:w="2268" w:type="dxa"/>
            <w:vAlign w:val="center"/>
          </w:tcPr>
          <w:p>
            <w:pPr>
              <w:pStyle w:val="12"/>
            </w:pPr>
            <w:r>
              <w:t>2024年3月</w:t>
            </w:r>
          </w:p>
        </w:tc>
        <w:tc>
          <w:tcPr>
            <w:tcW w:w="1276" w:type="dxa"/>
            <w:vAlign w:val="center"/>
          </w:tcPr>
          <w:p>
            <w:pPr>
              <w:pStyle w:val="12"/>
            </w:pPr>
            <w:r>
              <w:t>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人均会议费成本</w:t>
            </w:r>
          </w:p>
        </w:tc>
        <w:tc>
          <w:tcPr>
            <w:tcW w:w="5386" w:type="dxa"/>
            <w:vAlign w:val="center"/>
          </w:tcPr>
          <w:p>
            <w:pPr>
              <w:pStyle w:val="12"/>
            </w:pPr>
            <w:r>
              <w:t>人均会议费成本水平</w:t>
            </w:r>
          </w:p>
        </w:tc>
        <w:tc>
          <w:tcPr>
            <w:tcW w:w="2268" w:type="dxa"/>
            <w:vAlign w:val="center"/>
          </w:tcPr>
          <w:p>
            <w:pPr>
              <w:pStyle w:val="12"/>
            </w:pPr>
            <w:r>
              <w:t>≤1000元/人</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代表建言献策率</w:t>
            </w:r>
          </w:p>
        </w:tc>
        <w:tc>
          <w:tcPr>
            <w:tcW w:w="5386" w:type="dxa"/>
            <w:vAlign w:val="center"/>
          </w:tcPr>
          <w:p>
            <w:pPr>
              <w:pStyle w:val="12"/>
            </w:pPr>
            <w:r>
              <w:t>代表建言献策情况</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参会代表满意度</w:t>
            </w:r>
          </w:p>
        </w:tc>
        <w:tc>
          <w:tcPr>
            <w:tcW w:w="5386" w:type="dxa"/>
            <w:vAlign w:val="center"/>
          </w:tcPr>
          <w:p>
            <w:pPr>
              <w:pStyle w:val="12"/>
            </w:pPr>
            <w:r>
              <w:t>参会代表满意度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6、2026年十九届一次人代会会议费绩效目标表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13012126P00114410002P</w:t>
            </w:r>
          </w:p>
        </w:tc>
        <w:tc>
          <w:tcPr>
            <w:tcW w:w="2835" w:type="dxa"/>
            <w:vAlign w:val="center"/>
          </w:tcPr>
          <w:p>
            <w:pPr>
              <w:pStyle w:val="10"/>
            </w:pPr>
            <w:r>
              <w:t>项目名称</w:t>
            </w:r>
          </w:p>
        </w:tc>
        <w:tc>
          <w:tcPr>
            <w:tcW w:w="6095" w:type="dxa"/>
            <w:gridSpan w:val="3"/>
            <w:vAlign w:val="center"/>
          </w:tcPr>
          <w:p>
            <w:pPr>
              <w:pStyle w:val="12"/>
            </w:pPr>
            <w:r>
              <w:t>2026年十九届一次人代会会议费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十九届人大一次会议期间代表食宿，会议印刷及各种耗材费用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1.县人大十九届一次会议的召开，安排部署换届工作。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会议召开次数</w:t>
            </w:r>
          </w:p>
        </w:tc>
        <w:tc>
          <w:tcPr>
            <w:tcW w:w="5386" w:type="dxa"/>
            <w:vAlign w:val="center"/>
          </w:tcPr>
          <w:p>
            <w:pPr>
              <w:pStyle w:val="12"/>
            </w:pPr>
            <w:r>
              <w:t>会议召开的次数天数人数</w:t>
            </w:r>
          </w:p>
        </w:tc>
        <w:tc>
          <w:tcPr>
            <w:tcW w:w="2268" w:type="dxa"/>
            <w:vAlign w:val="center"/>
          </w:tcPr>
          <w:p>
            <w:pPr>
              <w:pStyle w:val="12"/>
            </w:pPr>
            <w:r>
              <w:t>≤10次</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参加会议代表到会率</w:t>
            </w:r>
          </w:p>
        </w:tc>
        <w:tc>
          <w:tcPr>
            <w:tcW w:w="5386" w:type="dxa"/>
            <w:vAlign w:val="center"/>
          </w:tcPr>
          <w:p>
            <w:pPr>
              <w:pStyle w:val="12"/>
            </w:pPr>
            <w:r>
              <w:t>实际到会人数与应到会人数的比例情况</w:t>
            </w:r>
          </w:p>
        </w:tc>
        <w:tc>
          <w:tcPr>
            <w:tcW w:w="2268" w:type="dxa"/>
            <w:vAlign w:val="center"/>
          </w:tcPr>
          <w:p>
            <w:pPr>
              <w:pStyle w:val="12"/>
            </w:pPr>
            <w:r>
              <w:t>≥90％</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会议召开时间</w:t>
            </w:r>
          </w:p>
        </w:tc>
        <w:tc>
          <w:tcPr>
            <w:tcW w:w="5386" w:type="dxa"/>
            <w:vAlign w:val="center"/>
          </w:tcPr>
          <w:p>
            <w:pPr>
              <w:pStyle w:val="12"/>
            </w:pPr>
            <w:r>
              <w:t>会议计划完成的具体时间</w:t>
            </w:r>
          </w:p>
        </w:tc>
        <w:tc>
          <w:tcPr>
            <w:tcW w:w="2268" w:type="dxa"/>
            <w:vAlign w:val="center"/>
          </w:tcPr>
          <w:p>
            <w:pPr>
              <w:pStyle w:val="12"/>
            </w:pPr>
            <w:r>
              <w:t>会议计划2026年6月举行</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会议费标准</w:t>
            </w:r>
          </w:p>
        </w:tc>
        <w:tc>
          <w:tcPr>
            <w:tcW w:w="5386" w:type="dxa"/>
            <w:vAlign w:val="center"/>
          </w:tcPr>
          <w:p>
            <w:pPr>
              <w:pStyle w:val="12"/>
            </w:pPr>
            <w:r>
              <w:t>以及会议标准</w:t>
            </w:r>
          </w:p>
        </w:tc>
        <w:tc>
          <w:tcPr>
            <w:tcW w:w="2268" w:type="dxa"/>
            <w:vAlign w:val="center"/>
          </w:tcPr>
          <w:p>
            <w:pPr>
              <w:pStyle w:val="12"/>
            </w:pPr>
            <w:r>
              <w:t>≤260元/人</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会议建言献策率</w:t>
            </w:r>
          </w:p>
        </w:tc>
        <w:tc>
          <w:tcPr>
            <w:tcW w:w="5386" w:type="dxa"/>
            <w:vAlign w:val="center"/>
          </w:tcPr>
          <w:p>
            <w:pPr>
              <w:pStyle w:val="12"/>
            </w:pPr>
            <w:r>
              <w:t>会议建言献策率</w:t>
            </w:r>
          </w:p>
        </w:tc>
        <w:tc>
          <w:tcPr>
            <w:tcW w:w="2268" w:type="dxa"/>
            <w:vAlign w:val="center"/>
          </w:tcPr>
          <w:p>
            <w:pPr>
              <w:pStyle w:val="12"/>
            </w:pPr>
            <w:r>
              <w:t>≥90％</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会议满意度</w:t>
            </w:r>
          </w:p>
        </w:tc>
        <w:tc>
          <w:tcPr>
            <w:tcW w:w="5386" w:type="dxa"/>
            <w:vAlign w:val="center"/>
          </w:tcPr>
          <w:p>
            <w:pPr>
              <w:pStyle w:val="12"/>
            </w:pPr>
            <w:r>
              <w:t>参会代表对会议期间各种软硬件满意度</w:t>
            </w:r>
          </w:p>
        </w:tc>
        <w:tc>
          <w:tcPr>
            <w:tcW w:w="2268" w:type="dxa"/>
            <w:vAlign w:val="center"/>
          </w:tcPr>
          <w:p>
            <w:pPr>
              <w:pStyle w:val="12"/>
            </w:pPr>
            <w:r>
              <w:t>100％</w:t>
            </w:r>
          </w:p>
        </w:tc>
        <w:tc>
          <w:tcPr>
            <w:tcW w:w="1276" w:type="dxa"/>
            <w:vAlign w:val="center"/>
          </w:tcPr>
          <w:p>
            <w:pPr>
              <w:pStyle w:val="12"/>
            </w:pPr>
            <w:r>
              <w:t>十九届一次会议计划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7、2026年县乡两级换届选举经费绩效目标表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13012126P00114310001E</w:t>
            </w:r>
          </w:p>
        </w:tc>
        <w:tc>
          <w:tcPr>
            <w:tcW w:w="2835" w:type="dxa"/>
            <w:vAlign w:val="center"/>
          </w:tcPr>
          <w:p>
            <w:pPr>
              <w:pStyle w:val="10"/>
            </w:pPr>
            <w:r>
              <w:t>项目名称</w:t>
            </w:r>
          </w:p>
        </w:tc>
        <w:tc>
          <w:tcPr>
            <w:tcW w:w="6095" w:type="dxa"/>
            <w:gridSpan w:val="3"/>
            <w:vAlign w:val="center"/>
          </w:tcPr>
          <w:p>
            <w:pPr>
              <w:pStyle w:val="12"/>
            </w:pPr>
            <w:r>
              <w:t>2026年县乡两级换届选举经费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用于换届选举过程产生的印刷、宣传等费用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1.通过换届选举活动，圆满完成县人大代表换届工作。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换届人大代表人数</w:t>
            </w:r>
          </w:p>
        </w:tc>
        <w:tc>
          <w:tcPr>
            <w:tcW w:w="5386" w:type="dxa"/>
            <w:vAlign w:val="center"/>
          </w:tcPr>
          <w:p>
            <w:pPr>
              <w:pStyle w:val="12"/>
            </w:pPr>
            <w:r>
              <w:t>新一届人大代表人数</w:t>
            </w:r>
          </w:p>
        </w:tc>
        <w:tc>
          <w:tcPr>
            <w:tcW w:w="2268" w:type="dxa"/>
            <w:vAlign w:val="center"/>
          </w:tcPr>
          <w:p>
            <w:pPr>
              <w:pStyle w:val="12"/>
            </w:pPr>
            <w:r>
              <w:t>≥10次</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参加会议代表到会率</w:t>
            </w:r>
          </w:p>
        </w:tc>
        <w:tc>
          <w:tcPr>
            <w:tcW w:w="5386" w:type="dxa"/>
            <w:vAlign w:val="center"/>
          </w:tcPr>
          <w:p>
            <w:pPr>
              <w:pStyle w:val="12"/>
            </w:pPr>
            <w:r>
              <w:t>实际到会人数与应到会人数的比例情况</w:t>
            </w:r>
          </w:p>
        </w:tc>
        <w:tc>
          <w:tcPr>
            <w:tcW w:w="2268" w:type="dxa"/>
            <w:vAlign w:val="center"/>
          </w:tcPr>
          <w:p>
            <w:pPr>
              <w:pStyle w:val="12"/>
            </w:pPr>
            <w:r>
              <w:t>100％</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换届工作完成时间</w:t>
            </w:r>
          </w:p>
        </w:tc>
        <w:tc>
          <w:tcPr>
            <w:tcW w:w="5386" w:type="dxa"/>
            <w:vAlign w:val="center"/>
          </w:tcPr>
          <w:p>
            <w:pPr>
              <w:pStyle w:val="12"/>
            </w:pPr>
            <w:r>
              <w:t>换届工作具体时间</w:t>
            </w:r>
          </w:p>
        </w:tc>
        <w:tc>
          <w:tcPr>
            <w:tcW w:w="2268" w:type="dxa"/>
            <w:vAlign w:val="center"/>
          </w:tcPr>
          <w:p>
            <w:pPr>
              <w:pStyle w:val="12"/>
            </w:pPr>
            <w:r>
              <w:t>2026年6月完成</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换届期间会议标准</w:t>
            </w:r>
          </w:p>
        </w:tc>
        <w:tc>
          <w:tcPr>
            <w:tcW w:w="5386" w:type="dxa"/>
            <w:vAlign w:val="center"/>
          </w:tcPr>
          <w:p>
            <w:pPr>
              <w:pStyle w:val="12"/>
            </w:pPr>
            <w:r>
              <w:t>以及会议标准</w:t>
            </w:r>
          </w:p>
        </w:tc>
        <w:tc>
          <w:tcPr>
            <w:tcW w:w="2268" w:type="dxa"/>
            <w:vAlign w:val="center"/>
          </w:tcPr>
          <w:p>
            <w:pPr>
              <w:pStyle w:val="12"/>
            </w:pPr>
            <w:r>
              <w:t>≤150元/人</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换届工作圆满完成率</w:t>
            </w:r>
          </w:p>
        </w:tc>
        <w:tc>
          <w:tcPr>
            <w:tcW w:w="5386" w:type="dxa"/>
            <w:vAlign w:val="center"/>
          </w:tcPr>
          <w:p>
            <w:pPr>
              <w:pStyle w:val="12"/>
            </w:pPr>
            <w:r>
              <w:t>换届工作圆满完成率</w:t>
            </w:r>
          </w:p>
        </w:tc>
        <w:tc>
          <w:tcPr>
            <w:tcW w:w="2268" w:type="dxa"/>
            <w:vAlign w:val="center"/>
          </w:tcPr>
          <w:p>
            <w:pPr>
              <w:pStyle w:val="12"/>
            </w:pPr>
            <w:r>
              <w:t>100％</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会议满意度</w:t>
            </w:r>
          </w:p>
        </w:tc>
        <w:tc>
          <w:tcPr>
            <w:tcW w:w="5386" w:type="dxa"/>
            <w:vAlign w:val="center"/>
          </w:tcPr>
          <w:p>
            <w:pPr>
              <w:pStyle w:val="12"/>
            </w:pPr>
            <w:r>
              <w:t>参会代表对会议期间各种软硬件的满意度</w:t>
            </w:r>
          </w:p>
        </w:tc>
        <w:tc>
          <w:tcPr>
            <w:tcW w:w="2268" w:type="dxa"/>
            <w:vAlign w:val="center"/>
          </w:tcPr>
          <w:p>
            <w:pPr>
              <w:pStyle w:val="12"/>
            </w:pPr>
            <w:r>
              <w:t>100％</w:t>
            </w:r>
          </w:p>
        </w:tc>
        <w:tc>
          <w:tcPr>
            <w:tcW w:w="1276" w:type="dxa"/>
            <w:vAlign w:val="center"/>
          </w:tcPr>
          <w:p>
            <w:pPr>
              <w:pStyle w:val="12"/>
            </w:pPr>
            <w:r>
              <w:t>换届委员会具体工作安排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8、井陉县人大办2026年劳务派遣人员经费绩效目标表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13012126P00007310239W</w:t>
            </w:r>
          </w:p>
        </w:tc>
        <w:tc>
          <w:tcPr>
            <w:tcW w:w="2835" w:type="dxa"/>
            <w:vAlign w:val="center"/>
          </w:tcPr>
          <w:p>
            <w:pPr>
              <w:pStyle w:val="10"/>
            </w:pPr>
            <w:r>
              <w:t>项目名称</w:t>
            </w:r>
          </w:p>
        </w:tc>
        <w:tc>
          <w:tcPr>
            <w:tcW w:w="6095" w:type="dxa"/>
            <w:gridSpan w:val="3"/>
            <w:vAlign w:val="center"/>
          </w:tcPr>
          <w:p>
            <w:pPr>
              <w:pStyle w:val="12"/>
            </w:pPr>
            <w:r>
              <w:t>井陉县人大办2026年劳务派遣人员经费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94916.88</w:t>
            </w:r>
          </w:p>
        </w:tc>
        <w:tc>
          <w:tcPr>
            <w:tcW w:w="2835" w:type="dxa"/>
            <w:vAlign w:val="center"/>
          </w:tcPr>
          <w:p>
            <w:pPr>
              <w:pStyle w:val="10"/>
            </w:pPr>
            <w:r>
              <w:t>其中：财政    资金</w:t>
            </w:r>
          </w:p>
        </w:tc>
        <w:tc>
          <w:tcPr>
            <w:tcW w:w="2551" w:type="dxa"/>
            <w:vAlign w:val="center"/>
          </w:tcPr>
          <w:p>
            <w:pPr>
              <w:pStyle w:val="12"/>
            </w:pPr>
            <w:r>
              <w:t>94916.88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1.通过聘用劳务派遣人员，保证单位工作人员缺口的补充，达到满足单位工作的正常开展效果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劳务派遣为2人</w:t>
            </w:r>
          </w:p>
        </w:tc>
        <w:tc>
          <w:tcPr>
            <w:tcW w:w="2268" w:type="dxa"/>
            <w:vAlign w:val="center"/>
          </w:tcPr>
          <w:p>
            <w:pPr>
              <w:pStyle w:val="12"/>
            </w:pPr>
            <w:r>
              <w:t>≥2人</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劳务派遣人员出勤率</w:t>
            </w:r>
          </w:p>
        </w:tc>
        <w:tc>
          <w:tcPr>
            <w:tcW w:w="5386" w:type="dxa"/>
            <w:vAlign w:val="center"/>
          </w:tcPr>
          <w:p>
            <w:pPr>
              <w:pStyle w:val="12"/>
            </w:pPr>
            <w:r>
              <w:t>劳务派遣人员出勤率</w:t>
            </w:r>
          </w:p>
        </w:tc>
        <w:tc>
          <w:tcPr>
            <w:tcW w:w="2268" w:type="dxa"/>
            <w:vAlign w:val="center"/>
          </w:tcPr>
          <w:p>
            <w:pPr>
              <w:pStyle w:val="12"/>
            </w:pPr>
            <w:r>
              <w:t>≥90％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劳务派遣人员保障时限</w:t>
            </w:r>
          </w:p>
        </w:tc>
        <w:tc>
          <w:tcPr>
            <w:tcW w:w="5386" w:type="dxa"/>
            <w:vAlign w:val="center"/>
          </w:tcPr>
          <w:p>
            <w:pPr>
              <w:pStyle w:val="12"/>
            </w:pPr>
            <w:r>
              <w:t>保障劳务人员正常工作时间</w:t>
            </w:r>
          </w:p>
        </w:tc>
        <w:tc>
          <w:tcPr>
            <w:tcW w:w="2268" w:type="dxa"/>
            <w:vAlign w:val="center"/>
          </w:tcPr>
          <w:p>
            <w:pPr>
              <w:pStyle w:val="12"/>
            </w:pPr>
            <w:r>
              <w:t>1年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平均人员成本</w:t>
            </w:r>
          </w:p>
        </w:tc>
        <w:tc>
          <w:tcPr>
            <w:tcW w:w="5386" w:type="dxa"/>
            <w:vAlign w:val="center"/>
          </w:tcPr>
          <w:p>
            <w:pPr>
              <w:pStyle w:val="12"/>
            </w:pPr>
            <w:r>
              <w:t>平均人员成本</w:t>
            </w:r>
          </w:p>
        </w:tc>
        <w:tc>
          <w:tcPr>
            <w:tcW w:w="2268" w:type="dxa"/>
            <w:vAlign w:val="center"/>
          </w:tcPr>
          <w:p>
            <w:pPr>
              <w:pStyle w:val="12"/>
            </w:pPr>
            <w:r>
              <w:t>≤3954.87元/月/人</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反映通过劳务派遣人员，保障单位工作正常开展情况</w:t>
            </w:r>
          </w:p>
        </w:tc>
        <w:tc>
          <w:tcPr>
            <w:tcW w:w="2268" w:type="dxa"/>
            <w:vAlign w:val="center"/>
          </w:tcPr>
          <w:p>
            <w:pPr>
              <w:pStyle w:val="12"/>
            </w:pPr>
            <w:r>
              <w:t>≥90％</w:t>
            </w:r>
          </w:p>
        </w:tc>
        <w:tc>
          <w:tcPr>
            <w:tcW w:w="1276" w:type="dxa"/>
            <w:vAlign w:val="center"/>
          </w:tcPr>
          <w:p>
            <w:pPr>
              <w:pStyle w:val="12"/>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84000.00</w:t>
            </w:r>
          </w:p>
        </w:tc>
        <w:tc>
          <w:tcPr>
            <w:tcW w:w="964" w:type="dxa"/>
            <w:vAlign w:val="center"/>
          </w:tcPr>
          <w:p>
            <w:pPr>
              <w:pStyle w:val="15"/>
            </w:pPr>
            <w:r>
              <w:t>84000.00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井陉县人民代表大会常务委员会办公室小计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84000.00</w:t>
            </w:r>
          </w:p>
        </w:tc>
        <w:tc>
          <w:tcPr>
            <w:tcW w:w="964" w:type="dxa"/>
            <w:vAlign w:val="center"/>
          </w:tcPr>
          <w:p>
            <w:pPr>
              <w:pStyle w:val="15"/>
            </w:pPr>
            <w:r>
              <w:t>84000.00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280207.00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500.00</w:t>
            </w:r>
          </w:p>
        </w:tc>
        <w:tc>
          <w:tcPr>
            <w:tcW w:w="964"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280207.00</w:t>
            </w:r>
          </w:p>
        </w:tc>
        <w:tc>
          <w:tcPr>
            <w:tcW w:w="1134" w:type="dxa"/>
            <w:vAlign w:val="center"/>
          </w:tcPr>
          <w:p>
            <w:pPr>
              <w:pStyle w:val="12"/>
            </w:pPr>
            <w:r>
              <w:t>汽油</w:t>
            </w:r>
          </w:p>
        </w:tc>
        <w:tc>
          <w:tcPr>
            <w:tcW w:w="1134" w:type="dxa"/>
            <w:vAlign w:val="center"/>
          </w:tcPr>
          <w:p>
            <w:pPr>
              <w:pStyle w:val="12"/>
            </w:pPr>
            <w:r>
              <w:t>A07070101</w:t>
            </w:r>
          </w:p>
        </w:tc>
        <w:tc>
          <w:tcPr>
            <w:tcW w:w="709" w:type="dxa"/>
            <w:vAlign w:val="center"/>
          </w:tcPr>
          <w:p>
            <w:pPr>
              <w:pStyle w:val="13"/>
            </w:pPr>
            <w:r>
              <w:t>升</w:t>
            </w:r>
          </w:p>
        </w:tc>
        <w:tc>
          <w:tcPr>
            <w:tcW w:w="850" w:type="dxa"/>
            <w:vAlign w:val="center"/>
          </w:tcPr>
          <w:p>
            <w:pPr>
              <w:pStyle w:val="11"/>
            </w:pPr>
            <w:r>
              <w:t>3000</w:t>
            </w:r>
          </w:p>
        </w:tc>
        <w:tc>
          <w:tcPr>
            <w:tcW w:w="850" w:type="dxa"/>
            <w:vAlign w:val="center"/>
          </w:tcPr>
          <w:p>
            <w:pPr>
              <w:pStyle w:val="11"/>
            </w:pPr>
            <w:r>
              <w:t>8.00</w:t>
            </w:r>
          </w:p>
        </w:tc>
        <w:tc>
          <w:tcPr>
            <w:tcW w:w="964" w:type="dxa"/>
            <w:vAlign w:val="center"/>
          </w:tcPr>
          <w:p>
            <w:pPr>
              <w:pStyle w:val="11"/>
            </w:pPr>
            <w:r>
              <w:t>24000.00</w:t>
            </w:r>
          </w:p>
        </w:tc>
        <w:tc>
          <w:tcPr>
            <w:tcW w:w="964" w:type="dxa"/>
            <w:vAlign w:val="center"/>
          </w:tcPr>
          <w:p>
            <w:pPr>
              <w:pStyle w:val="11"/>
            </w:pPr>
            <w:r>
              <w:t>24000.00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280207.00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10000.00</w:t>
            </w:r>
          </w:p>
        </w:tc>
        <w:tc>
          <w:tcPr>
            <w:tcW w:w="964" w:type="dxa"/>
            <w:vAlign w:val="center"/>
          </w:tcPr>
          <w:p>
            <w:pPr>
              <w:pStyle w:val="11"/>
            </w:pPr>
            <w:r>
              <w:t>50000.00</w:t>
            </w:r>
          </w:p>
        </w:tc>
        <w:tc>
          <w:tcPr>
            <w:tcW w:w="964" w:type="dxa"/>
            <w:vAlign w:val="center"/>
          </w:tcPr>
          <w:p>
            <w:pPr>
              <w:pStyle w:val="11"/>
            </w:pPr>
            <w:r>
              <w:t>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井陉县人民代表大会常务委员会办公室上年末固定资产金额为1074837.00元（详见下表）。本年度拟购置固定资产总额为0.00元，已按要求列入政府采购预算，详见政府采购预算表。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1069737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rPr>
                <w:rFonts w:hint="default" w:eastAsia="方正书宋_GBK"/>
                <w:lang w:val="en-US" w:eastAsia="zh-CN"/>
              </w:rPr>
            </w:pPr>
            <w:r>
              <w:rPr>
                <w:rFonts w:hint="eastAsia"/>
                <w:lang w:val="en-US" w:eastAsia="zh-CN"/>
              </w:rPr>
              <w:t>649400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207500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95</w:t>
            </w:r>
          </w:p>
        </w:tc>
        <w:tc>
          <w:tcPr>
            <w:tcW w:w="2835" w:type="dxa"/>
            <w:vAlign w:val="center"/>
          </w:tcPr>
          <w:p>
            <w:pPr>
              <w:pStyle w:val="11"/>
              <w:rPr>
                <w:rFonts w:hint="default" w:eastAsia="方正书宋_GBK"/>
                <w:lang w:val="en-US" w:eastAsia="zh-CN"/>
              </w:rPr>
            </w:pPr>
            <w:r>
              <w:rPr>
                <w:rFonts w:hint="eastAsia"/>
                <w:lang w:val="en-US" w:eastAsia="zh-CN"/>
              </w:rPr>
              <w:t>212837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二、井陉县人大常委会办公室（事业）收支预算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井陉县人大常委会办公室（事业）2026年单位预算信息公开情况说明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按照《中华人民共和国预算法》、《地方预决算公开操作规程》和《关于进一步推进预算公开工作的实施意见》规定，现将井陉县人大常委会办公室（事业）2026年单位预算公开如下：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井陉县人大常委会办公室（事业）</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井陉县人大常委会办公室（事业）上年末固定资产金额为0.00万元（详见下表）。本年度拟购置固定资产总额为0.00万元，已按要求列入政府采购预算，详见政府采购预算表。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A24209"/>
    <w:rsid w:val="26951F94"/>
    <w:rsid w:val="335D244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TotalTime>57</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2026-02-04T16:22:00Z</dcterms:created>
  <dc:creator>aaa</dc:creator>
  <cp:lastModifiedBy>aaa</cp:lastModifiedBy>
  <dcterms:modified xsi:type="dcterms:W3CDTF">2026-03-19T02:18:34Z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22F400A6F6B14B3097016E03423F0285</vt:lpwstr>
  </property>
</Properties>
</file>