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一、井陉县文学艺术界联合会本级收支预算</w:t>
      </w:r>
      <w:r>
        <w:tab/>
      </w:r>
      <w:r>
        <w:fldChar w:fldCharType="begin"/>
      </w:r>
      <w:r>
        <w:instrText xml:space="preserve">PAGEREF _Toc_4_4_0000000021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715井陉县文学艺术界联合会</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820435.10</w:t>
            </w:r>
          </w:p>
        </w:tc>
        <w:tc>
          <w:tcPr>
            <w:tcW w:w="4535" w:type="dxa"/>
            <w:vAlign w:val="center"/>
          </w:tcPr>
          <w:p>
            <w:pPr>
              <w:pStyle w:val="14"/>
            </w:pPr>
            <w:r>
              <w:t>一、一般公共服务支出</w:t>
            </w:r>
          </w:p>
        </w:tc>
        <w:tc>
          <w:tcPr>
            <w:tcW w:w="2126" w:type="dxa"/>
            <w:vAlign w:val="center"/>
          </w:tcPr>
          <w:p>
            <w:pPr>
              <w:pStyle w:val="13"/>
            </w:pPr>
            <w:r>
              <w:t>587350.00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85153.00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35599.60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64332.50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820435.10</w:t>
            </w:r>
          </w:p>
        </w:tc>
        <w:tc>
          <w:tcPr>
            <w:tcW w:w="4535" w:type="dxa"/>
            <w:vAlign w:val="center"/>
          </w:tcPr>
          <w:p>
            <w:pPr>
              <w:pStyle w:val="16"/>
            </w:pPr>
            <w:r>
              <w:t>本年支出合计</w:t>
            </w:r>
          </w:p>
        </w:tc>
        <w:tc>
          <w:tcPr>
            <w:tcW w:w="2126" w:type="dxa"/>
            <w:vAlign w:val="center"/>
          </w:tcPr>
          <w:p>
            <w:pPr>
              <w:pStyle w:val="17"/>
            </w:pPr>
            <w:r>
              <w:t>820435.10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820435.10</w:t>
            </w:r>
          </w:p>
        </w:tc>
        <w:tc>
          <w:tcPr>
            <w:tcW w:w="4535" w:type="dxa"/>
            <w:vAlign w:val="center"/>
          </w:tcPr>
          <w:p>
            <w:pPr>
              <w:pStyle w:val="16"/>
            </w:pPr>
            <w:r>
              <w:t>支出总计</w:t>
            </w:r>
          </w:p>
        </w:tc>
        <w:tc>
          <w:tcPr>
            <w:tcW w:w="2126" w:type="dxa"/>
            <w:vAlign w:val="center"/>
          </w:tcPr>
          <w:p>
            <w:pPr>
              <w:pStyle w:val="17"/>
            </w:pPr>
            <w:r>
              <w:t>820435.10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715井陉县文学艺术界联合会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820435.10</w:t>
            </w:r>
          </w:p>
        </w:tc>
        <w:tc>
          <w:tcPr>
            <w:tcW w:w="1134" w:type="dxa"/>
            <w:vAlign w:val="center"/>
          </w:tcPr>
          <w:p>
            <w:pPr>
              <w:pStyle w:val="17"/>
            </w:pPr>
            <w:r>
              <w:t>820435.10</w:t>
            </w:r>
          </w:p>
        </w:tc>
        <w:tc>
          <w:tcPr>
            <w:tcW w:w="1134" w:type="dxa"/>
            <w:vAlign w:val="center"/>
          </w:tcPr>
          <w:p>
            <w:pPr>
              <w:pStyle w:val="17"/>
            </w:pPr>
            <w:r>
              <w:t>820435.10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2012950</w:t>
            </w:r>
          </w:p>
        </w:tc>
        <w:tc>
          <w:tcPr>
            <w:tcW w:w="1559" w:type="dxa"/>
            <w:vAlign w:val="center"/>
          </w:tcPr>
          <w:p>
            <w:pPr>
              <w:pStyle w:val="14"/>
            </w:pPr>
            <w:r>
              <w:t>事业运行</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2070111</w:t>
            </w:r>
          </w:p>
        </w:tc>
        <w:tc>
          <w:tcPr>
            <w:tcW w:w="1559" w:type="dxa"/>
            <w:vAlign w:val="center"/>
          </w:tcPr>
          <w:p>
            <w:pPr>
              <w:pStyle w:val="14"/>
            </w:pPr>
            <w:r>
              <w:t>文化创作与保护</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85153.00</w:t>
            </w:r>
          </w:p>
        </w:tc>
        <w:tc>
          <w:tcPr>
            <w:tcW w:w="1134" w:type="dxa"/>
            <w:vAlign w:val="center"/>
          </w:tcPr>
          <w:p>
            <w:pPr>
              <w:pStyle w:val="13"/>
            </w:pPr>
            <w:r>
              <w:t>85153.00</w:t>
            </w:r>
          </w:p>
        </w:tc>
        <w:tc>
          <w:tcPr>
            <w:tcW w:w="1134" w:type="dxa"/>
            <w:vAlign w:val="center"/>
          </w:tcPr>
          <w:p>
            <w:pPr>
              <w:pStyle w:val="13"/>
            </w:pPr>
            <w:r>
              <w:t>85153.00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80016.70</w:t>
            </w:r>
          </w:p>
        </w:tc>
        <w:tc>
          <w:tcPr>
            <w:tcW w:w="1134" w:type="dxa"/>
            <w:vAlign w:val="center"/>
          </w:tcPr>
          <w:p>
            <w:pPr>
              <w:pStyle w:val="13"/>
            </w:pPr>
            <w:r>
              <w:t>80016.70</w:t>
            </w:r>
          </w:p>
        </w:tc>
        <w:tc>
          <w:tcPr>
            <w:tcW w:w="1134" w:type="dxa"/>
            <w:vAlign w:val="center"/>
          </w:tcPr>
          <w:p>
            <w:pPr>
              <w:pStyle w:val="13"/>
            </w:pPr>
            <w:r>
              <w:t>80016.70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80016.70</w:t>
            </w:r>
          </w:p>
        </w:tc>
        <w:tc>
          <w:tcPr>
            <w:tcW w:w="1134" w:type="dxa"/>
            <w:vAlign w:val="center"/>
          </w:tcPr>
          <w:p>
            <w:pPr>
              <w:pStyle w:val="13"/>
            </w:pPr>
            <w:r>
              <w:t>80016.70</w:t>
            </w:r>
          </w:p>
        </w:tc>
        <w:tc>
          <w:tcPr>
            <w:tcW w:w="1134" w:type="dxa"/>
            <w:vAlign w:val="center"/>
          </w:tcPr>
          <w:p>
            <w:pPr>
              <w:pStyle w:val="13"/>
            </w:pPr>
            <w:r>
              <w:t>80016.70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5136.30</w:t>
            </w:r>
          </w:p>
        </w:tc>
        <w:tc>
          <w:tcPr>
            <w:tcW w:w="1134" w:type="dxa"/>
            <w:vAlign w:val="center"/>
          </w:tcPr>
          <w:p>
            <w:pPr>
              <w:pStyle w:val="13"/>
            </w:pPr>
            <w:r>
              <w:t>5136.30</w:t>
            </w:r>
          </w:p>
        </w:tc>
        <w:tc>
          <w:tcPr>
            <w:tcW w:w="1134" w:type="dxa"/>
            <w:vAlign w:val="center"/>
          </w:tcPr>
          <w:p>
            <w:pPr>
              <w:pStyle w:val="13"/>
            </w:pPr>
            <w:r>
              <w:t>5136.30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5136.30</w:t>
            </w:r>
          </w:p>
        </w:tc>
        <w:tc>
          <w:tcPr>
            <w:tcW w:w="1134" w:type="dxa"/>
            <w:vAlign w:val="center"/>
          </w:tcPr>
          <w:p>
            <w:pPr>
              <w:pStyle w:val="13"/>
            </w:pPr>
            <w:r>
              <w:t>5136.30</w:t>
            </w:r>
          </w:p>
        </w:tc>
        <w:tc>
          <w:tcPr>
            <w:tcW w:w="1134" w:type="dxa"/>
            <w:vAlign w:val="center"/>
          </w:tcPr>
          <w:p>
            <w:pPr>
              <w:pStyle w:val="13"/>
            </w:pPr>
            <w:r>
              <w:t>5136.30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715井陉县文学艺术界联合会</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820435.10</w:t>
            </w:r>
          </w:p>
        </w:tc>
        <w:tc>
          <w:tcPr>
            <w:tcW w:w="1361" w:type="dxa"/>
            <w:vAlign w:val="center"/>
          </w:tcPr>
          <w:p>
            <w:pPr>
              <w:pStyle w:val="17"/>
            </w:pPr>
            <w:r>
              <w:t>772435.10</w:t>
            </w:r>
          </w:p>
        </w:tc>
        <w:tc>
          <w:tcPr>
            <w:tcW w:w="1361" w:type="dxa"/>
            <w:vAlign w:val="center"/>
          </w:tcPr>
          <w:p>
            <w:pPr>
              <w:pStyle w:val="17"/>
            </w:pPr>
            <w:r>
              <w:t>48000.00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587350.00</w:t>
            </w:r>
          </w:p>
        </w:tc>
        <w:tc>
          <w:tcPr>
            <w:tcW w:w="1361" w:type="dxa"/>
            <w:vAlign w:val="center"/>
          </w:tcPr>
          <w:p>
            <w:pPr>
              <w:pStyle w:val="13"/>
            </w:pPr>
            <w:r>
              <w:t>587350.00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587350.00</w:t>
            </w:r>
          </w:p>
        </w:tc>
        <w:tc>
          <w:tcPr>
            <w:tcW w:w="1361" w:type="dxa"/>
            <w:vAlign w:val="center"/>
          </w:tcPr>
          <w:p>
            <w:pPr>
              <w:pStyle w:val="13"/>
            </w:pPr>
            <w:r>
              <w:t>587350.00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2012950</w:t>
            </w:r>
          </w:p>
        </w:tc>
        <w:tc>
          <w:tcPr>
            <w:tcW w:w="4535" w:type="dxa"/>
            <w:vAlign w:val="center"/>
          </w:tcPr>
          <w:p>
            <w:pPr>
              <w:pStyle w:val="14"/>
            </w:pPr>
            <w:r>
              <w:t>事业运行</w:t>
            </w:r>
          </w:p>
        </w:tc>
        <w:tc>
          <w:tcPr>
            <w:tcW w:w="1361" w:type="dxa"/>
            <w:vAlign w:val="center"/>
          </w:tcPr>
          <w:p>
            <w:pPr>
              <w:pStyle w:val="13"/>
            </w:pPr>
            <w:r>
              <w:t>587350.00</w:t>
            </w:r>
          </w:p>
        </w:tc>
        <w:tc>
          <w:tcPr>
            <w:tcW w:w="1361" w:type="dxa"/>
            <w:vAlign w:val="center"/>
          </w:tcPr>
          <w:p>
            <w:pPr>
              <w:pStyle w:val="13"/>
            </w:pPr>
            <w:r>
              <w:t>587350.00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2070111</w:t>
            </w:r>
          </w:p>
        </w:tc>
        <w:tc>
          <w:tcPr>
            <w:tcW w:w="4535" w:type="dxa"/>
            <w:vAlign w:val="center"/>
          </w:tcPr>
          <w:p>
            <w:pPr>
              <w:pStyle w:val="14"/>
            </w:pPr>
            <w:r>
              <w:t>文化创作与保护</w:t>
            </w: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85153.00</w:t>
            </w:r>
          </w:p>
        </w:tc>
        <w:tc>
          <w:tcPr>
            <w:tcW w:w="1361" w:type="dxa"/>
            <w:vAlign w:val="center"/>
          </w:tcPr>
          <w:p>
            <w:pPr>
              <w:pStyle w:val="13"/>
            </w:pPr>
            <w:r>
              <w:t>85153.00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80016.70</w:t>
            </w:r>
          </w:p>
        </w:tc>
        <w:tc>
          <w:tcPr>
            <w:tcW w:w="1361" w:type="dxa"/>
            <w:vAlign w:val="center"/>
          </w:tcPr>
          <w:p>
            <w:pPr>
              <w:pStyle w:val="13"/>
            </w:pPr>
            <w:r>
              <w:t>80016.70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80016.70</w:t>
            </w:r>
          </w:p>
        </w:tc>
        <w:tc>
          <w:tcPr>
            <w:tcW w:w="1361" w:type="dxa"/>
            <w:vAlign w:val="center"/>
          </w:tcPr>
          <w:p>
            <w:pPr>
              <w:pStyle w:val="13"/>
            </w:pPr>
            <w:r>
              <w:t>80016.70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5136.30</w:t>
            </w:r>
          </w:p>
        </w:tc>
        <w:tc>
          <w:tcPr>
            <w:tcW w:w="1361" w:type="dxa"/>
            <w:vAlign w:val="center"/>
          </w:tcPr>
          <w:p>
            <w:pPr>
              <w:pStyle w:val="13"/>
            </w:pPr>
            <w:r>
              <w:t>5136.30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5136.30</w:t>
            </w:r>
          </w:p>
        </w:tc>
        <w:tc>
          <w:tcPr>
            <w:tcW w:w="1361" w:type="dxa"/>
            <w:vAlign w:val="center"/>
          </w:tcPr>
          <w:p>
            <w:pPr>
              <w:pStyle w:val="13"/>
            </w:pPr>
            <w:r>
              <w:t>5136.30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35599.60</w:t>
            </w:r>
          </w:p>
        </w:tc>
        <w:tc>
          <w:tcPr>
            <w:tcW w:w="1361" w:type="dxa"/>
            <w:vAlign w:val="center"/>
          </w:tcPr>
          <w:p>
            <w:pPr>
              <w:pStyle w:val="13"/>
            </w:pPr>
            <w:r>
              <w:t>35599.60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35599.60</w:t>
            </w:r>
          </w:p>
        </w:tc>
        <w:tc>
          <w:tcPr>
            <w:tcW w:w="1361" w:type="dxa"/>
            <w:vAlign w:val="center"/>
          </w:tcPr>
          <w:p>
            <w:pPr>
              <w:pStyle w:val="13"/>
            </w:pPr>
            <w:r>
              <w:t>35599.60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35599.60</w:t>
            </w:r>
          </w:p>
        </w:tc>
        <w:tc>
          <w:tcPr>
            <w:tcW w:w="1361" w:type="dxa"/>
            <w:vAlign w:val="center"/>
          </w:tcPr>
          <w:p>
            <w:pPr>
              <w:pStyle w:val="13"/>
            </w:pPr>
            <w:r>
              <w:t>35599.60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64332.50</w:t>
            </w:r>
          </w:p>
        </w:tc>
        <w:tc>
          <w:tcPr>
            <w:tcW w:w="1361" w:type="dxa"/>
            <w:vAlign w:val="center"/>
          </w:tcPr>
          <w:p>
            <w:pPr>
              <w:pStyle w:val="13"/>
            </w:pPr>
            <w:r>
              <w:t>64332.50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64332.50</w:t>
            </w:r>
          </w:p>
        </w:tc>
        <w:tc>
          <w:tcPr>
            <w:tcW w:w="1361" w:type="dxa"/>
            <w:vAlign w:val="center"/>
          </w:tcPr>
          <w:p>
            <w:pPr>
              <w:pStyle w:val="13"/>
            </w:pPr>
            <w:r>
              <w:t>64332.50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64332.50</w:t>
            </w:r>
          </w:p>
        </w:tc>
        <w:tc>
          <w:tcPr>
            <w:tcW w:w="1361" w:type="dxa"/>
            <w:vAlign w:val="center"/>
          </w:tcPr>
          <w:p>
            <w:pPr>
              <w:pStyle w:val="13"/>
            </w:pPr>
            <w:r>
              <w:t>64332.50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715井陉县文学艺术界联合会</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820435.10</w:t>
            </w:r>
          </w:p>
        </w:tc>
        <w:tc>
          <w:tcPr>
            <w:tcW w:w="3402" w:type="dxa"/>
            <w:vAlign w:val="center"/>
          </w:tcPr>
          <w:p>
            <w:pPr>
              <w:pStyle w:val="14"/>
            </w:pPr>
            <w:r>
              <w:t>一、一般公共服务支出</w:t>
            </w:r>
          </w:p>
        </w:tc>
        <w:tc>
          <w:tcPr>
            <w:tcW w:w="1474" w:type="dxa"/>
            <w:vAlign w:val="center"/>
          </w:tcPr>
          <w:p>
            <w:pPr>
              <w:pStyle w:val="13"/>
            </w:pPr>
            <w:r>
              <w:t>587350.00</w:t>
            </w:r>
          </w:p>
        </w:tc>
        <w:tc>
          <w:tcPr>
            <w:tcW w:w="1474" w:type="dxa"/>
            <w:vAlign w:val="center"/>
          </w:tcPr>
          <w:p>
            <w:pPr>
              <w:pStyle w:val="13"/>
            </w:pPr>
            <w:r>
              <w:t>587350.00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48000.00</w:t>
            </w:r>
          </w:p>
        </w:tc>
        <w:tc>
          <w:tcPr>
            <w:tcW w:w="1474" w:type="dxa"/>
            <w:vAlign w:val="center"/>
          </w:tcPr>
          <w:p>
            <w:pPr>
              <w:pStyle w:val="13"/>
            </w:pPr>
            <w:r>
              <w:t>48000.00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85153.00</w:t>
            </w:r>
          </w:p>
        </w:tc>
        <w:tc>
          <w:tcPr>
            <w:tcW w:w="1474" w:type="dxa"/>
            <w:vAlign w:val="center"/>
          </w:tcPr>
          <w:p>
            <w:pPr>
              <w:pStyle w:val="13"/>
            </w:pPr>
            <w:r>
              <w:t>85153.00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35599.60</w:t>
            </w:r>
          </w:p>
        </w:tc>
        <w:tc>
          <w:tcPr>
            <w:tcW w:w="1474" w:type="dxa"/>
            <w:vAlign w:val="center"/>
          </w:tcPr>
          <w:p>
            <w:pPr>
              <w:pStyle w:val="13"/>
            </w:pPr>
            <w:r>
              <w:t>35599.60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64332.50</w:t>
            </w:r>
          </w:p>
        </w:tc>
        <w:tc>
          <w:tcPr>
            <w:tcW w:w="1474" w:type="dxa"/>
            <w:vAlign w:val="center"/>
          </w:tcPr>
          <w:p>
            <w:pPr>
              <w:pStyle w:val="13"/>
            </w:pPr>
            <w:r>
              <w:t>64332.50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820435.10</w:t>
            </w:r>
          </w:p>
        </w:tc>
        <w:tc>
          <w:tcPr>
            <w:tcW w:w="3402" w:type="dxa"/>
            <w:vAlign w:val="center"/>
          </w:tcPr>
          <w:p>
            <w:pPr>
              <w:pStyle w:val="16"/>
            </w:pPr>
            <w:r>
              <w:t>本年支出合计</w:t>
            </w:r>
          </w:p>
        </w:tc>
        <w:tc>
          <w:tcPr>
            <w:tcW w:w="1474" w:type="dxa"/>
            <w:vAlign w:val="center"/>
          </w:tcPr>
          <w:p>
            <w:pPr>
              <w:pStyle w:val="17"/>
            </w:pPr>
            <w:r>
              <w:t>820435.10</w:t>
            </w:r>
          </w:p>
        </w:tc>
        <w:tc>
          <w:tcPr>
            <w:tcW w:w="1474" w:type="dxa"/>
            <w:vAlign w:val="center"/>
          </w:tcPr>
          <w:p>
            <w:pPr>
              <w:pStyle w:val="17"/>
            </w:pPr>
            <w:r>
              <w:t>820435.10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820435.10</w:t>
            </w:r>
          </w:p>
        </w:tc>
        <w:tc>
          <w:tcPr>
            <w:tcW w:w="3402" w:type="dxa"/>
            <w:vAlign w:val="center"/>
          </w:tcPr>
          <w:p>
            <w:pPr>
              <w:pStyle w:val="16"/>
            </w:pPr>
            <w:r>
              <w:t>支出总计</w:t>
            </w:r>
          </w:p>
        </w:tc>
        <w:tc>
          <w:tcPr>
            <w:tcW w:w="1474" w:type="dxa"/>
            <w:vAlign w:val="center"/>
          </w:tcPr>
          <w:p>
            <w:pPr>
              <w:pStyle w:val="17"/>
            </w:pPr>
            <w:r>
              <w:t>820435.10</w:t>
            </w:r>
          </w:p>
        </w:tc>
        <w:tc>
          <w:tcPr>
            <w:tcW w:w="1474" w:type="dxa"/>
            <w:vAlign w:val="center"/>
          </w:tcPr>
          <w:p>
            <w:pPr>
              <w:pStyle w:val="17"/>
            </w:pPr>
            <w:r>
              <w:t>820435.10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715井陉县文学艺术界联合会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820435.10</w:t>
            </w:r>
          </w:p>
        </w:tc>
        <w:tc>
          <w:tcPr>
            <w:tcW w:w="2551" w:type="dxa"/>
            <w:vAlign w:val="center"/>
          </w:tcPr>
          <w:p>
            <w:pPr>
              <w:pStyle w:val="17"/>
            </w:pPr>
            <w:r>
              <w:t>772435.10</w:t>
            </w:r>
          </w:p>
        </w:tc>
        <w:tc>
          <w:tcPr>
            <w:tcW w:w="2551" w:type="dxa"/>
            <w:vAlign w:val="center"/>
          </w:tcPr>
          <w:p>
            <w:pPr>
              <w:pStyle w:val="17"/>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587350.00</w:t>
            </w:r>
          </w:p>
        </w:tc>
        <w:tc>
          <w:tcPr>
            <w:tcW w:w="2551" w:type="dxa"/>
            <w:vAlign w:val="center"/>
          </w:tcPr>
          <w:p>
            <w:pPr>
              <w:pStyle w:val="13"/>
            </w:pPr>
            <w:r>
              <w:t>587350.00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587350.00</w:t>
            </w:r>
          </w:p>
        </w:tc>
        <w:tc>
          <w:tcPr>
            <w:tcW w:w="2551" w:type="dxa"/>
            <w:vAlign w:val="center"/>
          </w:tcPr>
          <w:p>
            <w:pPr>
              <w:pStyle w:val="13"/>
            </w:pPr>
            <w:r>
              <w:t>587350.00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2012950</w:t>
            </w:r>
          </w:p>
        </w:tc>
        <w:tc>
          <w:tcPr>
            <w:tcW w:w="4535" w:type="dxa"/>
            <w:vAlign w:val="center"/>
          </w:tcPr>
          <w:p>
            <w:pPr>
              <w:pStyle w:val="14"/>
            </w:pPr>
            <w:r>
              <w:t>事业运行</w:t>
            </w:r>
          </w:p>
        </w:tc>
        <w:tc>
          <w:tcPr>
            <w:tcW w:w="2551" w:type="dxa"/>
            <w:vAlign w:val="center"/>
          </w:tcPr>
          <w:p>
            <w:pPr>
              <w:pStyle w:val="13"/>
            </w:pPr>
            <w:r>
              <w:t>587350.00</w:t>
            </w:r>
          </w:p>
        </w:tc>
        <w:tc>
          <w:tcPr>
            <w:tcW w:w="2551" w:type="dxa"/>
            <w:vAlign w:val="center"/>
          </w:tcPr>
          <w:p>
            <w:pPr>
              <w:pStyle w:val="13"/>
            </w:pPr>
            <w:r>
              <w:t>587350.00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48000.00</w:t>
            </w:r>
          </w:p>
        </w:tc>
        <w:tc>
          <w:tcPr>
            <w:tcW w:w="2551" w:type="dxa"/>
            <w:vAlign w:val="center"/>
          </w:tcPr>
          <w:p>
            <w:pPr>
              <w:pStyle w:val="13"/>
            </w:pPr>
          </w:p>
        </w:tc>
        <w:tc>
          <w:tcPr>
            <w:tcW w:w="2551" w:type="dxa"/>
            <w:vAlign w:val="center"/>
          </w:tcPr>
          <w:p>
            <w:pPr>
              <w:pStyle w:val="13"/>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48000.00</w:t>
            </w:r>
          </w:p>
        </w:tc>
        <w:tc>
          <w:tcPr>
            <w:tcW w:w="2551" w:type="dxa"/>
            <w:vAlign w:val="center"/>
          </w:tcPr>
          <w:p>
            <w:pPr>
              <w:pStyle w:val="13"/>
            </w:pPr>
          </w:p>
        </w:tc>
        <w:tc>
          <w:tcPr>
            <w:tcW w:w="2551" w:type="dxa"/>
            <w:vAlign w:val="center"/>
          </w:tcPr>
          <w:p>
            <w:pPr>
              <w:pStyle w:val="13"/>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2070111</w:t>
            </w:r>
          </w:p>
        </w:tc>
        <w:tc>
          <w:tcPr>
            <w:tcW w:w="4535" w:type="dxa"/>
            <w:vAlign w:val="center"/>
          </w:tcPr>
          <w:p>
            <w:pPr>
              <w:pStyle w:val="14"/>
            </w:pPr>
            <w:r>
              <w:t>文化创作与保护</w:t>
            </w:r>
          </w:p>
        </w:tc>
        <w:tc>
          <w:tcPr>
            <w:tcW w:w="2551" w:type="dxa"/>
            <w:vAlign w:val="center"/>
          </w:tcPr>
          <w:p>
            <w:pPr>
              <w:pStyle w:val="13"/>
            </w:pPr>
            <w:r>
              <w:t>48000.00</w:t>
            </w:r>
          </w:p>
        </w:tc>
        <w:tc>
          <w:tcPr>
            <w:tcW w:w="2551" w:type="dxa"/>
            <w:vAlign w:val="center"/>
          </w:tcPr>
          <w:p>
            <w:pPr>
              <w:pStyle w:val="13"/>
            </w:pPr>
          </w:p>
        </w:tc>
        <w:tc>
          <w:tcPr>
            <w:tcW w:w="2551" w:type="dxa"/>
            <w:vAlign w:val="center"/>
          </w:tcPr>
          <w:p>
            <w:pPr>
              <w:pStyle w:val="13"/>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85153.00</w:t>
            </w:r>
          </w:p>
        </w:tc>
        <w:tc>
          <w:tcPr>
            <w:tcW w:w="2551" w:type="dxa"/>
            <w:vAlign w:val="center"/>
          </w:tcPr>
          <w:p>
            <w:pPr>
              <w:pStyle w:val="13"/>
            </w:pPr>
            <w:r>
              <w:t>85153.00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80016.70</w:t>
            </w:r>
          </w:p>
        </w:tc>
        <w:tc>
          <w:tcPr>
            <w:tcW w:w="2551" w:type="dxa"/>
            <w:vAlign w:val="center"/>
          </w:tcPr>
          <w:p>
            <w:pPr>
              <w:pStyle w:val="13"/>
            </w:pPr>
            <w:r>
              <w:t>80016.70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80016.70</w:t>
            </w:r>
          </w:p>
        </w:tc>
        <w:tc>
          <w:tcPr>
            <w:tcW w:w="2551" w:type="dxa"/>
            <w:vAlign w:val="center"/>
          </w:tcPr>
          <w:p>
            <w:pPr>
              <w:pStyle w:val="13"/>
            </w:pPr>
            <w:r>
              <w:t>80016.70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5136.30</w:t>
            </w:r>
          </w:p>
        </w:tc>
        <w:tc>
          <w:tcPr>
            <w:tcW w:w="2551" w:type="dxa"/>
            <w:vAlign w:val="center"/>
          </w:tcPr>
          <w:p>
            <w:pPr>
              <w:pStyle w:val="13"/>
            </w:pPr>
            <w:r>
              <w:t>5136.30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5136.30</w:t>
            </w:r>
          </w:p>
        </w:tc>
        <w:tc>
          <w:tcPr>
            <w:tcW w:w="2551" w:type="dxa"/>
            <w:vAlign w:val="center"/>
          </w:tcPr>
          <w:p>
            <w:pPr>
              <w:pStyle w:val="13"/>
            </w:pPr>
            <w:r>
              <w:t>5136.30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35599.60</w:t>
            </w:r>
          </w:p>
        </w:tc>
        <w:tc>
          <w:tcPr>
            <w:tcW w:w="2551" w:type="dxa"/>
            <w:vAlign w:val="center"/>
          </w:tcPr>
          <w:p>
            <w:pPr>
              <w:pStyle w:val="13"/>
            </w:pPr>
            <w:r>
              <w:t>35599.60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35599.60</w:t>
            </w:r>
          </w:p>
        </w:tc>
        <w:tc>
          <w:tcPr>
            <w:tcW w:w="2551" w:type="dxa"/>
            <w:vAlign w:val="center"/>
          </w:tcPr>
          <w:p>
            <w:pPr>
              <w:pStyle w:val="13"/>
            </w:pPr>
            <w:r>
              <w:t>35599.60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35599.60</w:t>
            </w:r>
          </w:p>
        </w:tc>
        <w:tc>
          <w:tcPr>
            <w:tcW w:w="2551" w:type="dxa"/>
            <w:vAlign w:val="center"/>
          </w:tcPr>
          <w:p>
            <w:pPr>
              <w:pStyle w:val="13"/>
            </w:pPr>
            <w:r>
              <w:t>35599.60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64332.50</w:t>
            </w:r>
          </w:p>
        </w:tc>
        <w:tc>
          <w:tcPr>
            <w:tcW w:w="2551" w:type="dxa"/>
            <w:vAlign w:val="center"/>
          </w:tcPr>
          <w:p>
            <w:pPr>
              <w:pStyle w:val="13"/>
            </w:pPr>
            <w:r>
              <w:t>64332.50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64332.50</w:t>
            </w:r>
          </w:p>
        </w:tc>
        <w:tc>
          <w:tcPr>
            <w:tcW w:w="2551" w:type="dxa"/>
            <w:vAlign w:val="center"/>
          </w:tcPr>
          <w:p>
            <w:pPr>
              <w:pStyle w:val="13"/>
            </w:pPr>
            <w:r>
              <w:t>64332.50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64332.50</w:t>
            </w:r>
          </w:p>
        </w:tc>
        <w:tc>
          <w:tcPr>
            <w:tcW w:w="2551" w:type="dxa"/>
            <w:vAlign w:val="center"/>
          </w:tcPr>
          <w:p>
            <w:pPr>
              <w:pStyle w:val="13"/>
            </w:pPr>
            <w:r>
              <w:t>64332.50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715井陉县文学艺术界联合会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772435.10</w:t>
            </w:r>
          </w:p>
        </w:tc>
        <w:tc>
          <w:tcPr>
            <w:tcW w:w="2551" w:type="dxa"/>
            <w:vAlign w:val="center"/>
          </w:tcPr>
          <w:p>
            <w:pPr>
              <w:pStyle w:val="17"/>
            </w:pPr>
            <w:r>
              <w:t>743635.10</w:t>
            </w:r>
          </w:p>
        </w:tc>
        <w:tc>
          <w:tcPr>
            <w:tcW w:w="2551" w:type="dxa"/>
            <w:vAlign w:val="center"/>
          </w:tcPr>
          <w:p>
            <w:pPr>
              <w:pStyle w:val="17"/>
            </w:pPr>
            <w:r>
              <w:t>28800.00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743635.10</w:t>
            </w:r>
          </w:p>
        </w:tc>
        <w:tc>
          <w:tcPr>
            <w:tcW w:w="2551" w:type="dxa"/>
            <w:vAlign w:val="center"/>
          </w:tcPr>
          <w:p>
            <w:pPr>
              <w:pStyle w:val="13"/>
            </w:pPr>
            <w:r>
              <w:t>743635.10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284880.00</w:t>
            </w:r>
          </w:p>
        </w:tc>
        <w:tc>
          <w:tcPr>
            <w:tcW w:w="2551" w:type="dxa"/>
            <w:vAlign w:val="center"/>
          </w:tcPr>
          <w:p>
            <w:pPr>
              <w:pStyle w:val="13"/>
            </w:pPr>
            <w:r>
              <w:t>284880.00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15246.00</w:t>
            </w:r>
          </w:p>
        </w:tc>
        <w:tc>
          <w:tcPr>
            <w:tcW w:w="2551" w:type="dxa"/>
            <w:vAlign w:val="center"/>
          </w:tcPr>
          <w:p>
            <w:pPr>
              <w:pStyle w:val="13"/>
            </w:pPr>
            <w:r>
              <w:t>15246.00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258424.00</w:t>
            </w:r>
          </w:p>
        </w:tc>
        <w:tc>
          <w:tcPr>
            <w:tcW w:w="2551" w:type="dxa"/>
            <w:vAlign w:val="center"/>
          </w:tcPr>
          <w:p>
            <w:pPr>
              <w:pStyle w:val="13"/>
            </w:pPr>
            <w:r>
              <w:t>258424.00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80016.70</w:t>
            </w:r>
          </w:p>
        </w:tc>
        <w:tc>
          <w:tcPr>
            <w:tcW w:w="2551" w:type="dxa"/>
            <w:vAlign w:val="center"/>
          </w:tcPr>
          <w:p>
            <w:pPr>
              <w:pStyle w:val="13"/>
            </w:pPr>
            <w:r>
              <w:t>80016.70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35599.60</w:t>
            </w:r>
          </w:p>
        </w:tc>
        <w:tc>
          <w:tcPr>
            <w:tcW w:w="2551" w:type="dxa"/>
            <w:vAlign w:val="center"/>
          </w:tcPr>
          <w:p>
            <w:pPr>
              <w:pStyle w:val="13"/>
            </w:pPr>
            <w:r>
              <w:t>35599.60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5136.30</w:t>
            </w:r>
          </w:p>
        </w:tc>
        <w:tc>
          <w:tcPr>
            <w:tcW w:w="2551" w:type="dxa"/>
            <w:vAlign w:val="center"/>
          </w:tcPr>
          <w:p>
            <w:pPr>
              <w:pStyle w:val="13"/>
            </w:pPr>
            <w:r>
              <w:t>5136.30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64332.50</w:t>
            </w:r>
          </w:p>
        </w:tc>
        <w:tc>
          <w:tcPr>
            <w:tcW w:w="2551" w:type="dxa"/>
            <w:vAlign w:val="center"/>
          </w:tcPr>
          <w:p>
            <w:pPr>
              <w:pStyle w:val="13"/>
            </w:pPr>
            <w:r>
              <w:t>64332.50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28800.00</w:t>
            </w:r>
          </w:p>
        </w:tc>
        <w:tc>
          <w:tcPr>
            <w:tcW w:w="2551" w:type="dxa"/>
            <w:vAlign w:val="center"/>
          </w:tcPr>
          <w:p>
            <w:pPr>
              <w:pStyle w:val="13"/>
            </w:pPr>
          </w:p>
        </w:tc>
        <w:tc>
          <w:tcPr>
            <w:tcW w:w="2551" w:type="dxa"/>
            <w:vAlign w:val="center"/>
          </w:tcPr>
          <w:p>
            <w:pPr>
              <w:pStyle w:val="13"/>
            </w:pPr>
            <w:r>
              <w:t>28800.00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10200.00</w:t>
            </w:r>
          </w:p>
        </w:tc>
        <w:tc>
          <w:tcPr>
            <w:tcW w:w="2551" w:type="dxa"/>
            <w:vAlign w:val="center"/>
          </w:tcPr>
          <w:p>
            <w:pPr>
              <w:pStyle w:val="13"/>
            </w:pPr>
          </w:p>
        </w:tc>
        <w:tc>
          <w:tcPr>
            <w:tcW w:w="2551" w:type="dxa"/>
            <w:vAlign w:val="center"/>
          </w:tcPr>
          <w:p>
            <w:pPr>
              <w:pStyle w:val="13"/>
            </w:pPr>
            <w:r>
              <w:t>10200.00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1800.00</w:t>
            </w:r>
          </w:p>
        </w:tc>
        <w:tc>
          <w:tcPr>
            <w:tcW w:w="2551" w:type="dxa"/>
            <w:vAlign w:val="center"/>
          </w:tcPr>
          <w:p>
            <w:pPr>
              <w:pStyle w:val="13"/>
            </w:pPr>
          </w:p>
        </w:tc>
        <w:tc>
          <w:tcPr>
            <w:tcW w:w="2551" w:type="dxa"/>
            <w:vAlign w:val="center"/>
          </w:tcPr>
          <w:p>
            <w:pPr>
              <w:pStyle w:val="13"/>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3000.00</w:t>
            </w:r>
          </w:p>
        </w:tc>
        <w:tc>
          <w:tcPr>
            <w:tcW w:w="2551" w:type="dxa"/>
            <w:vAlign w:val="center"/>
          </w:tcPr>
          <w:p>
            <w:pPr>
              <w:pStyle w:val="13"/>
            </w:pPr>
          </w:p>
        </w:tc>
        <w:tc>
          <w:tcPr>
            <w:tcW w:w="2551" w:type="dxa"/>
            <w:vAlign w:val="center"/>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13800.00</w:t>
            </w:r>
          </w:p>
        </w:tc>
        <w:tc>
          <w:tcPr>
            <w:tcW w:w="2551" w:type="dxa"/>
            <w:vAlign w:val="center"/>
          </w:tcPr>
          <w:p>
            <w:pPr>
              <w:pStyle w:val="13"/>
            </w:pPr>
          </w:p>
        </w:tc>
        <w:tc>
          <w:tcPr>
            <w:tcW w:w="2551" w:type="dxa"/>
            <w:vAlign w:val="center"/>
          </w:tcPr>
          <w:p>
            <w:pPr>
              <w:pStyle w:val="13"/>
            </w:pPr>
            <w:r>
              <w:t>13800.00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715井陉县文学艺术界联合会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715井陉县文学艺术界联合会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715井陉县文学艺术界联合会</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井陉县文学艺术界联合会2026年部门预算信息公开情况说明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井陉县文学艺术界联合会2026年部门预算信息公开情况说明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按照《中华人民共和国预算法》、《地方预决算公开操作规程》和《关于进一步推进预算公开工作的实施意见》规定，现将井陉县文学艺术界联合会2026年部门预算公开如下：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井陉县文学艺术界联合会主要职责：贯彻落实党的文艺方针，开展对全县文学艺术家协会的联络、协调、指导、服务；组织召开全县文学艺术界代表大会，组织和管理全县文联系统的各文学艺术家协会，推动文艺繁荣；组织团体会员开展文艺创作、文艺评论、学术交流、人才培训和调研工作；主办或协同有关部门组织文艺活动和文艺评奖，联系、组织文艺界的文化交流活动，推出有地域特色的文艺精品；井陉历史文化及民俗文化研究整理、宣传推介，传统村落立档调查等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井陉县文学艺术界联合会本级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pPr>
        <w:pStyle w:val="20"/>
      </w:pPr>
      <w:r>
        <w:t>按照预算管理有关规定，目前部门预算的编制实行综合预算管理，即全部收入和支出都反映在预算中。井陉县文学艺术界联合会机关及所属事业单位的收支包含在部门预算中。</w:t>
      </w:r>
    </w:p>
    <w:p>
      <w:pPr>
        <w:pStyle w:val="20"/>
      </w:pPr>
      <w:r>
        <w:t>1、收入说明</w:t>
      </w:r>
    </w:p>
    <w:p>
      <w:pPr>
        <w:pStyle w:val="20"/>
      </w:pPr>
      <w:r>
        <w:t>反映本部门当年全部收入。202</w:t>
      </w:r>
      <w:r>
        <w:rPr>
          <w:rFonts w:hint="eastAsia"/>
          <w:lang w:val="en-US" w:eastAsia="zh-CN"/>
        </w:rPr>
        <w:t>6</w:t>
      </w:r>
      <w:r>
        <w:t>年预算收入</w:t>
      </w:r>
      <w:r>
        <w:rPr>
          <w:rFonts w:hint="eastAsia"/>
          <w:lang w:val="en-US" w:eastAsia="zh-CN"/>
        </w:rPr>
        <w:t>820435</w:t>
      </w:r>
      <w:r>
        <w:t>.</w:t>
      </w:r>
      <w:r>
        <w:rPr>
          <w:rFonts w:hint="eastAsia"/>
          <w:lang w:val="en-US" w:eastAsia="zh-CN"/>
        </w:rPr>
        <w:t>1</w:t>
      </w:r>
      <w:r>
        <w:t>0元，其中：一般公共预算收入</w:t>
      </w:r>
      <w:r>
        <w:rPr>
          <w:rFonts w:hint="eastAsia"/>
          <w:lang w:val="en-US" w:eastAsia="zh-CN"/>
        </w:rPr>
        <w:t>820435</w:t>
      </w:r>
      <w:r>
        <w:t>.</w:t>
      </w:r>
      <w:r>
        <w:rPr>
          <w:rFonts w:hint="eastAsia"/>
          <w:lang w:val="en-US" w:eastAsia="zh-CN"/>
        </w:rPr>
        <w:t>1</w:t>
      </w:r>
      <w:r>
        <w:t>0元，基金预算收入0.00元，国有资本经营预算收入0.00元，财政专户核拨收入0.00元，单位资金收入0.00元，上年结转结余0.00元。</w:t>
      </w:r>
    </w:p>
    <w:p>
      <w:pPr>
        <w:pStyle w:val="20"/>
      </w:pPr>
      <w:r>
        <w:t>2、支出说明</w:t>
      </w:r>
    </w:p>
    <w:p>
      <w:pPr>
        <w:pStyle w:val="20"/>
      </w:pPr>
      <w:r>
        <w:t>收支预算总表支出栏、基本支出表、项目支出表按经济分类和支出功能分类科目编制，反映井陉县文学艺术界联合会年度部门预算中支出预算的总体情况。202</w:t>
      </w:r>
      <w:r>
        <w:rPr>
          <w:rFonts w:hint="eastAsia"/>
          <w:lang w:val="en-US" w:eastAsia="zh-CN"/>
        </w:rPr>
        <w:t>6</w:t>
      </w:r>
      <w:r>
        <w:t>年支出预算</w:t>
      </w:r>
      <w:r>
        <w:rPr>
          <w:rFonts w:hint="eastAsia"/>
          <w:lang w:val="en-US" w:eastAsia="zh-CN"/>
        </w:rPr>
        <w:t>820435</w:t>
      </w:r>
      <w:r>
        <w:t>.</w:t>
      </w:r>
      <w:r>
        <w:rPr>
          <w:rFonts w:hint="eastAsia"/>
          <w:lang w:val="en-US" w:eastAsia="zh-CN"/>
        </w:rPr>
        <w:t>1</w:t>
      </w:r>
      <w:r>
        <w:t>0元，其中基本支出7</w:t>
      </w:r>
      <w:r>
        <w:rPr>
          <w:rFonts w:hint="eastAsia"/>
          <w:lang w:val="en-US" w:eastAsia="zh-CN"/>
        </w:rPr>
        <w:t>72435.1</w:t>
      </w:r>
      <w:r>
        <w:t>0元，包括人员经费</w:t>
      </w:r>
      <w:r>
        <w:rPr>
          <w:rFonts w:hint="eastAsia"/>
          <w:lang w:val="en-US" w:eastAsia="zh-CN"/>
        </w:rPr>
        <w:t>743635</w:t>
      </w:r>
      <w:r>
        <w:t>.</w:t>
      </w:r>
      <w:r>
        <w:rPr>
          <w:rFonts w:hint="eastAsia"/>
          <w:lang w:val="en-US" w:eastAsia="zh-CN"/>
        </w:rPr>
        <w:t>1</w:t>
      </w:r>
      <w:r>
        <w:t>0元和日常公用经费28800.00元；项目支出48000.00元，主要为202</w:t>
      </w:r>
      <w:r>
        <w:rPr>
          <w:rFonts w:hint="eastAsia"/>
          <w:lang w:val="en-US" w:eastAsia="zh-CN"/>
        </w:rPr>
        <w:t>6</w:t>
      </w:r>
      <w:r>
        <w:t>年《苍岩文艺》编辑出版印刷费3</w:t>
      </w:r>
      <w:r>
        <w:rPr>
          <w:rFonts w:hint="eastAsia"/>
          <w:lang w:val="en-US" w:eastAsia="zh-CN"/>
        </w:rPr>
        <w:t>0</w:t>
      </w:r>
      <w:r>
        <w:t>000元，202</w:t>
      </w:r>
      <w:r>
        <w:rPr>
          <w:rFonts w:hint="eastAsia"/>
          <w:lang w:val="en-US" w:eastAsia="zh-CN"/>
        </w:rPr>
        <w:t>6</w:t>
      </w:r>
      <w:r>
        <w:t>年文联活动经费1</w:t>
      </w:r>
      <w:r>
        <w:rPr>
          <w:rFonts w:hint="eastAsia"/>
          <w:lang w:val="en-US" w:eastAsia="zh-CN"/>
        </w:rPr>
        <w:t>8</w:t>
      </w:r>
      <w:r>
        <w:t>000元。</w:t>
      </w:r>
    </w:p>
    <w:p>
      <w:pPr>
        <w:pStyle w:val="20"/>
      </w:pPr>
      <w:r>
        <w:t>3、比上年增减情况</w:t>
      </w:r>
    </w:p>
    <w:p>
      <w:pPr>
        <w:pStyle w:val="20"/>
      </w:pPr>
      <w:r>
        <w:t>202</w:t>
      </w:r>
      <w:r>
        <w:rPr>
          <w:rFonts w:hint="eastAsia"/>
          <w:lang w:val="en-US" w:eastAsia="zh-CN"/>
        </w:rPr>
        <w:t>6</w:t>
      </w:r>
      <w:r>
        <w:t>年预算收支安排</w:t>
      </w:r>
      <w:r>
        <w:rPr>
          <w:rFonts w:hint="eastAsia"/>
          <w:lang w:val="en-US" w:eastAsia="zh-CN"/>
        </w:rPr>
        <w:t>820435</w:t>
      </w:r>
      <w:r>
        <w:t>.</w:t>
      </w:r>
      <w:r>
        <w:rPr>
          <w:rFonts w:hint="eastAsia"/>
          <w:lang w:val="en-US" w:eastAsia="zh-CN"/>
        </w:rPr>
        <w:t>1</w:t>
      </w:r>
      <w:r>
        <w:t>0元，较202</w:t>
      </w:r>
      <w:r>
        <w:rPr>
          <w:rFonts w:hint="eastAsia"/>
          <w:lang w:val="en-US" w:eastAsia="zh-CN"/>
        </w:rPr>
        <w:t>5</w:t>
      </w:r>
      <w:r>
        <w:t>年预算增加</w:t>
      </w:r>
      <w:r>
        <w:rPr>
          <w:rFonts w:hint="eastAsia"/>
          <w:lang w:val="en-US" w:eastAsia="zh-CN"/>
        </w:rPr>
        <w:t>48794.1</w:t>
      </w:r>
      <w:r>
        <w:t>0元，其中：基本支出增加</w:t>
      </w:r>
      <w:r>
        <w:rPr>
          <w:rFonts w:hint="eastAsia"/>
          <w:lang w:val="en-US" w:eastAsia="zh-CN"/>
        </w:rPr>
        <w:t>48794.1</w:t>
      </w:r>
      <w:r>
        <w:t>0元，主要为机关事业单位工资人员工资福利及五险一金增加。项目支出</w:t>
      </w:r>
      <w:r>
        <w:rPr>
          <w:rFonts w:hint="eastAsia"/>
          <w:lang w:val="en-US" w:eastAsia="zh-CN"/>
        </w:rPr>
        <w:t>费用不变</w:t>
      </w:r>
      <w:r>
        <w:t>。</w:t>
      </w:r>
    </w:p>
    <w:p>
      <w:pPr>
        <w:pStyle w:val="20"/>
        <w:ind w:left="0" w:leftChars="0" w:firstLine="0" w:firstLineChars="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w:t>
      </w:r>
      <w:r>
        <w:rPr>
          <w:rFonts w:hint="eastAsia"/>
          <w:lang w:val="en-US" w:eastAsia="zh-CN"/>
        </w:rPr>
        <w:t>28800.00</w:t>
      </w:r>
      <w:bookmarkStart w:id="19" w:name="_GoBack"/>
      <w:bookmarkEnd w:id="19"/>
      <w:r>
        <w:t>元，主要用于日常维修、办公用房水电费、办公用房物业管理费</w:t>
      </w:r>
      <w:r>
        <w:rPr>
          <w:rFonts w:hint="eastAsia"/>
          <w:lang w:eastAsia="zh-CN"/>
        </w:rPr>
        <w:t>、</w:t>
      </w:r>
      <w:r>
        <w:rPr>
          <w:rFonts w:hint="eastAsia"/>
          <w:lang w:val="en-US" w:eastAsia="zh-CN"/>
        </w:rPr>
        <w:t>其他交通费、工会经费</w:t>
      </w:r>
      <w:r>
        <w:t>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0.00元，其中因公出国（境）费0.00元；公务用车购置及运维费0.00元（其中：公务用车购置费为0.00元，公务用车运维费0.00元)；公务接待费0.00元。与2025年相比增加0.00元，增减变化的主要原因是本部门无“三公”经费预算安排。</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rPr>
          <w:rFonts w:hint="default"/>
        </w:rPr>
      </w:pPr>
      <w:r>
        <w:rPr>
          <w:rFonts w:hint="default"/>
          <w:lang w:val="en-US" w:eastAsia="zh-CN"/>
        </w:rPr>
        <w:t>202</w:t>
      </w:r>
      <w:r>
        <w:rPr>
          <w:rFonts w:hint="eastAsia"/>
          <w:lang w:val="en-US" w:eastAsia="zh-CN"/>
        </w:rPr>
        <w:t>6</w:t>
      </w:r>
      <w:r>
        <w:rPr>
          <w:rFonts w:hint="default"/>
          <w:lang w:val="en-US" w:eastAsia="zh-CN"/>
        </w:rPr>
        <w:t>年，井陉县文联将紧紧围绕县委、县政府建设“休养胜地、经济强县、魅力井陉” 的总目标及全县工作重心、阶段性重项任务，贯彻落实国家、省市关于文学艺术界的重大部署，特制定以下年度发展规划目标：</w:t>
      </w:r>
    </w:p>
    <w:p>
      <w:pPr>
        <w:pStyle w:val="22"/>
      </w:pPr>
      <w:r>
        <w:rPr>
          <w:rFonts w:hint="default"/>
          <w:lang w:val="en-US" w:eastAsia="zh-CN"/>
        </w:rPr>
        <w:t>组织开展会员间的联络、协调和服务工作，听取和反映文艺界的情况和意见</w:t>
      </w:r>
      <w:r>
        <w:rPr>
          <w:rFonts w:hint="eastAsia"/>
          <w:lang w:val="en-US" w:eastAsia="zh-CN"/>
        </w:rPr>
        <w:t>；</w:t>
      </w:r>
      <w:r>
        <w:rPr>
          <w:rFonts w:hint="default"/>
          <w:lang w:val="en-US" w:eastAsia="zh-CN"/>
        </w:rPr>
        <w:t>择优推荐部分协会会员加入省市、国家级协会</w:t>
      </w:r>
      <w:r>
        <w:rPr>
          <w:rFonts w:hint="eastAsia"/>
          <w:lang w:val="en-US" w:eastAsia="zh-CN"/>
        </w:rPr>
        <w:t>；</w:t>
      </w:r>
      <w:r>
        <w:rPr>
          <w:rFonts w:hint="default"/>
          <w:lang w:val="en-US" w:eastAsia="zh-CN"/>
        </w:rPr>
        <w:t>继续做好《苍岩文艺》的编辑出版印刷工作</w:t>
      </w:r>
      <w:r>
        <w:rPr>
          <w:rFonts w:hint="eastAsia"/>
          <w:lang w:val="en-US" w:eastAsia="zh-CN"/>
        </w:rPr>
        <w:t>；</w:t>
      </w:r>
      <w:r>
        <w:rPr>
          <w:rFonts w:hint="default"/>
          <w:lang w:val="en-US" w:eastAsia="zh-CN"/>
        </w:rPr>
        <w:t>增强综合事务管理能力，保证机关工作有序、正常高效运转</w:t>
      </w:r>
      <w:r>
        <w:rPr>
          <w:rFonts w:hint="eastAsia"/>
          <w:lang w:val="en-US" w:eastAsia="zh-CN"/>
        </w:rPr>
        <w:t>；</w:t>
      </w:r>
      <w:r>
        <w:rPr>
          <w:rFonts w:hint="default"/>
          <w:lang w:val="en-US" w:eastAsia="zh-CN"/>
        </w:rPr>
        <w:t>深入挖掘井陉地域历史文化资源，陆续编撰出版《井陉传统村落》丛书</w:t>
      </w:r>
      <w:r>
        <w:rPr>
          <w:rFonts w:hint="eastAsia"/>
          <w:lang w:val="en-US" w:eastAsia="zh-CN"/>
        </w:rPr>
        <w:t>；</w:t>
      </w:r>
      <w:r>
        <w:rPr>
          <w:rFonts w:hint="default"/>
          <w:lang w:val="en-US" w:eastAsia="zh-CN"/>
        </w:rPr>
        <w:t>积极宣传、鼓励创作“魅力井陉”</w:t>
      </w:r>
      <w:r>
        <w:rPr>
          <w:rFonts w:hint="eastAsia"/>
          <w:lang w:val="en-US" w:eastAsia="zh-CN"/>
        </w:rPr>
        <w:t>。</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rPr>
          <w:rFonts w:hint="eastAsia"/>
          <w:lang w:val="en-US" w:eastAsia="zh-CN"/>
        </w:rPr>
      </w:pPr>
      <w:r>
        <w:rPr>
          <w:rFonts w:hint="default"/>
          <w:lang w:val="en-US" w:eastAsia="zh-CN"/>
        </w:rPr>
        <w:t>1、文艺联络工作</w:t>
      </w:r>
    </w:p>
    <w:p>
      <w:pPr>
        <w:pStyle w:val="22"/>
        <w:rPr>
          <w:rFonts w:hint="default"/>
          <w:lang w:val="en-US" w:eastAsia="zh-CN"/>
        </w:rPr>
      </w:pPr>
      <w:r>
        <w:rPr>
          <w:rFonts w:hint="default"/>
          <w:lang w:val="en-US" w:eastAsia="zh-CN"/>
        </w:rPr>
        <w:t>绩效目标：组织开展会员间的联络、协调和服务工作，听取和反映文艺界的情况和意见。全面推进协会管理科学化、规范化，召开联络会议，组织会员活动，为井陉文艺事业健康快速发展提供组织保障。吸纳更多文艺爱好者加入协会，择优推荐会员加入省市、国家级协会。增强综合事务管理能力，保证工作有序、正常高效运转。</w:t>
      </w:r>
    </w:p>
    <w:p>
      <w:pPr>
        <w:pStyle w:val="22"/>
        <w:rPr>
          <w:rFonts w:hint="default"/>
          <w:lang w:val="en-US" w:eastAsia="zh-CN"/>
        </w:rPr>
      </w:pPr>
      <w:r>
        <w:rPr>
          <w:rFonts w:hint="default"/>
          <w:lang w:val="en-US" w:eastAsia="zh-CN"/>
        </w:rPr>
        <w:t>绩效指标：会员满意度、加入上级协会人数。</w:t>
      </w:r>
    </w:p>
    <w:p>
      <w:pPr>
        <w:pStyle w:val="22"/>
        <w:rPr>
          <w:rFonts w:hint="default"/>
          <w:lang w:val="en-US" w:eastAsia="zh-CN"/>
        </w:rPr>
      </w:pPr>
      <w:r>
        <w:rPr>
          <w:rFonts w:hint="default"/>
          <w:lang w:val="en-US" w:eastAsia="zh-CN"/>
        </w:rPr>
        <w:t>2、文艺精品创作与推介</w:t>
      </w:r>
    </w:p>
    <w:p>
      <w:pPr>
        <w:pStyle w:val="22"/>
        <w:rPr>
          <w:rFonts w:hint="default"/>
          <w:lang w:val="en-US" w:eastAsia="zh-CN"/>
        </w:rPr>
      </w:pPr>
      <w:r>
        <w:rPr>
          <w:rFonts w:hint="default"/>
          <w:lang w:val="en-US" w:eastAsia="zh-CN"/>
        </w:rPr>
        <w:t>绩效目标：宣传、动员、组织广大文艺工作者致力于繁荣发展井陉艺术事业，组织艺术家深入生活，打造出一批体现时代精神，具有中国特色和井陉特色的艺术精品</w:t>
      </w:r>
      <w:r>
        <w:rPr>
          <w:rFonts w:hint="eastAsia"/>
          <w:lang w:val="en-US" w:eastAsia="zh-CN"/>
        </w:rPr>
        <w:t>；</w:t>
      </w:r>
      <w:r>
        <w:rPr>
          <w:rFonts w:hint="default"/>
          <w:lang w:val="en-US" w:eastAsia="zh-CN"/>
        </w:rPr>
        <w:t>广泛利用媒体多种形式推介优秀作品和人才</w:t>
      </w:r>
      <w:r>
        <w:rPr>
          <w:rFonts w:hint="eastAsia"/>
          <w:lang w:val="en-US" w:eastAsia="zh-CN"/>
        </w:rPr>
        <w:t>；</w:t>
      </w:r>
      <w:r>
        <w:rPr>
          <w:rFonts w:hint="default"/>
          <w:lang w:val="en-US" w:eastAsia="zh-CN"/>
        </w:rPr>
        <w:t>办好《苍岩文艺》内刊，营造积极向上的文化氛围。</w:t>
      </w:r>
    </w:p>
    <w:p>
      <w:pPr>
        <w:pStyle w:val="22"/>
        <w:rPr>
          <w:rFonts w:hint="default"/>
          <w:lang w:val="en-US" w:eastAsia="zh-CN"/>
        </w:rPr>
      </w:pPr>
      <w:r>
        <w:rPr>
          <w:rFonts w:hint="default"/>
          <w:lang w:val="en-US" w:eastAsia="zh-CN"/>
        </w:rPr>
        <w:t>绩效指标：文艺作品编创件数、《苍岩文艺》出版刊数、微信公众号编发条数。</w:t>
      </w:r>
    </w:p>
    <w:p>
      <w:pPr>
        <w:pStyle w:val="22"/>
        <w:rPr>
          <w:rFonts w:hint="default"/>
          <w:lang w:val="en-US" w:eastAsia="zh-CN"/>
        </w:rPr>
      </w:pPr>
      <w:r>
        <w:rPr>
          <w:rFonts w:hint="default"/>
          <w:lang w:val="en-US" w:eastAsia="zh-CN"/>
        </w:rPr>
        <w:t>3、井陉历史文化的保护与发展</w:t>
      </w:r>
    </w:p>
    <w:p>
      <w:pPr>
        <w:pStyle w:val="22"/>
        <w:rPr>
          <w:rFonts w:hint="default"/>
          <w:lang w:val="en-US" w:eastAsia="zh-CN"/>
        </w:rPr>
      </w:pPr>
      <w:r>
        <w:rPr>
          <w:rFonts w:hint="default"/>
          <w:lang w:val="en-US" w:eastAsia="zh-CN"/>
        </w:rPr>
        <w:t>绩效目标：深入挖掘井陉地域历史文化资源，陆续编撰出版《井陉传统村落》丛书</w:t>
      </w:r>
      <w:r>
        <w:rPr>
          <w:rFonts w:hint="eastAsia"/>
          <w:lang w:val="en-US" w:eastAsia="zh-CN"/>
        </w:rPr>
        <w:t>；</w:t>
      </w:r>
      <w:r>
        <w:rPr>
          <w:rFonts w:hint="default"/>
          <w:lang w:val="en-US" w:eastAsia="zh-CN"/>
        </w:rPr>
        <w:t>积极参与省市文联系统民俗文化书籍的编撰整理，为图书出版提供更多的井陉素材。</w:t>
      </w:r>
    </w:p>
    <w:p>
      <w:pPr>
        <w:pStyle w:val="22"/>
      </w:pPr>
      <w:r>
        <w:rPr>
          <w:rFonts w:hint="default"/>
          <w:lang w:val="en-US" w:eastAsia="zh-CN"/>
        </w:rPr>
        <w:t>绩效指标：工作指标完成率</w:t>
      </w:r>
    </w:p>
    <w:p>
      <w:pPr>
        <w:spacing w:before="0" w:after="0" w:line="500" w:lineRule="exact"/>
        <w:ind w:firstLine="560"/>
        <w:jc w:val="left"/>
        <w:outlineLvl w:val="9"/>
        <w:rPr>
          <w:rFonts w:hint="default"/>
          <w:lang w:val="en-US" w:eastAsia="zh-CN"/>
        </w:rPr>
      </w:pPr>
      <w:r>
        <w:rPr>
          <w:rFonts w:ascii="Times New Roman" w:hAnsi="Times New Roman" w:eastAsia="方正仿宋_GBK" w:cs="Times New Roman"/>
          <w:color w:val="000000"/>
          <w:sz w:val="28"/>
        </w:rPr>
        <w:t>（三）工作保障措施</w:t>
      </w:r>
    </w:p>
    <w:p>
      <w:pPr>
        <w:pStyle w:val="22"/>
        <w:rPr>
          <w:rFonts w:hint="default"/>
          <w:lang w:val="en-US" w:eastAsia="zh-CN"/>
        </w:rPr>
      </w:pPr>
      <w:r>
        <w:rPr>
          <w:rFonts w:hint="eastAsia"/>
          <w:lang w:val="en-US" w:eastAsia="zh-CN"/>
        </w:rPr>
        <w:t>1</w:t>
      </w:r>
      <w:r>
        <w:rPr>
          <w:rFonts w:hint="default"/>
          <w:lang w:val="en-US" w:eastAsia="zh-CN"/>
        </w:rPr>
        <w:t>、加强组织建设。建立健全预算绩效管理制度。年初召开文联主席团会，统筹安排，明确目标，责任到人，确保各项工作落实到位。</w:t>
      </w:r>
    </w:p>
    <w:p>
      <w:pPr>
        <w:pStyle w:val="22"/>
        <w:rPr>
          <w:rFonts w:hint="default"/>
          <w:lang w:val="en-US" w:eastAsia="zh-CN"/>
        </w:rPr>
      </w:pPr>
      <w:r>
        <w:rPr>
          <w:rFonts w:hint="default"/>
          <w:lang w:val="en-US" w:eastAsia="zh-CN"/>
        </w:rPr>
        <w:t>2、规范财务管理。进一步完善财务管理制度，通过科学编报预算，优化支出结构，加快项目进度，及时使用资金，确保经费支出进度达到规定标准。</w:t>
      </w:r>
    </w:p>
    <w:p>
      <w:pPr>
        <w:pStyle w:val="22"/>
        <w:rPr>
          <w:rFonts w:hint="default"/>
          <w:lang w:val="en-US" w:eastAsia="zh-CN"/>
        </w:rPr>
      </w:pPr>
      <w:r>
        <w:rPr>
          <w:rFonts w:hint="default"/>
          <w:lang w:val="en-US" w:eastAsia="zh-CN"/>
        </w:rPr>
        <w:t>3、加强内部监督。加强内部监督制度建设，对绩效运行、重大支出事项开展研讨，确保财政资金使用安全合规。</w:t>
      </w:r>
    </w:p>
    <w:p>
      <w:pPr>
        <w:pStyle w:val="22"/>
        <w:rPr>
          <w:rFonts w:hint="default"/>
          <w:lang w:val="en-US" w:eastAsia="zh-CN"/>
        </w:rPr>
      </w:pPr>
      <w:r>
        <w:rPr>
          <w:rFonts w:hint="default"/>
          <w:lang w:val="en-US" w:eastAsia="zh-CN"/>
        </w:rPr>
        <w:t>4、加强绩效监控。积极开展绩效运行监控，发现问题及时采取措施，确保绩效目标如期保质实现。</w:t>
      </w:r>
    </w:p>
    <w:p>
      <w:pPr>
        <w:pStyle w:val="22"/>
        <w:rPr>
          <w:rFonts w:hint="default"/>
          <w:lang w:val="en-US" w:eastAsia="zh-CN"/>
        </w:rPr>
      </w:pPr>
      <w:r>
        <w:rPr>
          <w:rFonts w:hint="default"/>
          <w:lang w:val="en-US" w:eastAsia="zh-CN"/>
        </w:rPr>
        <w:t>5、做好绩效自评。按要求开展部门预算绩效自评工作，对评价中发现的问题及时整改。</w:t>
      </w:r>
    </w:p>
    <w:p>
      <w:pPr>
        <w:pStyle w:val="22"/>
        <w:rPr>
          <w:rFonts w:hint="default"/>
          <w:lang w:val="en-US" w:eastAsia="zh-CN"/>
        </w:rPr>
      </w:pPr>
      <w:r>
        <w:rPr>
          <w:rFonts w:hint="default"/>
          <w:lang w:val="en-US" w:eastAsia="zh-CN"/>
        </w:rPr>
        <w:t>6、加强宣传培训。加强人员培训，加大宣传力度，强化预算绩效管理意识，促进预算绩效管理水平提升。</w:t>
      </w:r>
    </w:p>
    <w:p>
      <w:pPr>
        <w:pStyle w:val="25"/>
        <w:sectPr>
          <w:pgSz w:w="16840" w:h="11900" w:orient="landscape"/>
          <w:pgMar w:top="1361" w:right="1020" w:bottom="1361" w:left="1020" w:header="720" w:footer="720" w:gutter="0"/>
          <w:cols w:space="720" w:num="1"/>
        </w:sectPr>
      </w:pPr>
    </w:p>
    <w:p>
      <w:pPr>
        <w:numPr>
          <w:ilvl w:val="0"/>
          <w:numId w:val="2"/>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p>
    <w:p>
      <w:pPr>
        <w:pStyle w:val="22"/>
        <w:rPr>
          <w:rFonts w:hint="eastAsia"/>
          <w:lang w:eastAsia="zh-CN"/>
        </w:rPr>
        <w:sectPr>
          <w:pgSz w:w="16840" w:h="11900" w:orient="landscape"/>
          <w:pgMar w:top="1361" w:right="1020" w:bottom="1134" w:left="1020" w:header="720" w:footer="720" w:gutter="0"/>
          <w:cols w:space="720" w:num="1"/>
        </w:sectPr>
      </w:pPr>
      <w:r>
        <w:rPr>
          <w:rFonts w:hint="eastAsia"/>
          <w:lang w:eastAsia="zh-CN"/>
        </w:rPr>
        <w:t>我部门无专项资金</w:t>
      </w:r>
    </w:p>
    <w:p>
      <w:pPr>
        <w:spacing w:before="10" w:after="10" w:line="360" w:lineRule="auto"/>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pPr>
        <w:spacing w:before="0" w:after="0"/>
        <w:ind w:firstLine="560"/>
        <w:jc w:val="left"/>
        <w:outlineLvl w:val="9"/>
      </w:pPr>
      <w:r>
        <w:rPr>
          <w:rFonts w:ascii="方正仿宋_GBK" w:hAnsi="方正仿宋_GBK" w:eastAsia="方正仿宋_GBK" w:cs="方正仿宋_GBK"/>
          <w:color w:val="000000"/>
          <w:sz w:val="28"/>
        </w:rPr>
        <w:t>1、2026年苍岩文艺编辑制作经费绩效目标表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13012126P00CHE310017G</w:t>
            </w:r>
          </w:p>
        </w:tc>
        <w:tc>
          <w:tcPr>
            <w:tcW w:w="2835" w:type="dxa"/>
            <w:vAlign w:val="center"/>
          </w:tcPr>
          <w:p>
            <w:pPr>
              <w:pStyle w:val="12"/>
            </w:pPr>
            <w:r>
              <w:t>项目名称</w:t>
            </w:r>
          </w:p>
        </w:tc>
        <w:tc>
          <w:tcPr>
            <w:tcW w:w="6095" w:type="dxa"/>
            <w:gridSpan w:val="3"/>
            <w:vAlign w:val="center"/>
          </w:tcPr>
          <w:p>
            <w:pPr>
              <w:pStyle w:val="14"/>
            </w:pPr>
            <w:r>
              <w:t>2026年苍岩文艺编辑制作经费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30000.00</w:t>
            </w:r>
          </w:p>
        </w:tc>
        <w:tc>
          <w:tcPr>
            <w:tcW w:w="2835" w:type="dxa"/>
            <w:vAlign w:val="center"/>
          </w:tcPr>
          <w:p>
            <w:pPr>
              <w:pStyle w:val="12"/>
            </w:pPr>
            <w:r>
              <w:t>其中：财政    资金</w:t>
            </w:r>
          </w:p>
        </w:tc>
        <w:tc>
          <w:tcPr>
            <w:tcW w:w="2551" w:type="dxa"/>
            <w:vAlign w:val="center"/>
          </w:tcPr>
          <w:p>
            <w:pPr>
              <w:pStyle w:val="14"/>
            </w:pPr>
            <w:r>
              <w:t>30000.00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用于2026年两期《苍岩文艺》期刊的编辑制作。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1.通过编辑排版制作2026年《苍岩文艺》刊物，宣传我县文艺精品和人才，繁荣文艺创作，展现“休养胜地  经济强县  魅力井陉”文艺</w:t>
            </w:r>
          </w:p>
          <w:p>
            <w:pPr>
              <w:pStyle w:val="14"/>
            </w:pPr>
            <w:r>
              <w:t>新风貌。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编辑排版制作期数</w:t>
            </w:r>
          </w:p>
        </w:tc>
        <w:tc>
          <w:tcPr>
            <w:tcW w:w="5386" w:type="dxa"/>
            <w:vAlign w:val="center"/>
          </w:tcPr>
          <w:p>
            <w:pPr>
              <w:pStyle w:val="14"/>
            </w:pPr>
            <w:r>
              <w:t>编辑排版制作期数</w:t>
            </w:r>
          </w:p>
        </w:tc>
        <w:tc>
          <w:tcPr>
            <w:tcW w:w="2268" w:type="dxa"/>
            <w:vAlign w:val="center"/>
          </w:tcPr>
          <w:p>
            <w:pPr>
              <w:pStyle w:val="14"/>
            </w:pPr>
            <w:r>
              <w:t>≥2期</w:t>
            </w:r>
          </w:p>
        </w:tc>
        <w:tc>
          <w:tcPr>
            <w:tcW w:w="1276" w:type="dxa"/>
            <w:vAlign w:val="center"/>
          </w:tcPr>
          <w:p>
            <w:pPr>
              <w:pStyle w:val="14"/>
            </w:pPr>
            <w:r>
              <w:t>井文联【2007】1号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刊发出版文艺作品质量合格率</w:t>
            </w:r>
          </w:p>
        </w:tc>
        <w:tc>
          <w:tcPr>
            <w:tcW w:w="5386" w:type="dxa"/>
            <w:vAlign w:val="center"/>
          </w:tcPr>
          <w:p>
            <w:pPr>
              <w:pStyle w:val="14"/>
            </w:pPr>
            <w:r>
              <w:t>刊发出版文艺作品质量合格率</w:t>
            </w:r>
          </w:p>
        </w:tc>
        <w:tc>
          <w:tcPr>
            <w:tcW w:w="2268" w:type="dxa"/>
            <w:vAlign w:val="center"/>
          </w:tcPr>
          <w:p>
            <w:pPr>
              <w:pStyle w:val="14"/>
            </w:pPr>
            <w:r>
              <w:t>100%</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出版及时率</w:t>
            </w:r>
          </w:p>
        </w:tc>
        <w:tc>
          <w:tcPr>
            <w:tcW w:w="5386" w:type="dxa"/>
            <w:vAlign w:val="center"/>
          </w:tcPr>
          <w:p>
            <w:pPr>
              <w:pStyle w:val="14"/>
            </w:pPr>
            <w:r>
              <w:t>出版刊物及时情况</w:t>
            </w:r>
          </w:p>
        </w:tc>
        <w:tc>
          <w:tcPr>
            <w:tcW w:w="2268" w:type="dxa"/>
            <w:vAlign w:val="center"/>
          </w:tcPr>
          <w:p>
            <w:pPr>
              <w:pStyle w:val="14"/>
            </w:pPr>
            <w:r>
              <w:t>100%</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平均每期制作成本</w:t>
            </w:r>
          </w:p>
        </w:tc>
        <w:tc>
          <w:tcPr>
            <w:tcW w:w="5386" w:type="dxa"/>
            <w:vAlign w:val="center"/>
          </w:tcPr>
          <w:p>
            <w:pPr>
              <w:pStyle w:val="14"/>
            </w:pPr>
            <w:r>
              <w:t>平均每期制作成本</w:t>
            </w:r>
          </w:p>
        </w:tc>
        <w:tc>
          <w:tcPr>
            <w:tcW w:w="2268" w:type="dxa"/>
            <w:vAlign w:val="center"/>
          </w:tcPr>
          <w:p>
            <w:pPr>
              <w:pStyle w:val="14"/>
            </w:pPr>
            <w:r>
              <w:t>≤1.5万元</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刊发文章篇数</w:t>
            </w:r>
          </w:p>
        </w:tc>
        <w:tc>
          <w:tcPr>
            <w:tcW w:w="5386" w:type="dxa"/>
            <w:vAlign w:val="center"/>
          </w:tcPr>
          <w:p>
            <w:pPr>
              <w:pStyle w:val="14"/>
            </w:pPr>
            <w:r>
              <w:t>期刊内容数量篇数</w:t>
            </w:r>
          </w:p>
        </w:tc>
        <w:tc>
          <w:tcPr>
            <w:tcW w:w="2268" w:type="dxa"/>
            <w:vAlign w:val="center"/>
          </w:tcPr>
          <w:p>
            <w:pPr>
              <w:pStyle w:val="14"/>
            </w:pPr>
            <w:r>
              <w:t>≥100篇</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读者满意度</w:t>
            </w:r>
          </w:p>
        </w:tc>
        <w:tc>
          <w:tcPr>
            <w:tcW w:w="5386" w:type="dxa"/>
            <w:vAlign w:val="center"/>
          </w:tcPr>
          <w:p>
            <w:pPr>
              <w:pStyle w:val="14"/>
            </w:pPr>
            <w:r>
              <w:t>读者对刊物的满意度</w:t>
            </w:r>
          </w:p>
        </w:tc>
        <w:tc>
          <w:tcPr>
            <w:tcW w:w="2268" w:type="dxa"/>
            <w:vAlign w:val="center"/>
          </w:tcPr>
          <w:p>
            <w:pPr>
              <w:pStyle w:val="14"/>
            </w:pPr>
            <w:r>
              <w:t>≥95%</w:t>
            </w:r>
          </w:p>
        </w:tc>
        <w:tc>
          <w:tcPr>
            <w:tcW w:w="1276" w:type="dxa"/>
            <w:vAlign w:val="center"/>
          </w:tcPr>
          <w:p>
            <w:pPr>
              <w:pStyle w:val="14"/>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2、2026年文联活动经费绩效目标表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13012126P00CHE3100184</w:t>
            </w:r>
          </w:p>
        </w:tc>
        <w:tc>
          <w:tcPr>
            <w:tcW w:w="2835" w:type="dxa"/>
            <w:vAlign w:val="center"/>
          </w:tcPr>
          <w:p>
            <w:pPr>
              <w:pStyle w:val="12"/>
            </w:pPr>
            <w:r>
              <w:t>项目名称</w:t>
            </w:r>
          </w:p>
        </w:tc>
        <w:tc>
          <w:tcPr>
            <w:tcW w:w="6095" w:type="dxa"/>
            <w:gridSpan w:val="3"/>
            <w:vAlign w:val="center"/>
          </w:tcPr>
          <w:p>
            <w:pPr>
              <w:pStyle w:val="14"/>
            </w:pPr>
            <w:r>
              <w:t>2026年文联活动经费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18000.00</w:t>
            </w:r>
          </w:p>
        </w:tc>
        <w:tc>
          <w:tcPr>
            <w:tcW w:w="2835" w:type="dxa"/>
            <w:vAlign w:val="center"/>
          </w:tcPr>
          <w:p>
            <w:pPr>
              <w:pStyle w:val="12"/>
            </w:pPr>
            <w:r>
              <w:t>其中：财政    资金</w:t>
            </w:r>
          </w:p>
        </w:tc>
        <w:tc>
          <w:tcPr>
            <w:tcW w:w="2551" w:type="dxa"/>
            <w:vAlign w:val="center"/>
          </w:tcPr>
          <w:p>
            <w:pPr>
              <w:pStyle w:val="14"/>
            </w:pPr>
            <w:r>
              <w:t>18000.00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用于文联12个协会举办创作、展示、展演等活动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1.通过组织文联12个协会举办创作、展示、展演等活动，展示我县全面发展新成果，促进我县文艺事业繁荣发展。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组织举办各种文化活动次数</w:t>
            </w:r>
          </w:p>
        </w:tc>
        <w:tc>
          <w:tcPr>
            <w:tcW w:w="5386" w:type="dxa"/>
            <w:vAlign w:val="center"/>
          </w:tcPr>
          <w:p>
            <w:pPr>
              <w:pStyle w:val="14"/>
            </w:pPr>
            <w:r>
              <w:t>组织举办各种文化活动次数</w:t>
            </w:r>
          </w:p>
        </w:tc>
        <w:tc>
          <w:tcPr>
            <w:tcW w:w="2268" w:type="dxa"/>
            <w:vAlign w:val="center"/>
          </w:tcPr>
          <w:p>
            <w:pPr>
              <w:pStyle w:val="14"/>
            </w:pPr>
            <w:r>
              <w:t>≥12次</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举办各种文化活动质量合格率</w:t>
            </w:r>
          </w:p>
        </w:tc>
        <w:tc>
          <w:tcPr>
            <w:tcW w:w="5386" w:type="dxa"/>
            <w:vAlign w:val="center"/>
          </w:tcPr>
          <w:p>
            <w:pPr>
              <w:pStyle w:val="14"/>
            </w:pPr>
            <w:r>
              <w:t>举办各种文化活动质量合格率</w:t>
            </w:r>
          </w:p>
        </w:tc>
        <w:tc>
          <w:tcPr>
            <w:tcW w:w="2268" w:type="dxa"/>
            <w:vAlign w:val="center"/>
          </w:tcPr>
          <w:p>
            <w:pPr>
              <w:pStyle w:val="14"/>
            </w:pPr>
            <w:r>
              <w:t>100%</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文化活动举办及时率</w:t>
            </w:r>
          </w:p>
        </w:tc>
        <w:tc>
          <w:tcPr>
            <w:tcW w:w="5386" w:type="dxa"/>
            <w:vAlign w:val="center"/>
          </w:tcPr>
          <w:p>
            <w:pPr>
              <w:pStyle w:val="14"/>
            </w:pPr>
            <w:r>
              <w:t>文化活动举办及时率</w:t>
            </w:r>
          </w:p>
        </w:tc>
        <w:tc>
          <w:tcPr>
            <w:tcW w:w="2268" w:type="dxa"/>
            <w:vAlign w:val="center"/>
          </w:tcPr>
          <w:p>
            <w:pPr>
              <w:pStyle w:val="14"/>
            </w:pPr>
            <w:r>
              <w:t>100%</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组织举办各种文化活动平均成本</w:t>
            </w:r>
          </w:p>
        </w:tc>
        <w:tc>
          <w:tcPr>
            <w:tcW w:w="5386" w:type="dxa"/>
            <w:vAlign w:val="center"/>
          </w:tcPr>
          <w:p>
            <w:pPr>
              <w:pStyle w:val="14"/>
            </w:pPr>
            <w:r>
              <w:t>组织举办各种文化活动平均成本</w:t>
            </w:r>
          </w:p>
        </w:tc>
        <w:tc>
          <w:tcPr>
            <w:tcW w:w="2268" w:type="dxa"/>
            <w:vAlign w:val="center"/>
          </w:tcPr>
          <w:p>
            <w:pPr>
              <w:pStyle w:val="14"/>
            </w:pPr>
            <w:r>
              <w:t>≤0.15万/次</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举办各种文化活动参与人次</w:t>
            </w:r>
          </w:p>
        </w:tc>
        <w:tc>
          <w:tcPr>
            <w:tcW w:w="5386" w:type="dxa"/>
            <w:vAlign w:val="center"/>
          </w:tcPr>
          <w:p>
            <w:pPr>
              <w:pStyle w:val="14"/>
            </w:pPr>
            <w:r>
              <w:t>举办各种文化活动参与人次</w:t>
            </w:r>
          </w:p>
        </w:tc>
        <w:tc>
          <w:tcPr>
            <w:tcW w:w="2268" w:type="dxa"/>
            <w:vAlign w:val="center"/>
          </w:tcPr>
          <w:p>
            <w:pPr>
              <w:pStyle w:val="14"/>
            </w:pPr>
            <w:r>
              <w:t>≥500人次</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群众对文联活动的满意度</w:t>
            </w:r>
          </w:p>
        </w:tc>
        <w:tc>
          <w:tcPr>
            <w:tcW w:w="2268" w:type="dxa"/>
            <w:vAlign w:val="center"/>
          </w:tcPr>
          <w:p>
            <w:pPr>
              <w:pStyle w:val="14"/>
            </w:pPr>
            <w:r>
              <w:t>≥95%</w:t>
            </w:r>
          </w:p>
        </w:tc>
        <w:tc>
          <w:tcPr>
            <w:tcW w:w="1276" w:type="dxa"/>
            <w:vAlign w:val="center"/>
          </w:tcPr>
          <w:p>
            <w:pPr>
              <w:pStyle w:val="14"/>
            </w:pPr>
            <w:r>
              <w:t>调查问卷</w:t>
            </w:r>
            <w:r>
              <w:tab/>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715井陉县文学艺术界联合会</w:t>
            </w:r>
          </w:p>
        </w:tc>
        <w:tc>
          <w:tcPr>
            <w:tcW w:w="8676" w:type="dxa"/>
            <w:gridSpan w:val="9"/>
            <w:tcBorders>
              <w:top w:val="single" w:color="FFFFFF" w:sz="6" w:space="0"/>
              <w:left w:val="single" w:color="FFFFFF" w:sz="6" w:space="0"/>
              <w:right w:val="single" w:color="FFFFFF" w:sz="6" w:space="0"/>
            </w:tcBorders>
            <w:vAlign w:val="center"/>
          </w:tcPr>
          <w:p>
            <w:pPr>
              <w:pStyle w:val="2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1000.00</w:t>
            </w:r>
          </w:p>
        </w:tc>
        <w:tc>
          <w:tcPr>
            <w:tcW w:w="964" w:type="dxa"/>
            <w:vAlign w:val="center"/>
          </w:tcPr>
          <w:p>
            <w:pPr>
              <w:pStyle w:val="17"/>
            </w:pPr>
            <w:r>
              <w:t>1000.00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井陉县文学艺术界联合会本级小计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1000.00</w:t>
            </w:r>
          </w:p>
        </w:tc>
        <w:tc>
          <w:tcPr>
            <w:tcW w:w="964" w:type="dxa"/>
            <w:vAlign w:val="center"/>
          </w:tcPr>
          <w:p>
            <w:pPr>
              <w:pStyle w:val="17"/>
            </w:pPr>
            <w:r>
              <w:t>1000.00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12000.00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5</w:t>
            </w:r>
          </w:p>
        </w:tc>
        <w:tc>
          <w:tcPr>
            <w:tcW w:w="850" w:type="dxa"/>
            <w:vAlign w:val="center"/>
          </w:tcPr>
          <w:p>
            <w:pPr>
              <w:pStyle w:val="13"/>
            </w:pPr>
            <w:r>
              <w:t>200.00</w:t>
            </w:r>
          </w:p>
        </w:tc>
        <w:tc>
          <w:tcPr>
            <w:tcW w:w="964" w:type="dxa"/>
            <w:vAlign w:val="center"/>
          </w:tcPr>
          <w:p>
            <w:pPr>
              <w:pStyle w:val="13"/>
            </w:pPr>
            <w:r>
              <w:t>1000.00</w:t>
            </w:r>
          </w:p>
        </w:tc>
        <w:tc>
          <w:tcPr>
            <w:tcW w:w="964" w:type="dxa"/>
            <w:vAlign w:val="center"/>
          </w:tcPr>
          <w:p>
            <w:pPr>
              <w:pStyle w:val="13"/>
            </w:pPr>
            <w:r>
              <w:t>1000.00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井陉县文学艺术界联合会（含所属单位）上年末固定资产金额为</w:t>
      </w:r>
      <w:r>
        <w:rPr>
          <w:rFonts w:hint="eastAsia" w:eastAsia="方正仿宋_GBK" w:cs="Times New Roman"/>
          <w:b w:val="0"/>
          <w:color w:val="000000"/>
          <w:sz w:val="28"/>
          <w:lang w:val="en-US" w:eastAsia="zh-CN"/>
        </w:rPr>
        <w:t>16247.26</w:t>
      </w:r>
      <w:r>
        <w:rPr>
          <w:rFonts w:ascii="Times New Roman" w:hAnsi="Times New Roman" w:eastAsia="方正仿宋_GBK" w:cs="Times New Roman"/>
          <w:b w:val="0"/>
          <w:color w:val="000000"/>
          <w:sz w:val="28"/>
        </w:rPr>
        <w:t>元（详见下表）。本年度拟购置固定资产总额为</w:t>
      </w:r>
      <w:r>
        <w:rPr>
          <w:rFonts w:hint="eastAsia" w:eastAsia="方正仿宋_GBK" w:cs="Times New Roman"/>
          <w:b w:val="0"/>
          <w:color w:val="000000"/>
          <w:sz w:val="28"/>
          <w:lang w:val="en-US" w:eastAsia="zh-CN"/>
        </w:rPr>
        <w:t>1000</w:t>
      </w:r>
      <w:r>
        <w:rPr>
          <w:rFonts w:ascii="Times New Roman" w:hAnsi="Times New Roman" w:eastAsia="方正仿宋_GBK" w:cs="Times New Roman"/>
          <w:b w:val="0"/>
          <w:color w:val="000000"/>
          <w:sz w:val="28"/>
        </w:rPr>
        <w:t>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715井陉县文学艺术界联合会</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16247.26</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1900C0"/>
    <w:multiLevelType w:val="singleLevel"/>
    <w:tmpl w:val="ED1900C0"/>
    <w:lvl w:ilvl="0" w:tentative="0">
      <w:start w:val="6"/>
      <w:numFmt w:val="chineseCounting"/>
      <w:suff w:val="nothing"/>
      <w:lvlText w:val="%1、"/>
      <w:lvlJc w:val="left"/>
      <w:rPr>
        <w:rFonts w:hint="eastAsia"/>
      </w:rPr>
    </w:lvl>
  </w:abstractNum>
  <w:abstractNum w:abstractNumId="1">
    <w:nsid w:val="34458566"/>
    <w:multiLevelType w:val="singleLevel"/>
    <w:tmpl w:val="34458566"/>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56772D"/>
    <w:rsid w:val="08B12BBF"/>
    <w:rsid w:val="0BA957FD"/>
    <w:rsid w:val="132538EA"/>
    <w:rsid w:val="18E653F9"/>
    <w:rsid w:val="195D465F"/>
    <w:rsid w:val="20B76214"/>
    <w:rsid w:val="20C52165"/>
    <w:rsid w:val="28553F50"/>
    <w:rsid w:val="2C2C0BE9"/>
    <w:rsid w:val="2F1804DC"/>
    <w:rsid w:val="395B6028"/>
    <w:rsid w:val="3A6832B5"/>
    <w:rsid w:val="48310C90"/>
    <w:rsid w:val="48524D1C"/>
    <w:rsid w:val="52313383"/>
    <w:rsid w:val="55F322D9"/>
    <w:rsid w:val="61A34180"/>
    <w:rsid w:val="6F46562A"/>
    <w:rsid w:val="701A7739"/>
    <w:rsid w:val="73DA463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48</Pages>
  <TotalTime>6</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2026-02-06T11:39:00Z</dcterms:created>
  <dc:creator>Administrator</dc:creator>
  <cp:lastModifiedBy>一笑奈何</cp:lastModifiedBy>
  <dcterms:modified xsi:type="dcterms:W3CDTF">2026-03-18T02:30:37Z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5F24DAA7D13C42079430D2644FFD9C27</vt:lpwstr>
  </property>
</Properties>
</file>