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lang w:eastAsia="zh-CN"/>
        </w:rPr>
        <w:t>单位</w:t>
      </w:r>
      <w:r>
        <w:t>预算收支总表</w:t>
      </w:r>
      <w:r>
        <w:tab/>
      </w:r>
      <w:r>
        <w:t>3</w:t>
      </w:r>
      <w:r>
        <w:fldChar w:fldCharType="end"/>
      </w:r>
    </w:p>
    <w:p>
      <w:pPr>
        <w:pStyle w:val="3"/>
        <w:tabs>
          <w:tab w:val="right" w:leader="dot" w:pos="14562"/>
        </w:tabs>
      </w:pPr>
      <w:r>
        <w:fldChar w:fldCharType="begin"/>
      </w:r>
      <w:r>
        <w:instrText xml:space="preserve">HYPERLINK  \l "_Toc_2_2_0000000002" </w:instrText>
      </w:r>
      <w:r>
        <w:fldChar w:fldCharType="separate"/>
      </w:r>
      <w:r>
        <w:rPr>
          <w:rFonts w:hint="eastAsia"/>
          <w:lang w:eastAsia="zh-CN"/>
        </w:rPr>
        <w:t>单位</w:t>
      </w:r>
      <w:r>
        <w:t>预算收入总表</w:t>
      </w:r>
      <w:r>
        <w:tab/>
      </w:r>
      <w:r>
        <w:t>5</w:t>
      </w:r>
      <w:r>
        <w:fldChar w:fldCharType="end"/>
      </w:r>
    </w:p>
    <w:p>
      <w:pPr>
        <w:pStyle w:val="3"/>
        <w:tabs>
          <w:tab w:val="right" w:leader="dot" w:pos="14562"/>
        </w:tabs>
      </w:pPr>
      <w:r>
        <w:fldChar w:fldCharType="begin"/>
      </w:r>
      <w:r>
        <w:instrText xml:space="preserve">HYPERLINK  \l "_Toc_2_2_0000000003" </w:instrText>
      </w:r>
      <w:r>
        <w:fldChar w:fldCharType="separate"/>
      </w:r>
      <w:r>
        <w:rPr>
          <w:rFonts w:hint="eastAsia"/>
          <w:lang w:eastAsia="zh-CN"/>
        </w:rPr>
        <w:t>单位</w:t>
      </w:r>
      <w:r>
        <w:t>预算支出总表</w:t>
      </w:r>
      <w:r>
        <w:tab/>
      </w:r>
      <w:r>
        <w:t>7</w:t>
      </w:r>
      <w:r>
        <w:fldChar w:fldCharType="end"/>
      </w:r>
    </w:p>
    <w:p>
      <w:pPr>
        <w:pStyle w:val="3"/>
        <w:tabs>
          <w:tab w:val="right" w:leader="dot" w:pos="14562"/>
        </w:tabs>
      </w:pPr>
      <w:r>
        <w:fldChar w:fldCharType="begin"/>
      </w:r>
      <w:r>
        <w:instrText xml:space="preserve">HYPERLINK  \l "_Toc_2_2_0000000004" </w:instrText>
      </w:r>
      <w:r>
        <w:fldChar w:fldCharType="separate"/>
      </w:r>
      <w:r>
        <w:rPr>
          <w:rFonts w:hint="eastAsia"/>
          <w:lang w:eastAsia="zh-CN"/>
        </w:rPr>
        <w:t>单位</w:t>
      </w:r>
      <w:r>
        <w:t>预算财政拨款收支总表</w:t>
      </w:r>
      <w:r>
        <w:tab/>
      </w:r>
      <w:r>
        <w:t>8</w:t>
      </w:r>
      <w:r>
        <w:fldChar w:fldCharType="end"/>
      </w:r>
    </w:p>
    <w:p>
      <w:pPr>
        <w:pStyle w:val="3"/>
        <w:tabs>
          <w:tab w:val="right" w:leader="dot" w:pos="14562"/>
        </w:tabs>
      </w:pPr>
      <w:r>
        <w:fldChar w:fldCharType="begin"/>
      </w:r>
      <w:r>
        <w:instrText xml:space="preserve">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 </w:instrText>
      </w:r>
      <w:r>
        <w:fldChar w:fldCharType="separate"/>
      </w:r>
      <w:r>
        <w:t>五、</w:t>
      </w:r>
      <w:r>
        <w:rPr>
          <w:rFonts w:hint="eastAsia"/>
          <w:lang w:eastAsia="zh-CN"/>
        </w:rPr>
        <w:t>单位</w:t>
      </w:r>
      <w:r>
        <w:t>项目预算安排情况及绩效目标</w:t>
      </w:r>
      <w:r>
        <w:tab/>
      </w:r>
      <w:r>
        <w:t>19</w:t>
      </w:r>
      <w:r>
        <w:fldChar w:fldCharType="end"/>
      </w:r>
    </w:p>
    <w:p>
      <w:pPr>
        <w:pStyle w:val="3"/>
        <w:tabs>
          <w:tab w:val="right" w:leader="dot" w:pos="14562"/>
        </w:tabs>
      </w:pPr>
      <w:r>
        <w:fldChar w:fldCharType="begin"/>
      </w:r>
      <w:r>
        <w:instrText xml:space="preserve">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 </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t>九</w:t>
      </w:r>
      <w:r>
        <w:fldChar w:fldCharType="begin"/>
      </w:r>
      <w:r>
        <w:instrText xml:space="preserve">HYPERLINK  \l "_Toc_3_3_0000000020" </w:instrText>
      </w:r>
      <w:r>
        <w:fldChar w:fldCharType="separate"/>
      </w:r>
      <w:r>
        <w:t>、其他需要说明的事项</w:t>
      </w:r>
      <w:r>
        <w:tab/>
      </w:r>
      <w:r>
        <w:fldChar w:fldCharType="begin"/>
      </w:r>
      <w:r>
        <w:instrText xml:space="preserve">PAGEREF _Toc_3_3_0000000020 \h</w:instrText>
      </w:r>
      <w:r>
        <w:fldChar w:fldCharType="separate"/>
      </w:r>
      <w:r>
        <w:t>33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14823190.73</w:t>
            </w:r>
          </w:p>
        </w:tc>
        <w:tc>
          <w:tcPr>
            <w:tcW w:w="4535" w:type="dxa"/>
            <w:vAlign w:val="center"/>
          </w:tcPr>
          <w:p>
            <w:pPr>
              <w:pStyle w:val="12"/>
            </w:pPr>
            <w:r>
              <w:t>一、一般公共服务支出</w:t>
            </w:r>
          </w:p>
        </w:tc>
        <w:tc>
          <w:tcPr>
            <w:tcW w:w="2126" w:type="dxa"/>
            <w:vAlign w:val="center"/>
          </w:tcPr>
          <w:p>
            <w:pPr>
              <w:pStyle w:val="11"/>
            </w:pPr>
            <w:r>
              <w:t>12753175.43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1217381.90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306782.90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545850.50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14823190.73</w:t>
            </w:r>
          </w:p>
        </w:tc>
        <w:tc>
          <w:tcPr>
            <w:tcW w:w="4535" w:type="dxa"/>
            <w:vAlign w:val="center"/>
          </w:tcPr>
          <w:p>
            <w:pPr>
              <w:pStyle w:val="14"/>
            </w:pPr>
            <w:r>
              <w:t>本年支出合计</w:t>
            </w:r>
          </w:p>
        </w:tc>
        <w:tc>
          <w:tcPr>
            <w:tcW w:w="2126" w:type="dxa"/>
            <w:vAlign w:val="center"/>
          </w:tcPr>
          <w:p>
            <w:pPr>
              <w:pStyle w:val="15"/>
            </w:pPr>
            <w:r>
              <w:t>14823190.73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14823190.73</w:t>
            </w:r>
          </w:p>
        </w:tc>
        <w:tc>
          <w:tcPr>
            <w:tcW w:w="4535" w:type="dxa"/>
            <w:vAlign w:val="center"/>
          </w:tcPr>
          <w:p>
            <w:pPr>
              <w:pStyle w:val="14"/>
            </w:pPr>
            <w:r>
              <w:t>支出总计</w:t>
            </w:r>
          </w:p>
        </w:tc>
        <w:tc>
          <w:tcPr>
            <w:tcW w:w="2126" w:type="dxa"/>
            <w:vAlign w:val="center"/>
          </w:tcPr>
          <w:p>
            <w:pPr>
              <w:pStyle w:val="15"/>
            </w:pPr>
            <w:r>
              <w:t>14823190.73</w:t>
            </w:r>
          </w:p>
        </w:tc>
      </w:tr>
    </w:tbl>
    <w:p>
      <w:pPr>
        <w:sectPr>
          <w:footerReference r:id="rId4" w:type="default"/>
          <w:footerReference r:id="rId5"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Merge w:val="continue"/>
            <w:vAlign w:val="top"/>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vAlign w:val="top"/>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14823190.73</w:t>
            </w:r>
          </w:p>
        </w:tc>
        <w:tc>
          <w:tcPr>
            <w:tcW w:w="1134" w:type="dxa"/>
            <w:vAlign w:val="center"/>
          </w:tcPr>
          <w:p>
            <w:pPr>
              <w:pStyle w:val="15"/>
            </w:pPr>
            <w:r>
              <w:t>14823190.73</w:t>
            </w:r>
          </w:p>
        </w:tc>
        <w:tc>
          <w:tcPr>
            <w:tcW w:w="1134" w:type="dxa"/>
            <w:vAlign w:val="center"/>
          </w:tcPr>
          <w:p>
            <w:pPr>
              <w:pStyle w:val="15"/>
            </w:pPr>
            <w:r>
              <w:t>14823190.73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6592039.20</w:t>
            </w:r>
          </w:p>
        </w:tc>
        <w:tc>
          <w:tcPr>
            <w:tcW w:w="1134" w:type="dxa"/>
            <w:vAlign w:val="center"/>
          </w:tcPr>
          <w:p>
            <w:pPr>
              <w:pStyle w:val="11"/>
            </w:pPr>
            <w:r>
              <w:t>6592039.20</w:t>
            </w:r>
          </w:p>
        </w:tc>
        <w:tc>
          <w:tcPr>
            <w:tcW w:w="1134" w:type="dxa"/>
            <w:vAlign w:val="center"/>
          </w:tcPr>
          <w:p>
            <w:pPr>
              <w:pStyle w:val="11"/>
            </w:pPr>
            <w:r>
              <w:t>6592039.20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2010305</w:t>
            </w:r>
          </w:p>
        </w:tc>
        <w:tc>
          <w:tcPr>
            <w:tcW w:w="1559" w:type="dxa"/>
            <w:vAlign w:val="center"/>
          </w:tcPr>
          <w:p>
            <w:pPr>
              <w:pStyle w:val="12"/>
            </w:pPr>
            <w:r>
              <w:t>专项业务及机关事务管理</w:t>
            </w:r>
          </w:p>
        </w:tc>
        <w:tc>
          <w:tcPr>
            <w:tcW w:w="1134" w:type="dxa"/>
            <w:vAlign w:val="center"/>
          </w:tcPr>
          <w:p>
            <w:pPr>
              <w:pStyle w:val="11"/>
            </w:pPr>
            <w:r>
              <w:t>6161136.23</w:t>
            </w:r>
          </w:p>
        </w:tc>
        <w:tc>
          <w:tcPr>
            <w:tcW w:w="1134" w:type="dxa"/>
            <w:vAlign w:val="center"/>
          </w:tcPr>
          <w:p>
            <w:pPr>
              <w:pStyle w:val="11"/>
            </w:pPr>
            <w:r>
              <w:t>6161136.23</w:t>
            </w:r>
          </w:p>
        </w:tc>
        <w:tc>
          <w:tcPr>
            <w:tcW w:w="1134" w:type="dxa"/>
            <w:vAlign w:val="center"/>
          </w:tcPr>
          <w:p>
            <w:pPr>
              <w:pStyle w:val="11"/>
            </w:pPr>
            <w:r>
              <w:t>6161136.23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1217381.90</w:t>
            </w:r>
          </w:p>
        </w:tc>
        <w:tc>
          <w:tcPr>
            <w:tcW w:w="1134" w:type="dxa"/>
            <w:vAlign w:val="center"/>
          </w:tcPr>
          <w:p>
            <w:pPr>
              <w:pStyle w:val="11"/>
            </w:pPr>
            <w:r>
              <w:t>1217381.90</w:t>
            </w:r>
          </w:p>
        </w:tc>
        <w:tc>
          <w:tcPr>
            <w:tcW w:w="1134" w:type="dxa"/>
            <w:vAlign w:val="center"/>
          </w:tcPr>
          <w:p>
            <w:pPr>
              <w:pStyle w:val="11"/>
            </w:pPr>
            <w:r>
              <w:t>1217381.90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1187028.80</w:t>
            </w:r>
          </w:p>
        </w:tc>
        <w:tc>
          <w:tcPr>
            <w:tcW w:w="1134" w:type="dxa"/>
            <w:vAlign w:val="center"/>
          </w:tcPr>
          <w:p>
            <w:pPr>
              <w:pStyle w:val="11"/>
            </w:pPr>
            <w:r>
              <w:t>1187028.80</w:t>
            </w:r>
          </w:p>
        </w:tc>
        <w:tc>
          <w:tcPr>
            <w:tcW w:w="1134" w:type="dxa"/>
            <w:vAlign w:val="center"/>
          </w:tcPr>
          <w:p>
            <w:pPr>
              <w:pStyle w:val="11"/>
            </w:pPr>
            <w:r>
              <w:t>1187028.80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508348.10</w:t>
            </w:r>
          </w:p>
        </w:tc>
        <w:tc>
          <w:tcPr>
            <w:tcW w:w="1134" w:type="dxa"/>
            <w:vAlign w:val="center"/>
          </w:tcPr>
          <w:p>
            <w:pPr>
              <w:pStyle w:val="11"/>
            </w:pPr>
            <w:r>
              <w:t>508348.10</w:t>
            </w:r>
          </w:p>
        </w:tc>
        <w:tc>
          <w:tcPr>
            <w:tcW w:w="1134" w:type="dxa"/>
            <w:vAlign w:val="center"/>
          </w:tcPr>
          <w:p>
            <w:pPr>
              <w:pStyle w:val="11"/>
            </w:pPr>
            <w:r>
              <w:t>508348.10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678680.70</w:t>
            </w:r>
          </w:p>
        </w:tc>
        <w:tc>
          <w:tcPr>
            <w:tcW w:w="1134" w:type="dxa"/>
            <w:vAlign w:val="center"/>
          </w:tcPr>
          <w:p>
            <w:pPr>
              <w:pStyle w:val="11"/>
            </w:pPr>
            <w:r>
              <w:t>678680.70</w:t>
            </w:r>
          </w:p>
        </w:tc>
        <w:tc>
          <w:tcPr>
            <w:tcW w:w="1134" w:type="dxa"/>
            <w:vAlign w:val="center"/>
          </w:tcPr>
          <w:p>
            <w:pPr>
              <w:pStyle w:val="11"/>
            </w:pPr>
            <w:r>
              <w:t>678680.70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14823190.73</w:t>
            </w:r>
          </w:p>
        </w:tc>
        <w:tc>
          <w:tcPr>
            <w:tcW w:w="1361" w:type="dxa"/>
            <w:vAlign w:val="center"/>
          </w:tcPr>
          <w:p>
            <w:pPr>
              <w:pStyle w:val="15"/>
            </w:pPr>
            <w:r>
              <w:t>8662054.50</w:t>
            </w:r>
          </w:p>
        </w:tc>
        <w:tc>
          <w:tcPr>
            <w:tcW w:w="1361" w:type="dxa"/>
            <w:vAlign w:val="center"/>
          </w:tcPr>
          <w:p>
            <w:pPr>
              <w:pStyle w:val="15"/>
            </w:pPr>
            <w:r>
              <w:t>6161136.23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12753175.43</w:t>
            </w:r>
          </w:p>
        </w:tc>
        <w:tc>
          <w:tcPr>
            <w:tcW w:w="1361" w:type="dxa"/>
            <w:vAlign w:val="center"/>
          </w:tcPr>
          <w:p>
            <w:pPr>
              <w:pStyle w:val="11"/>
            </w:pPr>
            <w:r>
              <w:t>6592039.20</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12753175.43</w:t>
            </w:r>
          </w:p>
        </w:tc>
        <w:tc>
          <w:tcPr>
            <w:tcW w:w="1361" w:type="dxa"/>
            <w:vAlign w:val="center"/>
          </w:tcPr>
          <w:p>
            <w:pPr>
              <w:pStyle w:val="11"/>
            </w:pPr>
            <w:r>
              <w:t>6592039.20</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6592039.20</w:t>
            </w:r>
          </w:p>
        </w:tc>
        <w:tc>
          <w:tcPr>
            <w:tcW w:w="1361" w:type="dxa"/>
            <w:vAlign w:val="center"/>
          </w:tcPr>
          <w:p>
            <w:pPr>
              <w:pStyle w:val="11"/>
            </w:pPr>
            <w:r>
              <w:t>6592039.20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2010305</w:t>
            </w:r>
          </w:p>
        </w:tc>
        <w:tc>
          <w:tcPr>
            <w:tcW w:w="4535" w:type="dxa"/>
            <w:vAlign w:val="center"/>
          </w:tcPr>
          <w:p>
            <w:pPr>
              <w:pStyle w:val="12"/>
            </w:pPr>
            <w:r>
              <w:t>专项业务及机关事务管理</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1217381.90</w:t>
            </w:r>
          </w:p>
        </w:tc>
        <w:tc>
          <w:tcPr>
            <w:tcW w:w="1361" w:type="dxa"/>
            <w:vAlign w:val="center"/>
          </w:tcPr>
          <w:p>
            <w:pPr>
              <w:pStyle w:val="11"/>
            </w:pPr>
            <w:r>
              <w:t>1217381.90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1187028.80</w:t>
            </w:r>
          </w:p>
        </w:tc>
        <w:tc>
          <w:tcPr>
            <w:tcW w:w="1361" w:type="dxa"/>
            <w:vAlign w:val="center"/>
          </w:tcPr>
          <w:p>
            <w:pPr>
              <w:pStyle w:val="11"/>
            </w:pPr>
            <w:r>
              <w:t>1187028.80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508348.10</w:t>
            </w:r>
          </w:p>
        </w:tc>
        <w:tc>
          <w:tcPr>
            <w:tcW w:w="1361" w:type="dxa"/>
            <w:vAlign w:val="center"/>
          </w:tcPr>
          <w:p>
            <w:pPr>
              <w:pStyle w:val="11"/>
            </w:pPr>
            <w:r>
              <w:t>508348.10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678680.70</w:t>
            </w:r>
          </w:p>
        </w:tc>
        <w:tc>
          <w:tcPr>
            <w:tcW w:w="1361" w:type="dxa"/>
            <w:vAlign w:val="center"/>
          </w:tcPr>
          <w:p>
            <w:pPr>
              <w:pStyle w:val="11"/>
            </w:pPr>
            <w:r>
              <w:t>678680.70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30353.10</w:t>
            </w:r>
          </w:p>
        </w:tc>
        <w:tc>
          <w:tcPr>
            <w:tcW w:w="1361" w:type="dxa"/>
            <w:vAlign w:val="center"/>
          </w:tcPr>
          <w:p>
            <w:pPr>
              <w:pStyle w:val="11"/>
            </w:pPr>
            <w:r>
              <w:t>30353.10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30353.10</w:t>
            </w:r>
          </w:p>
        </w:tc>
        <w:tc>
          <w:tcPr>
            <w:tcW w:w="1361" w:type="dxa"/>
            <w:vAlign w:val="center"/>
          </w:tcPr>
          <w:p>
            <w:pPr>
              <w:pStyle w:val="11"/>
            </w:pPr>
            <w:r>
              <w:t>30353.10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14823190.73</w:t>
            </w:r>
          </w:p>
        </w:tc>
        <w:tc>
          <w:tcPr>
            <w:tcW w:w="3402" w:type="dxa"/>
            <w:vAlign w:val="center"/>
          </w:tcPr>
          <w:p>
            <w:pPr>
              <w:pStyle w:val="12"/>
            </w:pPr>
            <w:r>
              <w:t>一、一般公共服务支出</w:t>
            </w:r>
          </w:p>
        </w:tc>
        <w:tc>
          <w:tcPr>
            <w:tcW w:w="1474" w:type="dxa"/>
            <w:vAlign w:val="center"/>
          </w:tcPr>
          <w:p>
            <w:pPr>
              <w:pStyle w:val="11"/>
            </w:pPr>
            <w:r>
              <w:t>12753175.43</w:t>
            </w:r>
          </w:p>
        </w:tc>
        <w:tc>
          <w:tcPr>
            <w:tcW w:w="1474" w:type="dxa"/>
            <w:vAlign w:val="center"/>
          </w:tcPr>
          <w:p>
            <w:pPr>
              <w:pStyle w:val="11"/>
            </w:pPr>
            <w:r>
              <w:t>12753175.43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1217381.90</w:t>
            </w:r>
          </w:p>
        </w:tc>
        <w:tc>
          <w:tcPr>
            <w:tcW w:w="1474" w:type="dxa"/>
            <w:vAlign w:val="center"/>
          </w:tcPr>
          <w:p>
            <w:pPr>
              <w:pStyle w:val="11"/>
            </w:pPr>
            <w:r>
              <w:t>1217381.90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306782.90</w:t>
            </w:r>
          </w:p>
        </w:tc>
        <w:tc>
          <w:tcPr>
            <w:tcW w:w="1474" w:type="dxa"/>
            <w:vAlign w:val="center"/>
          </w:tcPr>
          <w:p>
            <w:pPr>
              <w:pStyle w:val="11"/>
            </w:pPr>
            <w:r>
              <w:t>306782.90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545850.50</w:t>
            </w:r>
          </w:p>
        </w:tc>
        <w:tc>
          <w:tcPr>
            <w:tcW w:w="1474" w:type="dxa"/>
            <w:vAlign w:val="center"/>
          </w:tcPr>
          <w:p>
            <w:pPr>
              <w:pStyle w:val="11"/>
            </w:pPr>
            <w:r>
              <w:t>545850.50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14823190.73</w:t>
            </w:r>
          </w:p>
        </w:tc>
        <w:tc>
          <w:tcPr>
            <w:tcW w:w="3402" w:type="dxa"/>
            <w:vAlign w:val="center"/>
          </w:tcPr>
          <w:p>
            <w:pPr>
              <w:pStyle w:val="14"/>
            </w:pPr>
            <w:r>
              <w:t>本年支出合计</w:t>
            </w:r>
          </w:p>
        </w:tc>
        <w:tc>
          <w:tcPr>
            <w:tcW w:w="1474" w:type="dxa"/>
            <w:vAlign w:val="center"/>
          </w:tcPr>
          <w:p>
            <w:pPr>
              <w:pStyle w:val="15"/>
            </w:pPr>
            <w:r>
              <w:t>14823190.73</w:t>
            </w:r>
          </w:p>
        </w:tc>
        <w:tc>
          <w:tcPr>
            <w:tcW w:w="1474" w:type="dxa"/>
            <w:vAlign w:val="center"/>
          </w:tcPr>
          <w:p>
            <w:pPr>
              <w:pStyle w:val="15"/>
            </w:pPr>
            <w:r>
              <w:t>14823190.73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14823190.73</w:t>
            </w:r>
          </w:p>
        </w:tc>
        <w:tc>
          <w:tcPr>
            <w:tcW w:w="3402" w:type="dxa"/>
            <w:vAlign w:val="center"/>
          </w:tcPr>
          <w:p>
            <w:pPr>
              <w:pStyle w:val="14"/>
            </w:pPr>
            <w:r>
              <w:t>支出总计</w:t>
            </w:r>
          </w:p>
        </w:tc>
        <w:tc>
          <w:tcPr>
            <w:tcW w:w="1474" w:type="dxa"/>
            <w:vAlign w:val="center"/>
          </w:tcPr>
          <w:p>
            <w:pPr>
              <w:pStyle w:val="15"/>
            </w:pPr>
            <w:r>
              <w:t>14823190.73</w:t>
            </w:r>
          </w:p>
        </w:tc>
        <w:tc>
          <w:tcPr>
            <w:tcW w:w="1474" w:type="dxa"/>
            <w:vAlign w:val="center"/>
          </w:tcPr>
          <w:p>
            <w:pPr>
              <w:pStyle w:val="15"/>
            </w:pPr>
            <w:r>
              <w:t>14823190.73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14823190.73</w:t>
            </w:r>
          </w:p>
        </w:tc>
        <w:tc>
          <w:tcPr>
            <w:tcW w:w="2551" w:type="dxa"/>
            <w:vAlign w:val="center"/>
          </w:tcPr>
          <w:p>
            <w:pPr>
              <w:pStyle w:val="15"/>
            </w:pPr>
            <w:r>
              <w:t>8662054.50</w:t>
            </w:r>
          </w:p>
        </w:tc>
        <w:tc>
          <w:tcPr>
            <w:tcW w:w="2551" w:type="dxa"/>
            <w:vAlign w:val="center"/>
          </w:tcPr>
          <w:p>
            <w:pPr>
              <w:pStyle w:val="15"/>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12753175.43</w:t>
            </w:r>
          </w:p>
        </w:tc>
        <w:tc>
          <w:tcPr>
            <w:tcW w:w="2551" w:type="dxa"/>
            <w:vAlign w:val="center"/>
          </w:tcPr>
          <w:p>
            <w:pPr>
              <w:pStyle w:val="11"/>
            </w:pPr>
            <w:r>
              <w:t>6592039.20</w:t>
            </w: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12753175.43</w:t>
            </w:r>
          </w:p>
        </w:tc>
        <w:tc>
          <w:tcPr>
            <w:tcW w:w="2551" w:type="dxa"/>
            <w:vAlign w:val="center"/>
          </w:tcPr>
          <w:p>
            <w:pPr>
              <w:pStyle w:val="11"/>
            </w:pPr>
            <w:r>
              <w:t>6592039.20</w:t>
            </w: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6592039.20</w:t>
            </w:r>
          </w:p>
        </w:tc>
        <w:tc>
          <w:tcPr>
            <w:tcW w:w="2551" w:type="dxa"/>
            <w:vAlign w:val="center"/>
          </w:tcPr>
          <w:p>
            <w:pPr>
              <w:pStyle w:val="11"/>
            </w:pPr>
            <w:r>
              <w:t>6592039.20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5</w:t>
            </w:r>
          </w:p>
        </w:tc>
        <w:tc>
          <w:tcPr>
            <w:tcW w:w="1191" w:type="dxa"/>
            <w:vAlign w:val="center"/>
          </w:tcPr>
          <w:p>
            <w:pPr>
              <w:pStyle w:val="12"/>
            </w:pPr>
            <w:r>
              <w:t>2010305</w:t>
            </w:r>
          </w:p>
        </w:tc>
        <w:tc>
          <w:tcPr>
            <w:tcW w:w="4535" w:type="dxa"/>
            <w:vAlign w:val="center"/>
          </w:tcPr>
          <w:p>
            <w:pPr>
              <w:pStyle w:val="12"/>
            </w:pPr>
            <w:r>
              <w:t>专项业务及机关事务管理</w:t>
            </w:r>
          </w:p>
        </w:tc>
        <w:tc>
          <w:tcPr>
            <w:tcW w:w="2551" w:type="dxa"/>
            <w:vAlign w:val="center"/>
          </w:tcPr>
          <w:p>
            <w:pPr>
              <w:pStyle w:val="11"/>
            </w:pPr>
            <w:r>
              <w:t>6161136.23</w:t>
            </w:r>
          </w:p>
        </w:tc>
        <w:tc>
          <w:tcPr>
            <w:tcW w:w="2551" w:type="dxa"/>
            <w:vAlign w:val="center"/>
          </w:tcPr>
          <w:p>
            <w:pPr>
              <w:pStyle w:val="11"/>
            </w:pP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1217381.90</w:t>
            </w:r>
          </w:p>
        </w:tc>
        <w:tc>
          <w:tcPr>
            <w:tcW w:w="2551" w:type="dxa"/>
            <w:vAlign w:val="center"/>
          </w:tcPr>
          <w:p>
            <w:pPr>
              <w:pStyle w:val="11"/>
            </w:pPr>
            <w:r>
              <w:t>1217381.90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1187028.80</w:t>
            </w:r>
          </w:p>
        </w:tc>
        <w:tc>
          <w:tcPr>
            <w:tcW w:w="2551" w:type="dxa"/>
            <w:vAlign w:val="center"/>
          </w:tcPr>
          <w:p>
            <w:pPr>
              <w:pStyle w:val="11"/>
            </w:pPr>
            <w:r>
              <w:t>1187028.80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508348.10</w:t>
            </w:r>
          </w:p>
        </w:tc>
        <w:tc>
          <w:tcPr>
            <w:tcW w:w="2551" w:type="dxa"/>
            <w:vAlign w:val="center"/>
          </w:tcPr>
          <w:p>
            <w:pPr>
              <w:pStyle w:val="11"/>
            </w:pPr>
            <w:r>
              <w:t>508348.10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678680.70</w:t>
            </w:r>
          </w:p>
        </w:tc>
        <w:tc>
          <w:tcPr>
            <w:tcW w:w="2551" w:type="dxa"/>
            <w:vAlign w:val="center"/>
          </w:tcPr>
          <w:p>
            <w:pPr>
              <w:pStyle w:val="11"/>
            </w:pPr>
            <w:r>
              <w:t>678680.70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8662054.50</w:t>
            </w:r>
          </w:p>
        </w:tc>
        <w:tc>
          <w:tcPr>
            <w:tcW w:w="2551" w:type="dxa"/>
            <w:vAlign w:val="center"/>
          </w:tcPr>
          <w:p>
            <w:pPr>
              <w:pStyle w:val="15"/>
            </w:pPr>
            <w:r>
              <w:t>6811098.50</w:t>
            </w:r>
          </w:p>
        </w:tc>
        <w:tc>
          <w:tcPr>
            <w:tcW w:w="2551" w:type="dxa"/>
            <w:vAlign w:val="center"/>
          </w:tcPr>
          <w:p>
            <w:pPr>
              <w:pStyle w:val="15"/>
            </w:pPr>
            <w:r>
              <w:t>1850956.00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6302750.40</w:t>
            </w:r>
          </w:p>
        </w:tc>
        <w:tc>
          <w:tcPr>
            <w:tcW w:w="2551" w:type="dxa"/>
            <w:vAlign w:val="center"/>
          </w:tcPr>
          <w:p>
            <w:pPr>
              <w:pStyle w:val="11"/>
            </w:pPr>
            <w:r>
              <w:t>6302750.40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2321640.00</w:t>
            </w:r>
          </w:p>
        </w:tc>
        <w:tc>
          <w:tcPr>
            <w:tcW w:w="2551" w:type="dxa"/>
            <w:vAlign w:val="center"/>
          </w:tcPr>
          <w:p>
            <w:pPr>
              <w:pStyle w:val="11"/>
            </w:pPr>
            <w:r>
              <w:t>2321640.00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688829.20</w:t>
            </w:r>
          </w:p>
        </w:tc>
        <w:tc>
          <w:tcPr>
            <w:tcW w:w="2551" w:type="dxa"/>
            <w:vAlign w:val="center"/>
          </w:tcPr>
          <w:p>
            <w:pPr>
              <w:pStyle w:val="11"/>
            </w:pPr>
            <w:r>
              <w:t>688829.20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558715.00</w:t>
            </w:r>
          </w:p>
        </w:tc>
        <w:tc>
          <w:tcPr>
            <w:tcW w:w="2551" w:type="dxa"/>
            <w:vAlign w:val="center"/>
          </w:tcPr>
          <w:p>
            <w:pPr>
              <w:pStyle w:val="11"/>
            </w:pPr>
            <w:r>
              <w:t>558715.00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1171899.00</w:t>
            </w:r>
          </w:p>
        </w:tc>
        <w:tc>
          <w:tcPr>
            <w:tcW w:w="2551" w:type="dxa"/>
            <w:vAlign w:val="center"/>
          </w:tcPr>
          <w:p>
            <w:pPr>
              <w:pStyle w:val="11"/>
            </w:pPr>
            <w:r>
              <w:t>1171899.00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678680.70</w:t>
            </w:r>
          </w:p>
        </w:tc>
        <w:tc>
          <w:tcPr>
            <w:tcW w:w="2551" w:type="dxa"/>
            <w:vAlign w:val="center"/>
          </w:tcPr>
          <w:p>
            <w:pPr>
              <w:pStyle w:val="11"/>
            </w:pPr>
            <w:r>
              <w:t>678680.70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1850956.00</w:t>
            </w:r>
          </w:p>
        </w:tc>
        <w:tc>
          <w:tcPr>
            <w:tcW w:w="2551" w:type="dxa"/>
            <w:vAlign w:val="center"/>
          </w:tcPr>
          <w:p>
            <w:pPr>
              <w:pStyle w:val="11"/>
            </w:pPr>
          </w:p>
        </w:tc>
        <w:tc>
          <w:tcPr>
            <w:tcW w:w="2551" w:type="dxa"/>
            <w:vAlign w:val="center"/>
          </w:tcPr>
          <w:p>
            <w:pPr>
              <w:pStyle w:val="11"/>
            </w:pPr>
            <w:r>
              <w:t>1850956.00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115500.00</w:t>
            </w:r>
          </w:p>
        </w:tc>
        <w:tc>
          <w:tcPr>
            <w:tcW w:w="2551" w:type="dxa"/>
            <w:vAlign w:val="center"/>
          </w:tcPr>
          <w:p>
            <w:pPr>
              <w:pStyle w:val="11"/>
            </w:pPr>
          </w:p>
        </w:tc>
        <w:tc>
          <w:tcPr>
            <w:tcW w:w="2551" w:type="dxa"/>
            <w:vAlign w:val="center"/>
          </w:tcPr>
          <w:p>
            <w:pPr>
              <w:pStyle w:val="11"/>
            </w:pPr>
            <w:r>
              <w:t>115500.00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590000.00</w:t>
            </w:r>
          </w:p>
        </w:tc>
        <w:tc>
          <w:tcPr>
            <w:tcW w:w="2551" w:type="dxa"/>
            <w:vAlign w:val="center"/>
          </w:tcPr>
          <w:p>
            <w:pPr>
              <w:pStyle w:val="11"/>
            </w:pPr>
          </w:p>
        </w:tc>
        <w:tc>
          <w:tcPr>
            <w:tcW w:w="2551" w:type="dxa"/>
            <w:vAlign w:val="center"/>
          </w:tcPr>
          <w:p>
            <w:pPr>
              <w:pStyle w:val="11"/>
            </w:pPr>
            <w:r>
              <w:t>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113200.00</w:t>
            </w:r>
          </w:p>
        </w:tc>
        <w:tc>
          <w:tcPr>
            <w:tcW w:w="2551" w:type="dxa"/>
            <w:vAlign w:val="center"/>
          </w:tcPr>
          <w:p>
            <w:pPr>
              <w:pStyle w:val="11"/>
            </w:pPr>
          </w:p>
        </w:tc>
        <w:tc>
          <w:tcPr>
            <w:tcW w:w="2551" w:type="dxa"/>
            <w:vAlign w:val="center"/>
          </w:tcPr>
          <w:p>
            <w:pPr>
              <w:pStyle w:val="11"/>
            </w:pPr>
            <w:r>
              <w:t>113200.00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423500.00</w:t>
            </w:r>
          </w:p>
        </w:tc>
        <w:tc>
          <w:tcPr>
            <w:tcW w:w="2551" w:type="dxa"/>
            <w:vAlign w:val="center"/>
          </w:tcPr>
          <w:p>
            <w:pPr>
              <w:pStyle w:val="11"/>
            </w:pPr>
          </w:p>
        </w:tc>
        <w:tc>
          <w:tcPr>
            <w:tcW w:w="2551" w:type="dxa"/>
            <w:vAlign w:val="center"/>
          </w:tcPr>
          <w:p>
            <w:pPr>
              <w:pStyle w:val="11"/>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55000.00</w:t>
            </w:r>
          </w:p>
        </w:tc>
        <w:tc>
          <w:tcPr>
            <w:tcW w:w="2551" w:type="dxa"/>
            <w:vAlign w:val="center"/>
          </w:tcPr>
          <w:p>
            <w:pPr>
              <w:pStyle w:val="11"/>
            </w:pPr>
          </w:p>
        </w:tc>
        <w:tc>
          <w:tcPr>
            <w:tcW w:w="2551" w:type="dxa"/>
            <w:vAlign w:val="center"/>
          </w:tcPr>
          <w:p>
            <w:pPr>
              <w:pStyle w:val="11"/>
            </w:pPr>
            <w:r>
              <w:t>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253076.00</w:t>
            </w:r>
          </w:p>
        </w:tc>
        <w:tc>
          <w:tcPr>
            <w:tcW w:w="2551" w:type="dxa"/>
            <w:vAlign w:val="center"/>
          </w:tcPr>
          <w:p>
            <w:pPr>
              <w:pStyle w:val="11"/>
            </w:pPr>
          </w:p>
        </w:tc>
        <w:tc>
          <w:tcPr>
            <w:tcW w:w="2551" w:type="dxa"/>
            <w:vAlign w:val="center"/>
          </w:tcPr>
          <w:p>
            <w:pPr>
              <w:pStyle w:val="11"/>
            </w:pPr>
            <w:r>
              <w:t>253076.00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187680.00</w:t>
            </w:r>
          </w:p>
        </w:tc>
        <w:tc>
          <w:tcPr>
            <w:tcW w:w="2551" w:type="dxa"/>
            <w:vAlign w:val="center"/>
          </w:tcPr>
          <w:p>
            <w:pPr>
              <w:pStyle w:val="11"/>
            </w:pPr>
          </w:p>
        </w:tc>
        <w:tc>
          <w:tcPr>
            <w:tcW w:w="2551" w:type="dxa"/>
            <w:vAlign w:val="center"/>
          </w:tcPr>
          <w:p>
            <w:pPr>
              <w:pStyle w:val="11"/>
            </w:pPr>
            <w:r>
              <w:t>187680.00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508348.10</w:t>
            </w:r>
          </w:p>
        </w:tc>
        <w:tc>
          <w:tcPr>
            <w:tcW w:w="2551" w:type="dxa"/>
            <w:vAlign w:val="center"/>
          </w:tcPr>
          <w:p>
            <w:pPr>
              <w:pStyle w:val="11"/>
            </w:pPr>
            <w:r>
              <w:t>508348.10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441268.10</w:t>
            </w:r>
          </w:p>
        </w:tc>
        <w:tc>
          <w:tcPr>
            <w:tcW w:w="2551" w:type="dxa"/>
            <w:vAlign w:val="center"/>
          </w:tcPr>
          <w:p>
            <w:pPr>
              <w:pStyle w:val="11"/>
            </w:pPr>
            <w:r>
              <w:t>441268.10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67080.00</w:t>
            </w:r>
          </w:p>
        </w:tc>
        <w:tc>
          <w:tcPr>
            <w:tcW w:w="2551" w:type="dxa"/>
            <w:vAlign w:val="center"/>
          </w:tcPr>
          <w:p>
            <w:pPr>
              <w:pStyle w:val="11"/>
            </w:pPr>
            <w:r>
              <w:t>67080.00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676576.00</w:t>
            </w:r>
          </w:p>
        </w:tc>
        <w:tc>
          <w:tcPr>
            <w:tcW w:w="2381" w:type="dxa"/>
            <w:vAlign w:val="center"/>
          </w:tcPr>
          <w:p>
            <w:pPr>
              <w:pStyle w:val="15"/>
            </w:pPr>
            <w:r>
              <w:t>676576.00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676576.00</w:t>
            </w:r>
          </w:p>
        </w:tc>
        <w:tc>
          <w:tcPr>
            <w:tcW w:w="2381" w:type="dxa"/>
            <w:vAlign w:val="center"/>
          </w:tcPr>
          <w:p>
            <w:pPr>
              <w:pStyle w:val="11"/>
            </w:pPr>
            <w:r>
              <w:t>676576.00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253076.00</w:t>
            </w:r>
          </w:p>
        </w:tc>
        <w:tc>
          <w:tcPr>
            <w:tcW w:w="2381" w:type="dxa"/>
            <w:vAlign w:val="center"/>
          </w:tcPr>
          <w:p>
            <w:pPr>
              <w:pStyle w:val="11"/>
            </w:pPr>
            <w:r>
              <w:t>253076.00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253076.00</w:t>
            </w:r>
          </w:p>
        </w:tc>
        <w:tc>
          <w:tcPr>
            <w:tcW w:w="2381" w:type="dxa"/>
            <w:vAlign w:val="center"/>
          </w:tcPr>
          <w:p>
            <w:pPr>
              <w:pStyle w:val="11"/>
            </w:pPr>
            <w:r>
              <w:t>253076.00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423500.00</w:t>
            </w:r>
          </w:p>
        </w:tc>
        <w:tc>
          <w:tcPr>
            <w:tcW w:w="2381" w:type="dxa"/>
            <w:vAlign w:val="center"/>
          </w:tcPr>
          <w:p>
            <w:pPr>
              <w:pStyle w:val="11"/>
            </w:pPr>
            <w:r>
              <w:t>423500.00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井陉县人民政府办公室本级2026年单位预算信息公开情况说明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（一）协助县政府领导组织起草或审核上报市政府、市政府办公室和致函市政府各部门的公文，以及以县政府、县政府办公室名义发布的公文；负责县政府、县政府办公室日常公文办理。</w:t>
      </w:r>
    </w:p>
    <w:p>
      <w:pPr>
        <w:pStyle w:val="25"/>
      </w:pPr>
      <w:r>
        <w:t>（二）负责县政府领导活动的组织和协调工作；负责县政府会议的准备和服务工作，协助县政府领导组织落实会议决定事项。</w:t>
      </w:r>
    </w:p>
    <w:p>
      <w:pPr>
        <w:pStyle w:val="25"/>
      </w:pPr>
      <w:r>
        <w:t>（三）研究县政府各部门和各乡镇政府请示县政府的事项，提出审核意见，报县政府领导审批。</w:t>
      </w:r>
    </w:p>
    <w:p>
      <w:pPr>
        <w:pStyle w:val="25"/>
      </w:pPr>
      <w:r>
        <w:t>（四）根据县政府领导的批示，对县政府各部门间出现的争议问题提出处理意见，报县政府领导决定。</w:t>
      </w:r>
    </w:p>
    <w:p>
      <w:pPr>
        <w:pStyle w:val="25"/>
      </w:pPr>
      <w:r>
        <w:t>（五）组织起草县政府领导重要讲话及其他重要文稿。</w:t>
      </w:r>
    </w:p>
    <w:p>
      <w:pPr>
        <w:pStyle w:val="25"/>
      </w:pPr>
      <w:r>
        <w:t>（六）组织承办人大代表建议和政协委员提案工作。</w:t>
      </w:r>
    </w:p>
    <w:p>
      <w:pPr>
        <w:pStyle w:val="25"/>
      </w:pPr>
      <w:r>
        <w:t>（七）负责承办县政府提请县人大常委会任免议案和提请县政府任命工作人员的行政任免有关手续；负责承办县政府任命工作人员的宪法宣誓工作。</w:t>
      </w:r>
    </w:p>
    <w:p>
      <w:pPr>
        <w:pStyle w:val="25"/>
      </w:pPr>
      <w:r>
        <w:t>（八）负责县政府重大决策、议定事项和县政府领导交办事项的督促、检查、落实和查办催办。</w:t>
      </w:r>
    </w:p>
    <w:p>
      <w:pPr>
        <w:pStyle w:val="25"/>
      </w:pPr>
      <w:r>
        <w:t>（九）负责协调督导全县空气、水环境保护工作。</w:t>
      </w:r>
    </w:p>
    <w:p>
      <w:pPr>
        <w:pStyle w:val="25"/>
      </w:pPr>
      <w:r>
        <w:t>（十）负责县政府值班工作，及时报告重要情况，传达和督促落实县政府领导工作要求。</w:t>
      </w:r>
    </w:p>
    <w:p>
      <w:pPr>
        <w:pStyle w:val="25"/>
      </w:pPr>
      <w:r>
        <w:t>（十一）根据县政府工作部署和县政府领导要求，组织专题调研，及时反映情况，提出建议。</w:t>
      </w:r>
    </w:p>
    <w:p>
      <w:pPr>
        <w:pStyle w:val="25"/>
      </w:pPr>
      <w:r>
        <w:t>（十二）负责推进、指导、协调、监督全县政务公开和政府信息公开工作。</w:t>
      </w:r>
    </w:p>
    <w:p>
      <w:pPr>
        <w:pStyle w:val="25"/>
      </w:pPr>
      <w:r>
        <w:t>（十三）负责政务信息服务工作。</w:t>
      </w:r>
    </w:p>
    <w:p>
      <w:pPr>
        <w:pStyle w:val="25"/>
      </w:pPr>
      <w:r>
        <w:t>（十四）负责政府大院信访接待工作。</w:t>
      </w:r>
    </w:p>
    <w:p>
      <w:pPr>
        <w:pStyle w:val="25"/>
      </w:pPr>
      <w:r>
        <w:t>（十五）负责全县金融、外事、机关后勤、数据资源管理工作。</w:t>
      </w:r>
    </w:p>
    <w:p>
      <w:pPr>
        <w:pStyle w:val="25"/>
      </w:pPr>
      <w:r>
        <w:t>（十六）完成县政府交办的其他任务。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5669" w:type="dxa"/>
            <w:vAlign w:val="center"/>
          </w:tcPr>
          <w:p>
            <w:pPr>
              <w:pStyle w:val="12"/>
            </w:pPr>
            <w:r>
              <w:t>井陉县人民政府办公室本级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14823190.73元，其中：一般公共预算收入14823190.73元，基金预算收入0.00元，国有资本经营预算收入0.00元，财政专户核拨收入0.00元，单位资金收入0.00元，上年结转结余0.00元。</w:t>
      </w:r>
    </w:p>
    <w:p>
      <w:pPr>
        <w:pStyle w:val="26"/>
      </w:pPr>
      <w:r>
        <w:t>2、支出说明</w:t>
      </w:r>
    </w:p>
    <w:p>
      <w:pPr>
        <w:pStyle w:val="26"/>
      </w:pPr>
      <w:r>
        <w:t>收支预算总表支出栏、基本支出表、项目支出表按经济分类和支出功能分类科目编制，反映井陉县人民政府办公室本级年度单位预算中支出预算的总体情况。2026年支出预算14823190.73元，其中基本支出8662054.50元，包括人员经费6811098.50元和日常公用经费1850956.00元；项目支出6161136.23元，主要为公共机构节能经费16000.00元，政务外网、政府网站及党政办公平台运维费用900000.00元，视频会议系统服务费用39600.00元，招待所安置及退休人员经费1469564.38元，招待所留守人员经费278326.36元，政府工作报告等会议资料印刷经费12000.00元，机关服务经费2000000.00元，机关事务管理经费630000.00元，劳务派遣人员经费807645.49元，金融办工作经费8000.00元。；预计下年使用的单位资金结余0.00元。委托业务费共计安排0.00元，主要用于因技术原因确需对外委托的辅助性工作和确有必要对外委托开展咨询、评审、规划等工作。</w:t>
      </w:r>
    </w:p>
    <w:p>
      <w:pPr>
        <w:pStyle w:val="26"/>
      </w:pPr>
      <w:r>
        <w:t>3、比上年增减情况</w:t>
      </w:r>
    </w:p>
    <w:p>
      <w:pPr>
        <w:pStyle w:val="26"/>
      </w:pPr>
      <w:r>
        <w:t>2026年预算收支安排14823190.73元，较2025年预算增加986561.65元，其中：基本支出减少102373.38元，主要为人员退休等</w:t>
      </w:r>
      <w:r>
        <w:rPr>
          <w:rFonts w:hint="eastAsia"/>
          <w:lang w:eastAsia="zh-CN"/>
        </w:rPr>
        <w:t>人员</w:t>
      </w:r>
      <w:r>
        <w:t>变动经费减少。项目支出增加1088935.03元，主要为政务外网、政府网站及党政办公平台运维费用增加2600.00元，视频会议系统服务费用增加14640.00元，招待所安置及退休人员经费增加84164.38元，招待所留守人员经费增加2326.36元，机关服务经费增加1000000.00元，机关事务管理经费增加4000.00元，劳务派遣人员经费减少18795.71元。预计下年使用的单位资金结余增加0.00元。</w:t>
      </w:r>
    </w:p>
    <w:p>
      <w:pPr>
        <w:spacing w:before="10" w:after="10"/>
        <w:ind w:firstLine="640"/>
        <w:outlineLvl w:val="5"/>
      </w:pPr>
      <w:r>
        <w:rPr>
          <w:rFonts w:ascii="黑体" w:hAnsi="黑体" w:eastAsia="黑体" w:cs="黑体"/>
          <w:color w:val="000000"/>
          <w:sz w:val="32"/>
        </w:rPr>
        <w:t>三、机关运行经费安排情况</w:t>
      </w:r>
    </w:p>
    <w:p>
      <w:pPr>
        <w:pStyle w:val="27"/>
      </w:pPr>
      <w:r>
        <w:rPr>
          <w:rFonts w:hint="eastAsia"/>
        </w:rPr>
        <w:t>2026年，我单位机关运行经费共计安排1850956.00元，主要用于办公用房水电费、</w:t>
      </w:r>
      <w:r>
        <w:rPr>
          <w:rFonts w:hint="eastAsia"/>
          <w:lang w:eastAsia="zh-CN"/>
        </w:rPr>
        <w:t>办公费</w:t>
      </w:r>
      <w:bookmarkStart w:id="0" w:name="_GoBack"/>
      <w:bookmarkEnd w:id="0"/>
      <w:r>
        <w:rPr>
          <w:rFonts w:hint="eastAsia"/>
          <w:lang w:eastAsia="zh-CN"/>
        </w:rPr>
        <w:t>、差旅费</w:t>
      </w:r>
      <w:r>
        <w:rPr>
          <w:rFonts w:hint="eastAsia"/>
        </w:rPr>
        <w:t xml:space="preserve">、 </w:t>
      </w:r>
      <w:r>
        <w:rPr>
          <w:rFonts w:hint="eastAsia"/>
          <w:lang w:eastAsia="zh-CN"/>
        </w:rPr>
        <w:t>印刷费</w:t>
      </w:r>
      <w:r>
        <w:rPr>
          <w:rFonts w:hint="eastAsia"/>
        </w:rP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2026年，我单位财政拨款“三公”经费预算安排676576.00元，其中因公出国（境）费0.00元；公务用车购置及运维费253076.00元（其中：公务用车购置费为0.00元，公务用车运维费253076.00元)；公务接待费423500.00元。与2025年相比减少33924.00元，增减变化的主要原因是按照政府过“紧日子”要求压减“三公”经费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1、2026年公共机构节能经费绩效目标表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13012126P001162100017</w:t>
            </w:r>
          </w:p>
        </w:tc>
        <w:tc>
          <w:tcPr>
            <w:tcW w:w="2835" w:type="dxa"/>
            <w:vAlign w:val="center"/>
          </w:tcPr>
          <w:p>
            <w:pPr>
              <w:pStyle w:val="10"/>
            </w:pPr>
            <w:r>
              <w:t>项目名称</w:t>
            </w:r>
          </w:p>
        </w:tc>
        <w:tc>
          <w:tcPr>
            <w:tcW w:w="6095" w:type="dxa"/>
            <w:gridSpan w:val="3"/>
            <w:vAlign w:val="center"/>
          </w:tcPr>
          <w:p>
            <w:pPr>
              <w:pStyle w:val="12"/>
            </w:pPr>
            <w:r>
              <w:t>2026年公共机构节能经费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w:t>
            </w:r>
          </w:p>
        </w:tc>
        <w:tc>
          <w:tcPr>
            <w:tcW w:w="2835" w:type="dxa"/>
            <w:vAlign w:val="center"/>
          </w:tcPr>
          <w:p>
            <w:pPr>
              <w:pStyle w:val="10"/>
            </w:pPr>
            <w:r>
              <w:t>其中：财政    资金</w:t>
            </w:r>
          </w:p>
        </w:tc>
        <w:tc>
          <w:tcPr>
            <w:tcW w:w="2551" w:type="dxa"/>
            <w:vAlign w:val="center"/>
          </w:tcPr>
          <w:p>
            <w:pPr>
              <w:pStyle w:val="12"/>
            </w:pPr>
            <w:r>
              <w:t>16000.00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邀请第三方评审对公共机构节能情况进行评审，创建节约型机关，提高机关事业单位节约能力.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1.邀请第三方评审对公共机构节能情况进行评审，创建节约型机关，提高机关事业单位节约能力.</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聘请三方评审机构数量</w:t>
            </w:r>
          </w:p>
        </w:tc>
        <w:tc>
          <w:tcPr>
            <w:tcW w:w="5386" w:type="dxa"/>
            <w:vAlign w:val="center"/>
          </w:tcPr>
          <w:p>
            <w:pPr>
              <w:pStyle w:val="12"/>
            </w:pPr>
            <w:r>
              <w:t>聘请三方评审机构数量情况</w:t>
            </w:r>
          </w:p>
        </w:tc>
        <w:tc>
          <w:tcPr>
            <w:tcW w:w="2268" w:type="dxa"/>
            <w:vAlign w:val="center"/>
          </w:tcPr>
          <w:p>
            <w:pPr>
              <w:pStyle w:val="12"/>
            </w:pPr>
            <w:r>
              <w:t>≥1个</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评审通过率</w:t>
            </w:r>
          </w:p>
        </w:tc>
        <w:tc>
          <w:tcPr>
            <w:tcW w:w="5386" w:type="dxa"/>
            <w:vAlign w:val="center"/>
          </w:tcPr>
          <w:p>
            <w:pPr>
              <w:pStyle w:val="12"/>
            </w:pPr>
            <w:r>
              <w:t>节约型机关评审通过率</w:t>
            </w:r>
          </w:p>
        </w:tc>
        <w:tc>
          <w:tcPr>
            <w:tcW w:w="2268" w:type="dxa"/>
            <w:vAlign w:val="center"/>
          </w:tcPr>
          <w:p>
            <w:pPr>
              <w:pStyle w:val="12"/>
            </w:pPr>
            <w:r>
              <w:t>100%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评审完成时间</w:t>
            </w:r>
          </w:p>
        </w:tc>
        <w:tc>
          <w:tcPr>
            <w:tcW w:w="5386" w:type="dxa"/>
            <w:vAlign w:val="center"/>
          </w:tcPr>
          <w:p>
            <w:pPr>
              <w:pStyle w:val="12"/>
            </w:pPr>
            <w:r>
              <w:t>节约型机关评审完成时间</w:t>
            </w:r>
          </w:p>
        </w:tc>
        <w:tc>
          <w:tcPr>
            <w:tcW w:w="2268" w:type="dxa"/>
            <w:vAlign w:val="center"/>
          </w:tcPr>
          <w:p>
            <w:pPr>
              <w:pStyle w:val="12"/>
            </w:pPr>
            <w:r>
              <w:t>2026年12月前</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节约型机关评审成本</w:t>
            </w:r>
          </w:p>
        </w:tc>
        <w:tc>
          <w:tcPr>
            <w:tcW w:w="5386" w:type="dxa"/>
            <w:vAlign w:val="center"/>
          </w:tcPr>
          <w:p>
            <w:pPr>
              <w:pStyle w:val="12"/>
            </w:pPr>
            <w:r>
              <w:t>节约型机关评审成本</w:t>
            </w:r>
          </w:p>
        </w:tc>
        <w:tc>
          <w:tcPr>
            <w:tcW w:w="2268" w:type="dxa"/>
            <w:vAlign w:val="center"/>
          </w:tcPr>
          <w:p>
            <w:pPr>
              <w:pStyle w:val="12"/>
            </w:pPr>
            <w:r>
              <w:t>≤1.6万元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提高单位节约能力</w:t>
            </w:r>
          </w:p>
        </w:tc>
        <w:tc>
          <w:tcPr>
            <w:tcW w:w="5386" w:type="dxa"/>
            <w:vAlign w:val="center"/>
          </w:tcPr>
          <w:p>
            <w:pPr>
              <w:pStyle w:val="12"/>
            </w:pPr>
            <w:r>
              <w:t>通过创建节约型机关，提高单位节约能力。</w:t>
            </w:r>
          </w:p>
        </w:tc>
        <w:tc>
          <w:tcPr>
            <w:tcW w:w="2268" w:type="dxa"/>
            <w:vAlign w:val="center"/>
          </w:tcPr>
          <w:p>
            <w:pPr>
              <w:pStyle w:val="12"/>
            </w:pPr>
            <w:r>
              <w:t>进一步提高单位节约能力，创建节约型机关</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2、2026年机关服务经费绩效目标表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13012126P00115910001P</w:t>
            </w:r>
          </w:p>
        </w:tc>
        <w:tc>
          <w:tcPr>
            <w:tcW w:w="2835" w:type="dxa"/>
            <w:vAlign w:val="center"/>
          </w:tcPr>
          <w:p>
            <w:pPr>
              <w:pStyle w:val="10"/>
            </w:pPr>
            <w:r>
              <w:t>项目名称</w:t>
            </w:r>
          </w:p>
        </w:tc>
        <w:tc>
          <w:tcPr>
            <w:tcW w:w="6095" w:type="dxa"/>
            <w:gridSpan w:val="3"/>
            <w:vAlign w:val="center"/>
          </w:tcPr>
          <w:p>
            <w:pPr>
              <w:pStyle w:val="12"/>
            </w:pPr>
            <w:r>
              <w:t>2026年机关服务经费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2000000.00</w:t>
            </w:r>
          </w:p>
        </w:tc>
        <w:tc>
          <w:tcPr>
            <w:tcW w:w="2835" w:type="dxa"/>
            <w:vAlign w:val="center"/>
          </w:tcPr>
          <w:p>
            <w:pPr>
              <w:pStyle w:val="10"/>
            </w:pPr>
            <w:r>
              <w:t>其中：财政    资金</w:t>
            </w:r>
          </w:p>
        </w:tc>
        <w:tc>
          <w:tcPr>
            <w:tcW w:w="2551" w:type="dxa"/>
            <w:vAlign w:val="center"/>
          </w:tcPr>
          <w:p>
            <w:pPr>
              <w:pStyle w:val="12"/>
            </w:pPr>
            <w:r>
              <w:t>2000000.00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保障食堂工作人员的工资社保等正常发放缴纳，保障人员生活水平，保障就餐环境，保障就餐安全健康。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1.保障食堂工作人员的工资社保等正常发放缴纳，保障人员生活水平，保障就餐环境，保障就餐安全健康。</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食堂工作人员数量</w:t>
            </w:r>
          </w:p>
        </w:tc>
        <w:tc>
          <w:tcPr>
            <w:tcW w:w="2268" w:type="dxa"/>
            <w:vAlign w:val="center"/>
          </w:tcPr>
          <w:p>
            <w:pPr>
              <w:pStyle w:val="12"/>
            </w:pPr>
            <w:r>
              <w:t>≥13人</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食堂工作人员的工资、社保、补助费用准确发放情况</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食堂工作人员工资</w:t>
            </w:r>
          </w:p>
        </w:tc>
        <w:tc>
          <w:tcPr>
            <w:tcW w:w="5386" w:type="dxa"/>
            <w:vAlign w:val="center"/>
          </w:tcPr>
          <w:p>
            <w:pPr>
              <w:pStyle w:val="12"/>
            </w:pPr>
            <w:r>
              <w:t>食堂工作人员平均工资</w:t>
            </w:r>
          </w:p>
        </w:tc>
        <w:tc>
          <w:tcPr>
            <w:tcW w:w="2268" w:type="dxa"/>
            <w:vAlign w:val="center"/>
          </w:tcPr>
          <w:p>
            <w:pPr>
              <w:pStyle w:val="12"/>
            </w:pPr>
            <w:r>
              <w:t>≤7.7万元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保障工作正常运转率</w:t>
            </w:r>
          </w:p>
        </w:tc>
        <w:tc>
          <w:tcPr>
            <w:tcW w:w="5386" w:type="dxa"/>
            <w:vAlign w:val="center"/>
          </w:tcPr>
          <w:p>
            <w:pPr>
              <w:pStyle w:val="12"/>
            </w:pPr>
            <w:r>
              <w:t>食堂工作正常运转率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3、2026年机关事务管理经费绩效目标表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13012126P00116110001H</w:t>
            </w:r>
          </w:p>
        </w:tc>
        <w:tc>
          <w:tcPr>
            <w:tcW w:w="2835" w:type="dxa"/>
            <w:vAlign w:val="center"/>
          </w:tcPr>
          <w:p>
            <w:pPr>
              <w:pStyle w:val="10"/>
            </w:pPr>
            <w:r>
              <w:t>项目名称</w:t>
            </w:r>
          </w:p>
        </w:tc>
        <w:tc>
          <w:tcPr>
            <w:tcW w:w="6095" w:type="dxa"/>
            <w:gridSpan w:val="3"/>
            <w:vAlign w:val="center"/>
          </w:tcPr>
          <w:p>
            <w:pPr>
              <w:pStyle w:val="12"/>
            </w:pPr>
            <w:r>
              <w:t>2026年机关事务管理经费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630000.00</w:t>
            </w:r>
          </w:p>
        </w:tc>
        <w:tc>
          <w:tcPr>
            <w:tcW w:w="2835" w:type="dxa"/>
            <w:vAlign w:val="center"/>
          </w:tcPr>
          <w:p>
            <w:pPr>
              <w:pStyle w:val="10"/>
            </w:pPr>
            <w:r>
              <w:t>其中：财政    资金</w:t>
            </w:r>
          </w:p>
        </w:tc>
        <w:tc>
          <w:tcPr>
            <w:tcW w:w="2551" w:type="dxa"/>
            <w:vAlign w:val="center"/>
          </w:tcPr>
          <w:p>
            <w:pPr>
              <w:pStyle w:val="12"/>
            </w:pPr>
            <w:r>
              <w:t>630000.00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通过对大院设施、水电暖维护维修及更新，发放保安工资等，保障机关事务工作的正常开展。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1.通过对大院设施、水电暖维护维修及更新，发放保安工资等，保障机关事务工作的正常开展。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w:t>
            </w:r>
          </w:p>
        </w:tc>
        <w:tc>
          <w:tcPr>
            <w:tcW w:w="2268" w:type="dxa"/>
            <w:vAlign w:val="center"/>
          </w:tcPr>
          <w:p>
            <w:pPr>
              <w:pStyle w:val="12"/>
            </w:pPr>
            <w:r>
              <w:t>≥8人</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维修维护合格率</w:t>
            </w:r>
          </w:p>
        </w:tc>
        <w:tc>
          <w:tcPr>
            <w:tcW w:w="5386" w:type="dxa"/>
            <w:vAlign w:val="center"/>
          </w:tcPr>
          <w:p>
            <w:pPr>
              <w:pStyle w:val="12"/>
            </w:pPr>
            <w:r>
              <w:t>维修维护验收合格率</w:t>
            </w:r>
          </w:p>
        </w:tc>
        <w:tc>
          <w:tcPr>
            <w:tcW w:w="2268" w:type="dxa"/>
            <w:vAlign w:val="center"/>
          </w:tcPr>
          <w:p>
            <w:pPr>
              <w:pStyle w:val="12"/>
            </w:pPr>
            <w:r>
              <w:t>≥90%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修缮及时情况</w:t>
            </w:r>
          </w:p>
        </w:tc>
        <w:tc>
          <w:tcPr>
            <w:tcW w:w="5386" w:type="dxa"/>
            <w:vAlign w:val="center"/>
          </w:tcPr>
          <w:p>
            <w:pPr>
              <w:pStyle w:val="12"/>
            </w:pPr>
            <w:r>
              <w:t>修缮及时率</w:t>
            </w:r>
          </w:p>
        </w:tc>
        <w:tc>
          <w:tcPr>
            <w:tcW w:w="2268" w:type="dxa"/>
            <w:vAlign w:val="center"/>
          </w:tcPr>
          <w:p>
            <w:pPr>
              <w:pStyle w:val="12"/>
            </w:pPr>
            <w:r>
              <w:t>≥90%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人员工资</w:t>
            </w:r>
          </w:p>
        </w:tc>
        <w:tc>
          <w:tcPr>
            <w:tcW w:w="5386" w:type="dxa"/>
            <w:vAlign w:val="center"/>
          </w:tcPr>
          <w:p>
            <w:pPr>
              <w:pStyle w:val="12"/>
            </w:pPr>
            <w:r>
              <w:t>人员工资标准</w:t>
            </w:r>
          </w:p>
        </w:tc>
        <w:tc>
          <w:tcPr>
            <w:tcW w:w="2268" w:type="dxa"/>
            <w:vAlign w:val="center"/>
          </w:tcPr>
          <w:p>
            <w:pPr>
              <w:pStyle w:val="12"/>
            </w:pPr>
            <w:r>
              <w:t>≤3000元/人/月</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办公保障率</w:t>
            </w:r>
          </w:p>
        </w:tc>
        <w:tc>
          <w:tcPr>
            <w:tcW w:w="5386" w:type="dxa"/>
            <w:vAlign w:val="center"/>
          </w:tcPr>
          <w:p>
            <w:pPr>
              <w:pStyle w:val="12"/>
            </w:pPr>
            <w:r>
              <w:t>通过对办公设施及时维修维护，保障办公正常开展</w:t>
            </w:r>
          </w:p>
        </w:tc>
        <w:tc>
          <w:tcPr>
            <w:tcW w:w="2268" w:type="dxa"/>
            <w:vAlign w:val="center"/>
          </w:tcPr>
          <w:p>
            <w:pPr>
              <w:pStyle w:val="12"/>
            </w:pPr>
            <w:r>
              <w:t>100%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4、2026年金融办工作经费绩效目标表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13012126P00116310001W</w:t>
            </w:r>
          </w:p>
        </w:tc>
        <w:tc>
          <w:tcPr>
            <w:tcW w:w="2835" w:type="dxa"/>
            <w:vAlign w:val="center"/>
          </w:tcPr>
          <w:p>
            <w:pPr>
              <w:pStyle w:val="10"/>
            </w:pPr>
            <w:r>
              <w:t>项目名称</w:t>
            </w:r>
          </w:p>
        </w:tc>
        <w:tc>
          <w:tcPr>
            <w:tcW w:w="6095" w:type="dxa"/>
            <w:gridSpan w:val="3"/>
            <w:vAlign w:val="center"/>
          </w:tcPr>
          <w:p>
            <w:pPr>
              <w:pStyle w:val="12"/>
            </w:pPr>
            <w:r>
              <w:t>2026年金融办工作经费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通过支付办公费用等，保障金融办公室正常运转。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1.通过支付办公费用等，保障金融办公室正常运转。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保障办公机构数量</w:t>
            </w:r>
          </w:p>
        </w:tc>
        <w:tc>
          <w:tcPr>
            <w:tcW w:w="5386" w:type="dxa"/>
            <w:vAlign w:val="center"/>
          </w:tcPr>
          <w:p>
            <w:pPr>
              <w:pStyle w:val="12"/>
            </w:pPr>
            <w:r>
              <w:t>保障办公机构数量</w:t>
            </w:r>
          </w:p>
        </w:tc>
        <w:tc>
          <w:tcPr>
            <w:tcW w:w="2268" w:type="dxa"/>
            <w:vAlign w:val="center"/>
          </w:tcPr>
          <w:p>
            <w:pPr>
              <w:pStyle w:val="12"/>
            </w:pPr>
            <w:r>
              <w:t>1个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业务工作完成情况</w:t>
            </w:r>
          </w:p>
        </w:tc>
        <w:tc>
          <w:tcPr>
            <w:tcW w:w="5386" w:type="dxa"/>
            <w:vAlign w:val="center"/>
          </w:tcPr>
          <w:p>
            <w:pPr>
              <w:pStyle w:val="12"/>
            </w:pPr>
            <w:r>
              <w:t>业务工作完成率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年内工作完成时限</w:t>
            </w:r>
          </w:p>
        </w:tc>
        <w:tc>
          <w:tcPr>
            <w:tcW w:w="5386" w:type="dxa"/>
            <w:vAlign w:val="center"/>
          </w:tcPr>
          <w:p>
            <w:pPr>
              <w:pStyle w:val="12"/>
            </w:pPr>
            <w:r>
              <w:t>年内工作完成时限</w:t>
            </w:r>
          </w:p>
        </w:tc>
        <w:tc>
          <w:tcPr>
            <w:tcW w:w="2268" w:type="dxa"/>
            <w:vAlign w:val="center"/>
          </w:tcPr>
          <w:p>
            <w:pPr>
              <w:pStyle w:val="12"/>
            </w:pPr>
            <w:r>
              <w:t>2026年12月前</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业务工作成本</w:t>
            </w:r>
          </w:p>
        </w:tc>
        <w:tc>
          <w:tcPr>
            <w:tcW w:w="5386" w:type="dxa"/>
            <w:vAlign w:val="center"/>
          </w:tcPr>
          <w:p>
            <w:pPr>
              <w:pStyle w:val="12"/>
            </w:pPr>
            <w:r>
              <w:t>业务工作成本</w:t>
            </w:r>
          </w:p>
        </w:tc>
        <w:tc>
          <w:tcPr>
            <w:tcW w:w="2268" w:type="dxa"/>
            <w:vAlign w:val="center"/>
          </w:tcPr>
          <w:p>
            <w:pPr>
              <w:pStyle w:val="12"/>
            </w:pPr>
            <w:r>
              <w:t>≤0.8万元</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保障金融办公室工作正常运转</w:t>
            </w:r>
          </w:p>
        </w:tc>
        <w:tc>
          <w:tcPr>
            <w:tcW w:w="2268" w:type="dxa"/>
            <w:vAlign w:val="center"/>
          </w:tcPr>
          <w:p>
            <w:pPr>
              <w:pStyle w:val="12"/>
            </w:pPr>
            <w:r>
              <w:t>100%</w:t>
            </w:r>
          </w:p>
        </w:tc>
        <w:tc>
          <w:tcPr>
            <w:tcW w:w="1276" w:type="dxa"/>
            <w:vAlign w:val="center"/>
          </w:tcPr>
          <w:p>
            <w:pPr>
              <w:pStyle w:val="12"/>
            </w:pPr>
            <w:r>
              <w:t>2026年度部门工作计划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5、2026年井陉县人民政府办公室劳务派遣人员经费绩效目标表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13012126P000073102118</w:t>
            </w:r>
          </w:p>
        </w:tc>
        <w:tc>
          <w:tcPr>
            <w:tcW w:w="2835" w:type="dxa"/>
            <w:vAlign w:val="center"/>
          </w:tcPr>
          <w:p>
            <w:pPr>
              <w:pStyle w:val="10"/>
            </w:pPr>
            <w:r>
              <w:t>项目名称</w:t>
            </w:r>
          </w:p>
        </w:tc>
        <w:tc>
          <w:tcPr>
            <w:tcW w:w="6095" w:type="dxa"/>
            <w:gridSpan w:val="3"/>
            <w:vAlign w:val="center"/>
          </w:tcPr>
          <w:p>
            <w:pPr>
              <w:pStyle w:val="12"/>
            </w:pPr>
            <w:r>
              <w:t>2026年井陉县人民政府办公室劳务派遣人员经费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807645.49</w:t>
            </w:r>
          </w:p>
        </w:tc>
        <w:tc>
          <w:tcPr>
            <w:tcW w:w="2835" w:type="dxa"/>
            <w:vAlign w:val="center"/>
          </w:tcPr>
          <w:p>
            <w:pPr>
              <w:pStyle w:val="10"/>
            </w:pPr>
            <w:r>
              <w:t>其中：财政    资金</w:t>
            </w:r>
          </w:p>
        </w:tc>
        <w:tc>
          <w:tcPr>
            <w:tcW w:w="2551" w:type="dxa"/>
            <w:vAlign w:val="center"/>
          </w:tcPr>
          <w:p>
            <w:pPr>
              <w:pStyle w:val="12"/>
            </w:pPr>
            <w:r>
              <w:t>807645.49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通过按时发放劳务派遣人员工资等，保障劳务派遣人员的工资等正常发放，保障人员生活水平。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1.通过按时发放劳务派遣人员工资等，保障劳务派遣人员的工资等正常发放，保障人员生活水平。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发放人数</w:t>
            </w:r>
          </w:p>
        </w:tc>
        <w:tc>
          <w:tcPr>
            <w:tcW w:w="2268" w:type="dxa"/>
            <w:vAlign w:val="center"/>
          </w:tcPr>
          <w:p>
            <w:pPr>
              <w:pStyle w:val="12"/>
            </w:pPr>
            <w:r>
              <w:t>≥20人</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人员出勤率</w:t>
            </w:r>
          </w:p>
        </w:tc>
        <w:tc>
          <w:tcPr>
            <w:tcW w:w="5386" w:type="dxa"/>
            <w:vAlign w:val="center"/>
          </w:tcPr>
          <w:p>
            <w:pPr>
              <w:pStyle w:val="12"/>
            </w:pPr>
            <w:r>
              <w:t>人员出勤情况</w:t>
            </w:r>
          </w:p>
        </w:tc>
        <w:tc>
          <w:tcPr>
            <w:tcW w:w="2268" w:type="dxa"/>
            <w:vAlign w:val="center"/>
          </w:tcPr>
          <w:p>
            <w:pPr>
              <w:pStyle w:val="12"/>
            </w:pPr>
            <w:r>
              <w:t>≥90%</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人员的工资等的及时发放情况</w:t>
            </w:r>
          </w:p>
        </w:tc>
        <w:tc>
          <w:tcPr>
            <w:tcW w:w="2268" w:type="dxa"/>
            <w:vAlign w:val="center"/>
          </w:tcPr>
          <w:p>
            <w:pPr>
              <w:pStyle w:val="12"/>
            </w:pPr>
            <w:r>
              <w:t>按月及时发放</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劳务派遣人均费用</w:t>
            </w:r>
          </w:p>
        </w:tc>
        <w:tc>
          <w:tcPr>
            <w:tcW w:w="2268" w:type="dxa"/>
            <w:vAlign w:val="center"/>
          </w:tcPr>
          <w:p>
            <w:pPr>
              <w:pStyle w:val="12"/>
            </w:pPr>
            <w:r>
              <w:t>≤4.04万元</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单位工作正常运转率</w:t>
            </w:r>
          </w:p>
        </w:tc>
        <w:tc>
          <w:tcPr>
            <w:tcW w:w="5386" w:type="dxa"/>
            <w:vAlign w:val="center"/>
          </w:tcPr>
          <w:p>
            <w:pPr>
              <w:pStyle w:val="12"/>
            </w:pPr>
            <w:r>
              <w:t>单位工作正常运转率</w:t>
            </w:r>
          </w:p>
        </w:tc>
        <w:tc>
          <w:tcPr>
            <w:tcW w:w="2268" w:type="dxa"/>
            <w:vAlign w:val="center"/>
          </w:tcPr>
          <w:p>
            <w:pPr>
              <w:pStyle w:val="12"/>
            </w:pPr>
            <w:r>
              <w:t>≥90%</w:t>
            </w:r>
          </w:p>
        </w:tc>
        <w:tc>
          <w:tcPr>
            <w:tcW w:w="1276" w:type="dxa"/>
            <w:vAlign w:val="center"/>
          </w:tcPr>
          <w:p>
            <w:pPr>
              <w:pStyle w:val="12"/>
            </w:pPr>
            <w:r>
              <w:t>往年工作经验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6、2026年视频会议系统服务费用绩效目标表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13012126P00112210025G</w:t>
            </w:r>
          </w:p>
        </w:tc>
        <w:tc>
          <w:tcPr>
            <w:tcW w:w="2835" w:type="dxa"/>
            <w:vAlign w:val="center"/>
          </w:tcPr>
          <w:p>
            <w:pPr>
              <w:pStyle w:val="10"/>
            </w:pPr>
            <w:r>
              <w:t>项目名称</w:t>
            </w:r>
          </w:p>
        </w:tc>
        <w:tc>
          <w:tcPr>
            <w:tcW w:w="6095" w:type="dxa"/>
            <w:gridSpan w:val="3"/>
            <w:vAlign w:val="center"/>
          </w:tcPr>
          <w:p>
            <w:pPr>
              <w:pStyle w:val="12"/>
            </w:pPr>
            <w:r>
              <w:t>2026年视频会议系统服务费用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39600.00</w:t>
            </w:r>
          </w:p>
        </w:tc>
        <w:tc>
          <w:tcPr>
            <w:tcW w:w="2835" w:type="dxa"/>
            <w:vAlign w:val="center"/>
          </w:tcPr>
          <w:p>
            <w:pPr>
              <w:pStyle w:val="10"/>
            </w:pPr>
            <w:r>
              <w:t>其中：财政    资金</w:t>
            </w:r>
          </w:p>
        </w:tc>
        <w:tc>
          <w:tcPr>
            <w:tcW w:w="2551" w:type="dxa"/>
            <w:vAlign w:val="center"/>
          </w:tcPr>
          <w:p>
            <w:pPr>
              <w:pStyle w:val="12"/>
            </w:pPr>
            <w:r>
              <w:t>39600.00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购买通信公司运维服务，及时处理各种故障，保障会议正常召开。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1.购买通信公司运维服务，及时处理各种故障，保障会议正常召开。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购买服务个数</w:t>
            </w:r>
          </w:p>
        </w:tc>
        <w:tc>
          <w:tcPr>
            <w:tcW w:w="5386" w:type="dxa"/>
            <w:vAlign w:val="center"/>
          </w:tcPr>
          <w:p>
            <w:pPr>
              <w:pStyle w:val="12"/>
            </w:pPr>
            <w:r>
              <w:t>购买通信公司运维服务</w:t>
            </w:r>
          </w:p>
        </w:tc>
        <w:tc>
          <w:tcPr>
            <w:tcW w:w="2268" w:type="dxa"/>
            <w:vAlign w:val="center"/>
          </w:tcPr>
          <w:p>
            <w:pPr>
              <w:pStyle w:val="12"/>
            </w:pPr>
            <w:r>
              <w:t>3个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会议业务工作完成率</w:t>
            </w:r>
          </w:p>
        </w:tc>
        <w:tc>
          <w:tcPr>
            <w:tcW w:w="5386" w:type="dxa"/>
            <w:vAlign w:val="center"/>
          </w:tcPr>
          <w:p>
            <w:pPr>
              <w:pStyle w:val="12"/>
            </w:pPr>
            <w:r>
              <w:t>会议业务工作完成率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运维服务期限</w:t>
            </w:r>
          </w:p>
        </w:tc>
        <w:tc>
          <w:tcPr>
            <w:tcW w:w="5386" w:type="dxa"/>
            <w:vAlign w:val="center"/>
          </w:tcPr>
          <w:p>
            <w:pPr>
              <w:pStyle w:val="12"/>
            </w:pPr>
            <w:r>
              <w:t>通信公司运维服务期限</w:t>
            </w:r>
          </w:p>
        </w:tc>
        <w:tc>
          <w:tcPr>
            <w:tcW w:w="2268" w:type="dxa"/>
            <w:vAlign w:val="center"/>
          </w:tcPr>
          <w:p>
            <w:pPr>
              <w:pStyle w:val="12"/>
            </w:pPr>
            <w:r>
              <w:t>1年</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视频会议系统运维费</w:t>
            </w:r>
          </w:p>
        </w:tc>
        <w:tc>
          <w:tcPr>
            <w:tcW w:w="5386" w:type="dxa"/>
            <w:vAlign w:val="center"/>
          </w:tcPr>
          <w:p>
            <w:pPr>
              <w:pStyle w:val="12"/>
            </w:pPr>
            <w:r>
              <w:t>视频会议系统运维费</w:t>
            </w:r>
          </w:p>
        </w:tc>
        <w:tc>
          <w:tcPr>
            <w:tcW w:w="2268" w:type="dxa"/>
            <w:vAlign w:val="center"/>
          </w:tcPr>
          <w:p>
            <w:pPr>
              <w:pStyle w:val="12"/>
            </w:pPr>
            <w:r>
              <w:t>≤3.96万元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视频会议工作正常运转率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5386" w:type="dxa"/>
            <w:vAlign w:val="center"/>
          </w:tcPr>
          <w:p>
            <w:pPr>
              <w:pStyle w:val="12"/>
            </w:pPr>
            <w:r>
              <w:t>参会人员满意度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7、2026年招待所安置及退休人员经费绩效目标表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13012126P001165100018</w:t>
            </w:r>
          </w:p>
        </w:tc>
        <w:tc>
          <w:tcPr>
            <w:tcW w:w="2835" w:type="dxa"/>
            <w:vAlign w:val="center"/>
          </w:tcPr>
          <w:p>
            <w:pPr>
              <w:pStyle w:val="10"/>
            </w:pPr>
            <w:r>
              <w:t>项目名称</w:t>
            </w:r>
          </w:p>
        </w:tc>
        <w:tc>
          <w:tcPr>
            <w:tcW w:w="6095" w:type="dxa"/>
            <w:gridSpan w:val="3"/>
            <w:vAlign w:val="center"/>
          </w:tcPr>
          <w:p>
            <w:pPr>
              <w:pStyle w:val="12"/>
            </w:pPr>
            <w:r>
              <w:t>2026年招待所安置及退休人员经费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1469564.38</w:t>
            </w:r>
          </w:p>
        </w:tc>
        <w:tc>
          <w:tcPr>
            <w:tcW w:w="2835" w:type="dxa"/>
            <w:vAlign w:val="center"/>
          </w:tcPr>
          <w:p>
            <w:pPr>
              <w:pStyle w:val="10"/>
            </w:pPr>
            <w:r>
              <w:t>其中：财政    资金</w:t>
            </w:r>
          </w:p>
        </w:tc>
        <w:tc>
          <w:tcPr>
            <w:tcW w:w="2551" w:type="dxa"/>
            <w:vAlign w:val="center"/>
          </w:tcPr>
          <w:p>
            <w:pPr>
              <w:pStyle w:val="12"/>
            </w:pPr>
            <w:r>
              <w:t>1469564.38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保障招待所安置及退休人员的工资社保等正常发放缴纳，保障人员生活水平。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1.保障招待所安置及退休人员的工资社保等正常发放缴纳，保障人员生活水平。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招待所安置、退休人员、遗属人员数量</w:t>
            </w:r>
          </w:p>
        </w:tc>
        <w:tc>
          <w:tcPr>
            <w:tcW w:w="2268" w:type="dxa"/>
            <w:vAlign w:val="center"/>
          </w:tcPr>
          <w:p>
            <w:pPr>
              <w:pStyle w:val="12"/>
            </w:pPr>
            <w:r>
              <w:t>≥80人</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招待所安置、退休人员、遗属人员的工资、社保、补助费用准确发放情况</w:t>
            </w:r>
          </w:p>
        </w:tc>
        <w:tc>
          <w:tcPr>
            <w:tcW w:w="2268" w:type="dxa"/>
            <w:vAlign w:val="center"/>
          </w:tcPr>
          <w:p>
            <w:pPr>
              <w:pStyle w:val="12"/>
            </w:pPr>
            <w:r>
              <w:t>≥90%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工资等发放成本</w:t>
            </w:r>
          </w:p>
        </w:tc>
        <w:tc>
          <w:tcPr>
            <w:tcW w:w="5386" w:type="dxa"/>
            <w:vAlign w:val="center"/>
          </w:tcPr>
          <w:p>
            <w:pPr>
              <w:pStyle w:val="12"/>
            </w:pPr>
            <w:r>
              <w:t>工资等发放成本</w:t>
            </w:r>
          </w:p>
        </w:tc>
        <w:tc>
          <w:tcPr>
            <w:tcW w:w="2268" w:type="dxa"/>
            <w:vAlign w:val="center"/>
          </w:tcPr>
          <w:p>
            <w:pPr>
              <w:pStyle w:val="12"/>
            </w:pPr>
            <w:r>
              <w:t>≤146.96万元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保障人员生活水平</w:t>
            </w:r>
          </w:p>
        </w:tc>
        <w:tc>
          <w:tcPr>
            <w:tcW w:w="5386" w:type="dxa"/>
            <w:vAlign w:val="center"/>
          </w:tcPr>
          <w:p>
            <w:pPr>
              <w:pStyle w:val="12"/>
            </w:pPr>
            <w:r>
              <w:t>及时发放安置退休人员和遗属人员经费，保障人员生活水平</w:t>
            </w:r>
          </w:p>
        </w:tc>
        <w:tc>
          <w:tcPr>
            <w:tcW w:w="2268" w:type="dxa"/>
            <w:vAlign w:val="center"/>
          </w:tcPr>
          <w:p>
            <w:pPr>
              <w:pStyle w:val="12"/>
            </w:pPr>
            <w:r>
              <w:t>进一步保障</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8、2026年招待所留守人员经费绩效目标表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13012126P00115710001C</w:t>
            </w:r>
          </w:p>
        </w:tc>
        <w:tc>
          <w:tcPr>
            <w:tcW w:w="2835" w:type="dxa"/>
            <w:vAlign w:val="center"/>
          </w:tcPr>
          <w:p>
            <w:pPr>
              <w:pStyle w:val="10"/>
            </w:pPr>
            <w:r>
              <w:t>项目名称</w:t>
            </w:r>
          </w:p>
        </w:tc>
        <w:tc>
          <w:tcPr>
            <w:tcW w:w="6095" w:type="dxa"/>
            <w:gridSpan w:val="3"/>
            <w:vAlign w:val="center"/>
          </w:tcPr>
          <w:p>
            <w:pPr>
              <w:pStyle w:val="12"/>
            </w:pPr>
            <w:r>
              <w:t>2026年招待所留守人员经费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278326.36</w:t>
            </w:r>
          </w:p>
        </w:tc>
        <w:tc>
          <w:tcPr>
            <w:tcW w:w="2835" w:type="dxa"/>
            <w:vAlign w:val="center"/>
          </w:tcPr>
          <w:p>
            <w:pPr>
              <w:pStyle w:val="10"/>
            </w:pPr>
            <w:r>
              <w:t>其中：财政    资金</w:t>
            </w:r>
          </w:p>
        </w:tc>
        <w:tc>
          <w:tcPr>
            <w:tcW w:w="2551" w:type="dxa"/>
            <w:vAlign w:val="center"/>
          </w:tcPr>
          <w:p>
            <w:pPr>
              <w:pStyle w:val="12"/>
            </w:pPr>
            <w:r>
              <w:t>278326.36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保障招待所留守人员的工资社保等正常发放缴纳，完成留守处的工作任务，保障人员生活水平。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1.保障招待所留守人员的工资社保等正常发放缴纳，完成留守处的工作任务，保障人员生活水平。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招待所留守人员数量</w:t>
            </w:r>
          </w:p>
        </w:tc>
        <w:tc>
          <w:tcPr>
            <w:tcW w:w="2268" w:type="dxa"/>
            <w:vAlign w:val="center"/>
          </w:tcPr>
          <w:p>
            <w:pPr>
              <w:pStyle w:val="12"/>
            </w:pPr>
            <w:r>
              <w:t>2人</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招待所留守人员的工资、社保、补助费用准确发放情况</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招待所留守人员的工资、社保、补助费用的人均成本</w:t>
            </w:r>
          </w:p>
        </w:tc>
        <w:tc>
          <w:tcPr>
            <w:tcW w:w="2268" w:type="dxa"/>
            <w:vAlign w:val="center"/>
          </w:tcPr>
          <w:p>
            <w:pPr>
              <w:pStyle w:val="12"/>
            </w:pPr>
            <w:r>
              <w:t>≤13.92万元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9、2026年政府工作报告等会议资料印刷经费绩效目标表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13012126P00116010001U</w:t>
            </w:r>
          </w:p>
        </w:tc>
        <w:tc>
          <w:tcPr>
            <w:tcW w:w="2835" w:type="dxa"/>
            <w:vAlign w:val="center"/>
          </w:tcPr>
          <w:p>
            <w:pPr>
              <w:pStyle w:val="10"/>
            </w:pPr>
            <w:r>
              <w:t>项目名称</w:t>
            </w:r>
          </w:p>
        </w:tc>
        <w:tc>
          <w:tcPr>
            <w:tcW w:w="6095" w:type="dxa"/>
            <w:gridSpan w:val="3"/>
            <w:vAlign w:val="center"/>
          </w:tcPr>
          <w:p>
            <w:pPr>
              <w:pStyle w:val="12"/>
            </w:pPr>
            <w:r>
              <w:t>2026年政府工作报告等会议资料印刷经费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w:t>
            </w:r>
          </w:p>
        </w:tc>
        <w:tc>
          <w:tcPr>
            <w:tcW w:w="2835" w:type="dxa"/>
            <w:vAlign w:val="center"/>
          </w:tcPr>
          <w:p>
            <w:pPr>
              <w:pStyle w:val="10"/>
            </w:pPr>
            <w:r>
              <w:t>其中：财政    资金</w:t>
            </w:r>
          </w:p>
        </w:tc>
        <w:tc>
          <w:tcPr>
            <w:tcW w:w="2551" w:type="dxa"/>
            <w:vAlign w:val="center"/>
          </w:tcPr>
          <w:p>
            <w:pPr>
              <w:pStyle w:val="12"/>
            </w:pPr>
            <w:r>
              <w:t>12000.00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通过人代会等会议资料印刷，印刷资料清晰无错，保障会议正常召开。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50%</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1.通过人代会等会议资料印刷，印刷资料清晰无错，保障会议正常召开。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印制份数</w:t>
            </w:r>
          </w:p>
        </w:tc>
        <w:tc>
          <w:tcPr>
            <w:tcW w:w="5386" w:type="dxa"/>
            <w:vAlign w:val="center"/>
          </w:tcPr>
          <w:p>
            <w:pPr>
              <w:pStyle w:val="12"/>
            </w:pPr>
            <w:r>
              <w:t>印制份数</w:t>
            </w:r>
          </w:p>
        </w:tc>
        <w:tc>
          <w:tcPr>
            <w:tcW w:w="2268" w:type="dxa"/>
            <w:vAlign w:val="center"/>
          </w:tcPr>
          <w:p>
            <w:pPr>
              <w:pStyle w:val="12"/>
            </w:pPr>
            <w:r>
              <w:t>≥1000份</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w:t>
            </w:r>
          </w:p>
        </w:tc>
        <w:tc>
          <w:tcPr>
            <w:tcW w:w="5386" w:type="dxa"/>
            <w:vAlign w:val="center"/>
          </w:tcPr>
          <w:p>
            <w:pPr>
              <w:pStyle w:val="12"/>
            </w:pPr>
            <w:r>
              <w:t>印刷质量合格，清晰无错</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印刷完成率</w:t>
            </w:r>
          </w:p>
        </w:tc>
        <w:tc>
          <w:tcPr>
            <w:tcW w:w="5386" w:type="dxa"/>
            <w:vAlign w:val="center"/>
          </w:tcPr>
          <w:p>
            <w:pPr>
              <w:pStyle w:val="12"/>
            </w:pPr>
            <w:r>
              <w:t>在会议通知规定的时间内及时完成印刷</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平均印刷成本</w:t>
            </w:r>
          </w:p>
        </w:tc>
        <w:tc>
          <w:tcPr>
            <w:tcW w:w="5386" w:type="dxa"/>
            <w:vAlign w:val="center"/>
          </w:tcPr>
          <w:p>
            <w:pPr>
              <w:pStyle w:val="12"/>
            </w:pPr>
            <w:r>
              <w:t>约1000多资料，平均每份成本</w:t>
            </w:r>
          </w:p>
        </w:tc>
        <w:tc>
          <w:tcPr>
            <w:tcW w:w="2268" w:type="dxa"/>
            <w:vAlign w:val="center"/>
          </w:tcPr>
          <w:p>
            <w:pPr>
              <w:pStyle w:val="12"/>
            </w:pPr>
            <w:r>
              <w:t>≤12元/份</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通过印刷工作资料，保障工作正常开展</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5386" w:type="dxa"/>
            <w:vAlign w:val="center"/>
          </w:tcPr>
          <w:p>
            <w:pPr>
              <w:pStyle w:val="12"/>
            </w:pPr>
            <w:r>
              <w:t>参会人员满意度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10、2026年政务外网、政府网站及党政办公平台运维费用绩效目标表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13012126P00112210024W</w:t>
            </w:r>
          </w:p>
        </w:tc>
        <w:tc>
          <w:tcPr>
            <w:tcW w:w="2835" w:type="dxa"/>
            <w:vAlign w:val="center"/>
          </w:tcPr>
          <w:p>
            <w:pPr>
              <w:pStyle w:val="10"/>
            </w:pPr>
            <w:r>
              <w:t>项目名称</w:t>
            </w:r>
          </w:p>
        </w:tc>
        <w:tc>
          <w:tcPr>
            <w:tcW w:w="6095" w:type="dxa"/>
            <w:gridSpan w:val="3"/>
            <w:vAlign w:val="center"/>
          </w:tcPr>
          <w:p>
            <w:pPr>
              <w:pStyle w:val="12"/>
            </w:pPr>
            <w:r>
              <w:t>2026年政务外网、政府网站及党政办公平台运维费用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900000.00</w:t>
            </w:r>
          </w:p>
        </w:tc>
        <w:tc>
          <w:tcPr>
            <w:tcW w:w="2835" w:type="dxa"/>
            <w:vAlign w:val="center"/>
          </w:tcPr>
          <w:p>
            <w:pPr>
              <w:pStyle w:val="10"/>
            </w:pPr>
            <w:r>
              <w:t>其中：财政    资金</w:t>
            </w:r>
          </w:p>
        </w:tc>
        <w:tc>
          <w:tcPr>
            <w:tcW w:w="2551" w:type="dxa"/>
            <w:vAlign w:val="center"/>
          </w:tcPr>
          <w:p>
            <w:pPr>
              <w:pStyle w:val="12"/>
            </w:pPr>
            <w:r>
              <w:t>900000.00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通过支付服务费用等，保障政府网站、政务新媒体、政务外网等的运维管理。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1.通过支付服务费用等，保障政府网站、政务新媒体、政务外网等的运维管理。</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保障平台数量</w:t>
            </w:r>
          </w:p>
        </w:tc>
        <w:tc>
          <w:tcPr>
            <w:tcW w:w="5386" w:type="dxa"/>
            <w:vAlign w:val="center"/>
          </w:tcPr>
          <w:p>
            <w:pPr>
              <w:pStyle w:val="12"/>
            </w:pPr>
            <w:r>
              <w:t>保障平台数量</w:t>
            </w:r>
          </w:p>
        </w:tc>
        <w:tc>
          <w:tcPr>
            <w:tcW w:w="2268" w:type="dxa"/>
            <w:vAlign w:val="center"/>
          </w:tcPr>
          <w:p>
            <w:pPr>
              <w:pStyle w:val="12"/>
            </w:pPr>
            <w:r>
              <w:t>4个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维护合格率</w:t>
            </w:r>
          </w:p>
        </w:tc>
        <w:tc>
          <w:tcPr>
            <w:tcW w:w="5386" w:type="dxa"/>
            <w:vAlign w:val="center"/>
          </w:tcPr>
          <w:p>
            <w:pPr>
              <w:pStyle w:val="12"/>
            </w:pPr>
            <w:r>
              <w:t>维修护验收合格率</w:t>
            </w:r>
          </w:p>
        </w:tc>
        <w:tc>
          <w:tcPr>
            <w:tcW w:w="2268" w:type="dxa"/>
            <w:vAlign w:val="center"/>
          </w:tcPr>
          <w:p>
            <w:pPr>
              <w:pStyle w:val="12"/>
            </w:pPr>
            <w:r>
              <w:t>≥95%</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运维服务期限</w:t>
            </w:r>
          </w:p>
        </w:tc>
        <w:tc>
          <w:tcPr>
            <w:tcW w:w="5386" w:type="dxa"/>
            <w:vAlign w:val="center"/>
          </w:tcPr>
          <w:p>
            <w:pPr>
              <w:pStyle w:val="12"/>
            </w:pPr>
            <w:r>
              <w:t>运维服务期限</w:t>
            </w:r>
          </w:p>
        </w:tc>
        <w:tc>
          <w:tcPr>
            <w:tcW w:w="2268" w:type="dxa"/>
            <w:vAlign w:val="center"/>
          </w:tcPr>
          <w:p>
            <w:pPr>
              <w:pStyle w:val="12"/>
            </w:pPr>
            <w:r>
              <w:t>1年</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平台运维费用</w:t>
            </w:r>
          </w:p>
        </w:tc>
        <w:tc>
          <w:tcPr>
            <w:tcW w:w="5386" w:type="dxa"/>
            <w:vAlign w:val="center"/>
          </w:tcPr>
          <w:p>
            <w:pPr>
              <w:pStyle w:val="12"/>
            </w:pPr>
            <w:r>
              <w:t>平台运维费用</w:t>
            </w:r>
          </w:p>
        </w:tc>
        <w:tc>
          <w:tcPr>
            <w:tcW w:w="2268" w:type="dxa"/>
            <w:vAlign w:val="center"/>
          </w:tcPr>
          <w:p>
            <w:pPr>
              <w:pStyle w:val="12"/>
            </w:pPr>
            <w:r>
              <w:t>≤90万元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平台正常运转率</w:t>
            </w:r>
          </w:p>
        </w:tc>
        <w:tc>
          <w:tcPr>
            <w:tcW w:w="5386" w:type="dxa"/>
            <w:vAlign w:val="center"/>
          </w:tcPr>
          <w:p>
            <w:pPr>
              <w:pStyle w:val="12"/>
            </w:pPr>
            <w:r>
              <w:t>通过支付服务费用等，保障政府网站、政务新媒体、政务外网等的运维管理</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单位使用人员满意度情况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230000.00</w:t>
            </w:r>
          </w:p>
        </w:tc>
        <w:tc>
          <w:tcPr>
            <w:tcW w:w="964" w:type="dxa"/>
            <w:vAlign w:val="center"/>
          </w:tcPr>
          <w:p>
            <w:pPr>
              <w:pStyle w:val="15"/>
            </w:pPr>
            <w:r>
              <w:t>230000.00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1701" w:type="dxa"/>
            <w:vAlign w:val="center"/>
          </w:tcPr>
          <w:p>
            <w:pPr>
              <w:pStyle w:val="14"/>
            </w:pPr>
            <w:r>
              <w:t>井陉县人民政府办公室本级小计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230000.00</w:t>
            </w:r>
          </w:p>
        </w:tc>
        <w:tc>
          <w:tcPr>
            <w:tcW w:w="964" w:type="dxa"/>
            <w:vAlign w:val="center"/>
          </w:tcPr>
          <w:p>
            <w:pPr>
              <w:pStyle w:val="15"/>
            </w:pPr>
            <w:r>
              <w:t>230000.00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150</w:t>
            </w:r>
          </w:p>
        </w:tc>
        <w:tc>
          <w:tcPr>
            <w:tcW w:w="850" w:type="dxa"/>
            <w:vAlign w:val="center"/>
          </w:tcPr>
          <w:p>
            <w:pPr>
              <w:pStyle w:val="11"/>
            </w:pPr>
            <w:r>
              <w:t>200.00</w:t>
            </w:r>
          </w:p>
        </w:tc>
        <w:tc>
          <w:tcPr>
            <w:tcW w:w="964" w:type="dxa"/>
            <w:vAlign w:val="center"/>
          </w:tcPr>
          <w:p>
            <w:pPr>
              <w:pStyle w:val="11"/>
            </w:pPr>
            <w:r>
              <w:t>30000.00</w:t>
            </w:r>
          </w:p>
        </w:tc>
        <w:tc>
          <w:tcPr>
            <w:tcW w:w="964" w:type="dxa"/>
            <w:vAlign w:val="center"/>
          </w:tcPr>
          <w:p>
            <w:pPr>
              <w:pStyle w:val="11"/>
            </w:pPr>
            <w:r>
              <w:t>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井陉县人民政府办公室本级上年末固定资产金额为22217406.74元（详见下表）。本年度拟购置固定资产总额为0.00元，已按要求列入政府采购预算，详见政府采购预算表。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430001井陉县人民政府办公室本级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22217406.74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1、房屋（平方米）</w:t>
            </w:r>
          </w:p>
        </w:tc>
        <w:tc>
          <w:tcPr>
            <w:tcW w:w="2835" w:type="dxa"/>
            <w:vAlign w:val="center"/>
          </w:tcPr>
          <w:p>
            <w:pPr>
              <w:pStyle w:val="13"/>
            </w:pPr>
            <w:r>
              <w:t>24856.70</w:t>
            </w:r>
          </w:p>
        </w:tc>
        <w:tc>
          <w:tcPr>
            <w:tcW w:w="2835" w:type="dxa"/>
            <w:vAlign w:val="center"/>
          </w:tcPr>
          <w:p>
            <w:pPr>
              <w:pStyle w:val="11"/>
            </w:pPr>
            <w:r>
              <w:t>8816030.37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1595000.00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1928433.45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4、其他固定资产</w:t>
            </w:r>
          </w:p>
        </w:tc>
        <w:tc>
          <w:tcPr>
            <w:tcW w:w="2835" w:type="dxa"/>
            <w:vAlign w:val="center"/>
          </w:tcPr>
          <w:p>
            <w:pPr>
              <w:pStyle w:val="13"/>
            </w:pPr>
            <w:r>
              <w:t>2289</w:t>
            </w:r>
          </w:p>
        </w:tc>
        <w:tc>
          <w:tcPr>
            <w:tcW w:w="2835" w:type="dxa"/>
            <w:vAlign w:val="center"/>
          </w:tcPr>
          <w:p>
            <w:pPr>
              <w:pStyle w:val="11"/>
            </w:pPr>
            <w:r>
              <w:t>9877942.92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Cambria">
    <w:panose1 w:val="02040503050406030204"/>
    <w:charset w:val="00"/>
    <w:family w:val="auto"/>
    <w:pitch w:val="default"/>
    <w:sig w:usb0="A00002EF" w:usb1="4000004B" w:usb2="00000000" w:usb3="00000000" w:csb0="2000009F" w:csb1="00000000"/>
  </w:font>
  <w:font w:name="Calibri">
    <w:panose1 w:val="020F0502020204030204"/>
    <w:charset w:val="00"/>
    <w:family w:val="auto"/>
    <w:pitch w:val="default"/>
    <w:sig w:usb0="A00002EF" w:usb1="4000207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6">
    <w:name w:val="Default Paragraph Font"/>
    <w:semiHidden/>
    <w:unhideWhenUsed/>
    <w:uiPriority w:val="1"/>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rPr>
  </w:style>
  <w:style w:type="paragraph" w:customStyle="1" w:styleId="25">
    <w:name w:val="插入文本样式-插入单位职责文件"/>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qFormat/>
    <w:uiPriority w:val="0"/>
    <w:pPr>
      <w:spacing w:line="500" w:lineRule="exact"/>
      <w:ind w:firstLine="560"/>
    </w:pPr>
    <w:rPr>
      <w:rFonts w:eastAsia="方正仿宋_GBK"/>
      <w:sz w:val="28"/>
    </w:rPr>
  </w:style>
  <w:style w:type="character" w:customStyle="1" w:styleId="29">
    <w:name w:val="variable"/>
    <w:basedOn w:val="6"/>
    <w:uiPriority w:val="0"/>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2649</Words>
  <Characters>15104</Characters>
  <Lines>125</Lines>
  <Paragraphs>35</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2026-02-05T08:09:00Z</dcterms:created>
  <cp:lastModifiedBy>Administrator</cp:lastModifiedBy>
  <dcterms:modified xsi:type="dcterms:W3CDTF">2026-03-18T07:11:19Z</dcterms:modified>
  <dc:title>2026年单位预算信息公开目录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