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61CBDF">
      <w:pPr>
        <w:pStyle w:val="6"/>
        <w:jc w:val="center"/>
        <w:rPr>
          <w:rFonts w:hint="eastAsia" w:ascii="方正小标宋_GBK" w:eastAsia="方正小标宋_GBK"/>
          <w:lang w:eastAsia="zh-CN"/>
        </w:rPr>
      </w:pPr>
      <w:r>
        <w:rPr>
          <w:rFonts w:hint="eastAsia" w:ascii="方正小标宋_GBK" w:eastAsia="方正小标宋_GBK"/>
          <w:w w:val="95"/>
          <w:lang w:eastAsia="zh-CN"/>
        </w:rPr>
        <w:t>《上安镇国土空间总体规划（2021-2035年</w:t>
      </w:r>
      <w:r>
        <w:rPr>
          <w:rFonts w:hint="eastAsia" w:ascii="方正小标宋_GBK" w:eastAsia="方正小标宋_GBK"/>
          <w:spacing w:val="-161"/>
          <w:w w:val="95"/>
          <w:lang w:eastAsia="zh-CN"/>
        </w:rPr>
        <w:t>）</w:t>
      </w:r>
      <w:r>
        <w:rPr>
          <w:rFonts w:hint="eastAsia" w:ascii="方正小标宋_GBK" w:eastAsia="方正小标宋_GBK"/>
          <w:w w:val="95"/>
          <w:lang w:eastAsia="zh-CN"/>
        </w:rPr>
        <w:t>》批后公告</w:t>
      </w:r>
    </w:p>
    <w:p w14:paraId="48BAA107">
      <w:pPr>
        <w:pStyle w:val="6"/>
        <w:spacing w:before="149" w:line="328" w:lineRule="auto"/>
        <w:ind w:left="106" w:right="431" w:firstLine="640"/>
        <w:jc w:val="both"/>
        <w:rPr>
          <w:rFonts w:hint="eastAsia"/>
          <w:spacing w:val="-7"/>
          <w:w w:val="95"/>
          <w:lang w:eastAsia="zh-CN"/>
        </w:rPr>
      </w:pPr>
      <w:r>
        <w:rPr>
          <w:spacing w:val="-7"/>
          <w:w w:val="95"/>
          <w:lang w:eastAsia="zh-CN"/>
        </w:rPr>
        <w:t>《</w:t>
      </w:r>
      <w:r>
        <w:rPr>
          <w:rFonts w:hint="eastAsia"/>
          <w:spacing w:val="-7"/>
          <w:w w:val="95"/>
          <w:lang w:eastAsia="zh-CN"/>
        </w:rPr>
        <w:t>上安镇</w:t>
      </w:r>
      <w:r>
        <w:rPr>
          <w:spacing w:val="-7"/>
          <w:w w:val="95"/>
          <w:lang w:eastAsia="zh-CN"/>
        </w:rPr>
        <w:t>国土空间总体规划（2021-2035年）》已于2025年6月30日获</w:t>
      </w:r>
      <w:r>
        <w:rPr>
          <w:rFonts w:hint="eastAsia"/>
          <w:spacing w:val="-7"/>
          <w:w w:val="95"/>
          <w:lang w:eastAsia="zh-CN"/>
        </w:rPr>
        <w:t>井陉</w:t>
      </w:r>
      <w:r>
        <w:rPr>
          <w:spacing w:val="-7"/>
          <w:w w:val="95"/>
          <w:lang w:eastAsia="zh-CN"/>
        </w:rPr>
        <w:t>县人民政府批准（</w:t>
      </w:r>
      <w:r>
        <w:rPr>
          <w:rFonts w:hint="eastAsia"/>
          <w:spacing w:val="-7"/>
          <w:w w:val="95"/>
          <w:lang w:eastAsia="zh-CN"/>
        </w:rPr>
        <w:t>井</w:t>
      </w:r>
      <w:r>
        <w:rPr>
          <w:spacing w:val="-7"/>
          <w:w w:val="95"/>
          <w:lang w:eastAsia="zh-CN"/>
        </w:rPr>
        <w:t>政[2025]</w:t>
      </w:r>
      <w:r>
        <w:rPr>
          <w:rFonts w:hint="eastAsia"/>
          <w:spacing w:val="-7"/>
          <w:w w:val="95"/>
          <w:lang w:eastAsia="zh-CN"/>
        </w:rPr>
        <w:t>61</w:t>
      </w:r>
      <w:r>
        <w:rPr>
          <w:spacing w:val="-7"/>
          <w:w w:val="95"/>
          <w:lang w:eastAsia="zh-CN"/>
        </w:rPr>
        <w:t>号），现予以公告。为贯彻落实《中共中央国务院关于建立国土空间规划体系并监督实施的若干意见》《全国国土空间规划纲要（2021-2035年）》《京津冀协同发展规划纲要》《河北省国土空间规划（2021-2035年）》《石家庄市国土空间总体规划（2021-2035年）》《</w:t>
      </w:r>
      <w:r>
        <w:rPr>
          <w:rFonts w:hint="eastAsia"/>
          <w:spacing w:val="-7"/>
          <w:w w:val="95"/>
          <w:lang w:eastAsia="zh-CN"/>
        </w:rPr>
        <w:t>井陉</w:t>
      </w:r>
      <w:r>
        <w:rPr>
          <w:spacing w:val="-7"/>
          <w:w w:val="95"/>
          <w:lang w:eastAsia="zh-CN"/>
        </w:rPr>
        <w:t>县国土空间总体规划（2021-2035年）》各项要求，推动形成人与自然和谐共生的国土空间开发保护新格局，提升空间治理现代化水平，编制本规划。</w:t>
      </w:r>
    </w:p>
    <w:p w14:paraId="3AC06AF3">
      <w:pPr>
        <w:pStyle w:val="6"/>
        <w:spacing w:before="149" w:line="328" w:lineRule="auto"/>
        <w:ind w:left="106" w:right="431" w:firstLine="640"/>
        <w:jc w:val="both"/>
        <w:rPr>
          <w:rFonts w:hint="eastAsia"/>
          <w:spacing w:val="-7"/>
          <w:w w:val="95"/>
          <w:lang w:eastAsia="zh-CN"/>
        </w:rPr>
      </w:pPr>
      <w:r>
        <w:rPr>
          <w:spacing w:val="-7"/>
          <w:w w:val="95"/>
          <w:lang w:eastAsia="zh-CN"/>
        </w:rPr>
        <w:t>现将规划主要内容公布如下：</w:t>
      </w:r>
    </w:p>
    <w:p w14:paraId="02D3CB37">
      <w:pPr>
        <w:pStyle w:val="6"/>
        <w:spacing w:before="149"/>
        <w:ind w:left="737"/>
        <w:rPr>
          <w:rFonts w:hint="eastAsia" w:ascii="黑体" w:eastAsia="黑体"/>
          <w:lang w:eastAsia="zh-CN"/>
        </w:rPr>
      </w:pPr>
      <w:r>
        <w:rPr>
          <w:rFonts w:hint="eastAsia" w:ascii="黑体" w:eastAsia="黑体"/>
          <w:color w:val="333333"/>
          <w:w w:val="95"/>
          <w:lang w:eastAsia="zh-CN"/>
        </w:rPr>
        <w:t>一、规划范围</w:t>
      </w:r>
    </w:p>
    <w:p w14:paraId="1227B5C7">
      <w:pPr>
        <w:pStyle w:val="6"/>
        <w:spacing w:before="149" w:line="328" w:lineRule="auto"/>
        <w:ind w:left="106" w:right="431" w:firstLine="640"/>
        <w:jc w:val="both"/>
        <w:rPr>
          <w:rFonts w:hint="eastAsia"/>
          <w:spacing w:val="-7"/>
          <w:w w:val="95"/>
          <w:lang w:eastAsia="zh-CN"/>
        </w:rPr>
      </w:pPr>
      <w:r>
        <w:rPr>
          <w:spacing w:val="-7"/>
          <w:w w:val="95"/>
          <w:lang w:eastAsia="zh-CN"/>
        </w:rPr>
        <w:t>本规划分为镇域和镇政府驻地两个层次。镇域为</w:t>
      </w:r>
      <w:r>
        <w:rPr>
          <w:rFonts w:hint="eastAsia"/>
          <w:spacing w:val="-7"/>
          <w:w w:val="95"/>
          <w:lang w:eastAsia="zh-CN"/>
        </w:rPr>
        <w:t>上安</w:t>
      </w:r>
      <w:r>
        <w:rPr>
          <w:spacing w:val="-7"/>
          <w:w w:val="95"/>
          <w:lang w:eastAsia="zh-CN"/>
        </w:rPr>
        <w:t>镇行政辖区范围，面积</w:t>
      </w:r>
      <w:r>
        <w:rPr>
          <w:rFonts w:hint="eastAsia"/>
          <w:spacing w:val="-7"/>
          <w:w w:val="95"/>
          <w:lang w:eastAsia="zh-CN"/>
        </w:rPr>
        <w:t>57.66平方千米</w:t>
      </w:r>
      <w:r>
        <w:rPr>
          <w:spacing w:val="-7"/>
          <w:w w:val="95"/>
          <w:lang w:eastAsia="zh-CN"/>
        </w:rPr>
        <w:t>。镇政府驻地包括镇政府所在地</w:t>
      </w:r>
      <w:r>
        <w:rPr>
          <w:rFonts w:hint="eastAsia"/>
          <w:spacing w:val="-7"/>
          <w:w w:val="95"/>
          <w:lang w:eastAsia="zh-CN"/>
        </w:rPr>
        <w:t>，涉及上安东、上安西2个行政村，</w:t>
      </w:r>
      <w:r>
        <w:rPr>
          <w:spacing w:val="-7"/>
          <w:w w:val="95"/>
          <w:lang w:eastAsia="zh-CN"/>
        </w:rPr>
        <w:t>面积为</w:t>
      </w:r>
      <w:r>
        <w:rPr>
          <w:rFonts w:hint="eastAsia"/>
          <w:spacing w:val="-7"/>
          <w:w w:val="95"/>
          <w:lang w:eastAsia="zh-CN"/>
        </w:rPr>
        <w:t>100.66公顷</w:t>
      </w:r>
      <w:r>
        <w:rPr>
          <w:spacing w:val="-7"/>
          <w:w w:val="95"/>
          <w:lang w:eastAsia="zh-CN"/>
        </w:rPr>
        <w:t>。</w:t>
      </w:r>
    </w:p>
    <w:p w14:paraId="18756100">
      <w:pPr>
        <w:pStyle w:val="6"/>
        <w:spacing w:before="3"/>
        <w:ind w:left="737"/>
        <w:rPr>
          <w:rFonts w:hint="eastAsia" w:ascii="黑体" w:eastAsia="黑体"/>
          <w:lang w:eastAsia="zh-CN"/>
        </w:rPr>
      </w:pPr>
      <w:r>
        <w:rPr>
          <w:rFonts w:hint="eastAsia" w:ascii="黑体" w:eastAsia="黑体"/>
          <w:color w:val="333333"/>
          <w:w w:val="95"/>
          <w:lang w:eastAsia="zh-CN"/>
        </w:rPr>
        <w:t>二、规划期限</w:t>
      </w:r>
      <w:bookmarkStart w:id="0" w:name="_GoBack"/>
      <w:bookmarkEnd w:id="0"/>
    </w:p>
    <w:p w14:paraId="6A16EEFA">
      <w:pPr>
        <w:pStyle w:val="6"/>
        <w:spacing w:before="149" w:line="328" w:lineRule="auto"/>
        <w:ind w:left="106" w:right="431" w:firstLine="640"/>
        <w:jc w:val="both"/>
        <w:rPr>
          <w:rFonts w:hint="eastAsia"/>
          <w:spacing w:val="-7"/>
          <w:w w:val="95"/>
          <w:lang w:eastAsia="zh-CN"/>
        </w:rPr>
      </w:pPr>
      <w:r>
        <w:rPr>
          <w:spacing w:val="-7"/>
          <w:w w:val="95"/>
          <w:lang w:eastAsia="zh-CN"/>
        </w:rPr>
        <w:t>规划基期年为2020年，规划期限为2021-2035年，近期至2025年，远景展望至2050年。</w:t>
      </w:r>
    </w:p>
    <w:p w14:paraId="0CDACC95">
      <w:pPr>
        <w:pStyle w:val="6"/>
        <w:spacing w:before="150"/>
        <w:ind w:left="737"/>
        <w:rPr>
          <w:rFonts w:hint="eastAsia" w:ascii="黑体" w:eastAsia="黑体"/>
          <w:lang w:eastAsia="zh-CN"/>
        </w:rPr>
      </w:pPr>
      <w:r>
        <w:rPr>
          <w:rFonts w:hint="eastAsia" w:ascii="黑体" w:eastAsia="黑体"/>
          <w:color w:val="333333"/>
          <w:w w:val="95"/>
          <w:lang w:eastAsia="zh-CN"/>
        </w:rPr>
        <w:t>三、规划定位</w:t>
      </w:r>
    </w:p>
    <w:p w14:paraId="40E728DA">
      <w:pPr>
        <w:pStyle w:val="6"/>
        <w:spacing w:before="149" w:line="328" w:lineRule="auto"/>
        <w:ind w:left="106" w:right="431" w:firstLine="640"/>
        <w:jc w:val="both"/>
        <w:rPr>
          <w:rFonts w:hint="eastAsia"/>
          <w:spacing w:val="-7"/>
          <w:w w:val="95"/>
          <w:lang w:eastAsia="zh-CN"/>
        </w:rPr>
      </w:pPr>
      <w:r>
        <w:rPr>
          <w:rFonts w:hint="eastAsia"/>
          <w:spacing w:val="-7"/>
          <w:w w:val="95"/>
          <w:lang w:eastAsia="zh-CN"/>
        </w:rPr>
        <w:t>钙镁工业及能源循环利用制造为主导功能的工业城镇</w:t>
      </w:r>
      <w:r>
        <w:rPr>
          <w:spacing w:val="-7"/>
          <w:w w:val="95"/>
          <w:lang w:eastAsia="zh-CN"/>
        </w:rPr>
        <w:t>。</w:t>
      </w:r>
    </w:p>
    <w:p w14:paraId="7F16F9ED">
      <w:pPr>
        <w:pStyle w:val="6"/>
        <w:spacing w:line="407" w:lineRule="exact"/>
        <w:ind w:left="737"/>
        <w:rPr>
          <w:rFonts w:hint="eastAsia" w:ascii="黑体" w:eastAsia="黑体"/>
          <w:lang w:eastAsia="zh-CN"/>
        </w:rPr>
      </w:pPr>
      <w:r>
        <w:rPr>
          <w:rFonts w:hint="eastAsia" w:ascii="黑体" w:eastAsia="黑体"/>
          <w:color w:val="333333"/>
          <w:w w:val="95"/>
          <w:lang w:eastAsia="zh-CN"/>
        </w:rPr>
        <w:t>四、规划目标</w:t>
      </w:r>
    </w:p>
    <w:p w14:paraId="2F7EE4EC">
      <w:pPr>
        <w:pStyle w:val="6"/>
        <w:spacing w:before="149" w:line="328" w:lineRule="auto"/>
        <w:ind w:left="106" w:right="431" w:firstLine="640"/>
        <w:jc w:val="both"/>
        <w:rPr>
          <w:rFonts w:hint="eastAsia"/>
          <w:spacing w:val="-7"/>
          <w:w w:val="95"/>
          <w:lang w:eastAsia="zh-CN"/>
        </w:rPr>
      </w:pPr>
      <w:r>
        <w:rPr>
          <w:rFonts w:hint="eastAsia"/>
          <w:spacing w:val="-7"/>
          <w:w w:val="95"/>
          <w:lang w:eastAsia="zh-CN"/>
        </w:rPr>
        <w:t>到2025年，镇域国土空间开发保护格局明显改善，土地使用效率显著提升。生态环境得到有效改善和提升，全镇与周边县市功能互动进一步加强。以第二产业为支柱产业，鼓励发展一二三产融合产业。镇政府驻地建设取得较大的进展，服务水平得到显著提升，村庄建设农民收入有稳步提高。</w:t>
      </w:r>
    </w:p>
    <w:p w14:paraId="3220F3E6">
      <w:pPr>
        <w:pStyle w:val="6"/>
        <w:spacing w:before="149" w:line="328" w:lineRule="auto"/>
        <w:ind w:left="106" w:right="431" w:firstLine="640"/>
        <w:jc w:val="both"/>
        <w:rPr>
          <w:rFonts w:hint="eastAsia"/>
          <w:spacing w:val="-7"/>
          <w:w w:val="95"/>
          <w:lang w:eastAsia="zh-CN"/>
        </w:rPr>
      </w:pPr>
      <w:r>
        <w:rPr>
          <w:rFonts w:hint="eastAsia"/>
          <w:spacing w:val="-7"/>
          <w:w w:val="95"/>
          <w:lang w:eastAsia="zh-CN"/>
        </w:rPr>
        <w:t>到2035年，适应全域全要素用途管制要求的国土空间开发保护格局全面形成，合理控制建设规模。全镇生态环境得到显著提高，融入石家庄都市功能圈，支柱产业以第二产业为主，大力发展一二三产融合产业，旅游业得到一定规模发展。镇政府驻地功能趋于完善，综合服务水平进一步提高，村庄，城镇协调发展。</w:t>
      </w:r>
    </w:p>
    <w:p w14:paraId="353980F1">
      <w:pPr>
        <w:pStyle w:val="6"/>
        <w:spacing w:before="149" w:line="328" w:lineRule="auto"/>
        <w:ind w:left="106" w:right="431" w:firstLine="640"/>
        <w:jc w:val="both"/>
        <w:rPr>
          <w:rFonts w:hint="eastAsia"/>
          <w:spacing w:val="-7"/>
          <w:w w:val="95"/>
          <w:lang w:eastAsia="zh-CN"/>
        </w:rPr>
      </w:pPr>
      <w:r>
        <w:rPr>
          <w:rFonts w:hint="eastAsia"/>
          <w:spacing w:val="-7"/>
          <w:w w:val="95"/>
          <w:lang w:eastAsia="zh-CN"/>
        </w:rPr>
        <w:t>到2050年，全面建成富有活力、经济繁荣的高质量发展示范镇。</w:t>
      </w:r>
    </w:p>
    <w:p w14:paraId="7A1474D7">
      <w:pPr>
        <w:pStyle w:val="6"/>
        <w:ind w:left="747"/>
        <w:rPr>
          <w:rFonts w:hint="eastAsia" w:ascii="黑体" w:hAnsi="黑体" w:eastAsia="黑体"/>
          <w:lang w:eastAsia="zh-CN"/>
        </w:rPr>
      </w:pPr>
      <w:r>
        <w:rPr>
          <w:rFonts w:hint="eastAsia" w:ascii="黑体" w:hAnsi="黑体" w:eastAsia="黑体"/>
          <w:lang w:eastAsia="zh-CN"/>
        </w:rPr>
        <w:t>五、落实“三区三线”</w:t>
      </w:r>
    </w:p>
    <w:p w14:paraId="7DD34D65">
      <w:pPr>
        <w:pStyle w:val="6"/>
        <w:spacing w:before="149" w:line="328" w:lineRule="auto"/>
        <w:ind w:left="106" w:right="431" w:firstLine="640"/>
        <w:jc w:val="both"/>
        <w:rPr>
          <w:rFonts w:hint="eastAsia"/>
          <w:spacing w:val="-7"/>
          <w:w w:val="95"/>
          <w:lang w:eastAsia="zh-CN"/>
        </w:rPr>
      </w:pPr>
      <w:r>
        <w:rPr>
          <w:rFonts w:hint="eastAsia"/>
          <w:spacing w:val="-7"/>
          <w:w w:val="95"/>
          <w:lang w:eastAsia="zh-CN"/>
        </w:rPr>
        <w:t>筑牢国土空间底线，北苏镇耕地保有量不低于12.53平方千米（1.88万亩），其中永久基本农田保护面积不低于11.80平方千米（1.77万亩），城镇开发边界规模为3.22平方千米。</w:t>
      </w:r>
    </w:p>
    <w:p w14:paraId="2E4D0E1C">
      <w:pPr>
        <w:pStyle w:val="6"/>
        <w:ind w:left="737"/>
        <w:rPr>
          <w:rFonts w:hint="eastAsia" w:ascii="黑体" w:eastAsia="黑体"/>
          <w:lang w:eastAsia="zh-CN"/>
        </w:rPr>
      </w:pPr>
      <w:r>
        <w:rPr>
          <w:rFonts w:hint="eastAsia" w:ascii="黑体" w:eastAsia="黑体"/>
          <w:lang w:eastAsia="zh-CN"/>
        </w:rPr>
        <w:t>六、落实主体功能区布局</w:t>
      </w:r>
    </w:p>
    <w:p w14:paraId="5D2309BC">
      <w:pPr>
        <w:pStyle w:val="6"/>
        <w:spacing w:before="149" w:line="328" w:lineRule="auto"/>
        <w:ind w:left="106" w:right="431" w:firstLine="640"/>
        <w:jc w:val="both"/>
        <w:rPr>
          <w:rFonts w:hint="eastAsia"/>
          <w:spacing w:val="-7"/>
          <w:w w:val="95"/>
          <w:lang w:eastAsia="zh-CN"/>
        </w:rPr>
      </w:pPr>
      <w:r>
        <w:rPr>
          <w:rFonts w:hint="eastAsia"/>
          <w:spacing w:val="-7"/>
          <w:w w:val="95"/>
          <w:lang w:eastAsia="zh-CN"/>
        </w:rPr>
        <w:t>落实县级总规对上安镇的主体功能定位，将上安镇确定为重点生态功能区。</w:t>
      </w:r>
    </w:p>
    <w:p w14:paraId="243948AA">
      <w:pPr>
        <w:pStyle w:val="6"/>
        <w:spacing w:before="54"/>
        <w:ind w:left="747"/>
        <w:rPr>
          <w:rFonts w:hint="eastAsia" w:ascii="黑体" w:eastAsia="黑体"/>
          <w:lang w:eastAsia="zh-CN"/>
        </w:rPr>
      </w:pPr>
      <w:r>
        <w:rPr>
          <w:rFonts w:hint="eastAsia" w:ascii="黑体" w:eastAsia="黑体"/>
          <w:lang w:eastAsia="zh-CN"/>
        </w:rPr>
        <w:t>七、国土空间开发保护总体格局</w:t>
      </w:r>
    </w:p>
    <w:p w14:paraId="44A573A8">
      <w:pPr>
        <w:pStyle w:val="6"/>
        <w:spacing w:before="149" w:line="328" w:lineRule="auto"/>
        <w:ind w:left="106" w:right="431" w:firstLine="640"/>
        <w:jc w:val="both"/>
        <w:rPr>
          <w:rFonts w:hint="eastAsia"/>
          <w:spacing w:val="-7"/>
          <w:w w:val="95"/>
          <w:lang w:eastAsia="zh-CN"/>
        </w:rPr>
      </w:pPr>
      <w:r>
        <w:rPr>
          <w:rFonts w:hint="eastAsia"/>
          <w:spacing w:val="-7"/>
          <w:w w:val="95"/>
          <w:lang w:eastAsia="zh-CN"/>
        </w:rPr>
        <w:t>规划构建“一核一园、一带两区”的国土空间总体格局。</w:t>
      </w:r>
    </w:p>
    <w:p w14:paraId="1A52BBF7">
      <w:pPr>
        <w:pStyle w:val="6"/>
        <w:spacing w:before="149" w:line="328" w:lineRule="auto"/>
        <w:ind w:left="106" w:right="431" w:firstLine="640"/>
        <w:jc w:val="both"/>
        <w:rPr>
          <w:rFonts w:hint="eastAsia"/>
          <w:spacing w:val="-7"/>
          <w:w w:val="95"/>
          <w:lang w:eastAsia="zh-CN"/>
        </w:rPr>
      </w:pPr>
      <w:r>
        <w:rPr>
          <w:rFonts w:hint="eastAsia"/>
          <w:spacing w:val="-7"/>
          <w:w w:val="95"/>
          <w:lang w:eastAsia="zh-CN"/>
        </w:rPr>
        <w:t>一核：上安镇政府驻地，为全镇综合服务中心，提升公共服务和服务功能；</w:t>
      </w:r>
    </w:p>
    <w:p w14:paraId="7301B497">
      <w:pPr>
        <w:pStyle w:val="6"/>
        <w:spacing w:before="149" w:line="328" w:lineRule="auto"/>
        <w:ind w:left="106" w:right="431" w:firstLine="640"/>
        <w:jc w:val="both"/>
        <w:rPr>
          <w:rFonts w:hint="eastAsia"/>
          <w:spacing w:val="-7"/>
          <w:w w:val="95"/>
          <w:lang w:eastAsia="zh-CN"/>
        </w:rPr>
      </w:pPr>
      <w:r>
        <w:rPr>
          <w:rFonts w:hint="eastAsia"/>
          <w:spacing w:val="-7"/>
          <w:w w:val="95"/>
          <w:lang w:eastAsia="zh-CN"/>
        </w:rPr>
        <w:t>一园：河北井陉经济技术开发区（东区），以上安电厂为基础，发展相关上下游产业链，积极消纳上安电厂脱硫石膏、粉煤灰资源和使用上安电厂优质蒸汽资源，引进优质高新技术企业，挖掘互利互补优势，助推传统产业的迭代升级。</w:t>
      </w:r>
    </w:p>
    <w:p w14:paraId="2379F819">
      <w:pPr>
        <w:pStyle w:val="6"/>
        <w:spacing w:before="149" w:line="328" w:lineRule="auto"/>
        <w:ind w:left="106" w:right="431" w:firstLine="640"/>
        <w:jc w:val="both"/>
        <w:rPr>
          <w:rFonts w:hint="eastAsia"/>
          <w:spacing w:val="-7"/>
          <w:w w:val="95"/>
          <w:lang w:eastAsia="zh-CN"/>
        </w:rPr>
      </w:pPr>
      <w:r>
        <w:rPr>
          <w:rFonts w:hint="eastAsia"/>
          <w:spacing w:val="-7"/>
          <w:w w:val="95"/>
          <w:lang w:eastAsia="zh-CN"/>
        </w:rPr>
        <w:t>一轴：沿石太铁路和307国道交通轴，发展工业及能源制造业产业集中带；</w:t>
      </w:r>
    </w:p>
    <w:p w14:paraId="192F98A6">
      <w:pPr>
        <w:pStyle w:val="6"/>
        <w:spacing w:before="149" w:line="328" w:lineRule="auto"/>
        <w:ind w:left="106" w:right="431" w:firstLine="640"/>
        <w:jc w:val="both"/>
        <w:rPr>
          <w:rFonts w:hint="eastAsia"/>
          <w:spacing w:val="-7"/>
          <w:w w:val="95"/>
          <w:lang w:eastAsia="zh-CN"/>
        </w:rPr>
      </w:pPr>
      <w:r>
        <w:rPr>
          <w:rFonts w:hint="eastAsia"/>
          <w:spacing w:val="-7"/>
          <w:w w:val="95"/>
          <w:lang w:eastAsia="zh-CN"/>
        </w:rPr>
        <w:t>两区：根据产业布局现状与村庄发展基础条件，镇域北部与东部发展能源产业，主要涉及上安西、上安东、虎头山、三合庄、下安、头泉、岳家庄等村庄，镇域西部南部发展农业与旅游业，主要涉及白王庄、武家庄、西方岭、南方岭北方岭、东方岭等村庄。</w:t>
      </w:r>
    </w:p>
    <w:p w14:paraId="51FFC94F">
      <w:pPr>
        <w:pStyle w:val="6"/>
        <w:spacing w:line="407" w:lineRule="exact"/>
        <w:ind w:left="747"/>
        <w:rPr>
          <w:rFonts w:hint="eastAsia" w:ascii="黑体" w:eastAsia="黑体"/>
          <w:lang w:eastAsia="zh-CN"/>
        </w:rPr>
      </w:pPr>
      <w:r>
        <w:rPr>
          <w:rFonts w:hint="eastAsia" w:ascii="黑体" w:eastAsia="黑体"/>
          <w:lang w:eastAsia="zh-CN"/>
        </w:rPr>
        <w:t>八、国土空间规划分区和功能结构</w:t>
      </w:r>
    </w:p>
    <w:p w14:paraId="5CDAAD98">
      <w:pPr>
        <w:pStyle w:val="6"/>
        <w:spacing w:before="149" w:line="328" w:lineRule="auto"/>
        <w:ind w:left="106" w:right="431" w:firstLine="640"/>
        <w:jc w:val="both"/>
        <w:rPr>
          <w:rFonts w:hint="eastAsia"/>
          <w:spacing w:val="-7"/>
          <w:w w:val="95"/>
          <w:lang w:eastAsia="zh-CN"/>
        </w:rPr>
      </w:pPr>
      <w:r>
        <w:rPr>
          <w:rFonts w:hint="eastAsia"/>
          <w:spacing w:val="-7"/>
          <w:w w:val="95"/>
          <w:lang w:eastAsia="zh-CN"/>
        </w:rPr>
        <w:t>落实和深化主体功能区战略，充分衔接三条控制线，将镇域划分为生态保护区、生态控制区、农田保护区、城镇发展区、乡村发展区、矿产能源发展区六类一级规划分区。严格落实县级规划确定的各类约束性指标，以资源利用为主导方式，遵循城乡统筹、地上地下空间统筹的基本原则，统筹安排各类用地。</w:t>
      </w:r>
    </w:p>
    <w:p w14:paraId="4C428E83">
      <w:pPr>
        <w:pStyle w:val="6"/>
        <w:spacing w:before="148"/>
        <w:ind w:left="737"/>
        <w:rPr>
          <w:rFonts w:hint="eastAsia" w:ascii="黑体" w:eastAsia="黑体"/>
          <w:lang w:eastAsia="zh-CN"/>
        </w:rPr>
      </w:pPr>
      <w:r>
        <w:rPr>
          <w:rFonts w:hint="eastAsia" w:ascii="黑体" w:eastAsia="黑体"/>
          <w:w w:val="95"/>
          <w:lang w:eastAsia="zh-CN"/>
        </w:rPr>
        <w:t>九、优化城乡布局</w:t>
      </w:r>
    </w:p>
    <w:p w14:paraId="30621FD1">
      <w:pPr>
        <w:pStyle w:val="6"/>
        <w:spacing w:before="149" w:line="328" w:lineRule="auto"/>
        <w:ind w:left="106" w:right="431" w:firstLine="640"/>
        <w:jc w:val="both"/>
        <w:rPr>
          <w:rFonts w:hint="eastAsia"/>
          <w:spacing w:val="-7"/>
          <w:w w:val="95"/>
          <w:lang w:eastAsia="zh-CN"/>
        </w:rPr>
      </w:pPr>
      <w:r>
        <w:rPr>
          <w:rFonts w:hint="eastAsia"/>
          <w:spacing w:val="-7"/>
          <w:w w:val="95"/>
          <w:lang w:eastAsia="zh-CN"/>
        </w:rPr>
        <w:t>按照“做特小镇、做美乡村”的总体思路，提升镇政府驻地综合服务能力，促进美丽乡村建设，构建“镇政府驻地-中心村-基层村”三级居民点体系，包括1个镇政府驻地、2个中心村、9个基层村。</w:t>
      </w:r>
    </w:p>
    <w:p w14:paraId="3F6B61CD">
      <w:pPr>
        <w:pStyle w:val="6"/>
        <w:spacing w:before="149" w:line="328" w:lineRule="auto"/>
        <w:ind w:left="106" w:right="431" w:firstLine="640"/>
        <w:jc w:val="both"/>
        <w:rPr>
          <w:rFonts w:hint="eastAsia"/>
          <w:spacing w:val="-7"/>
          <w:w w:val="95"/>
          <w:lang w:eastAsia="zh-CN"/>
        </w:rPr>
      </w:pPr>
      <w:r>
        <w:rPr>
          <w:rFonts w:hint="eastAsia"/>
          <w:spacing w:val="-7"/>
          <w:w w:val="95"/>
          <w:lang w:eastAsia="zh-CN"/>
        </w:rPr>
        <w:t>强化镇驻地综合服务功能。镇政府驻地是全镇综合服务中心，重点应补齐镇级公共服务设施短板，提升人居环境和风貌品质，增强基础设施综合承载能力，提高镇政府驻地作为全镇的核心载体作用。</w:t>
      </w:r>
    </w:p>
    <w:p w14:paraId="1593DD40">
      <w:pPr>
        <w:pStyle w:val="6"/>
        <w:spacing w:before="149" w:line="328" w:lineRule="auto"/>
        <w:ind w:left="106" w:right="431" w:firstLine="640"/>
        <w:jc w:val="both"/>
        <w:rPr>
          <w:rFonts w:hint="eastAsia"/>
          <w:spacing w:val="-7"/>
          <w:w w:val="95"/>
          <w:lang w:eastAsia="zh-CN"/>
        </w:rPr>
      </w:pPr>
      <w:r>
        <w:rPr>
          <w:rFonts w:hint="eastAsia"/>
          <w:spacing w:val="-7"/>
          <w:w w:val="95"/>
          <w:lang w:eastAsia="zh-CN"/>
        </w:rPr>
        <w:t>提升中心村周边联动能力。提升中心村对周边村庄的辐射带动能力。规划村级公共服务设施优先向中心村配置，预留服务设施用地。重点补齐教育、医疗、文化、体育等基本服务短板，适当提升设施配置标准，培育村庄特色产业，加强对周边乡村服务带动能力。</w:t>
      </w:r>
    </w:p>
    <w:p w14:paraId="649BA9AE">
      <w:pPr>
        <w:pStyle w:val="6"/>
        <w:spacing w:before="149" w:line="328" w:lineRule="auto"/>
        <w:ind w:left="106" w:right="431" w:firstLine="640"/>
        <w:jc w:val="both"/>
        <w:rPr>
          <w:rFonts w:hint="eastAsia"/>
          <w:spacing w:val="-7"/>
          <w:w w:val="95"/>
          <w:lang w:eastAsia="zh-CN"/>
        </w:rPr>
      </w:pPr>
      <w:r>
        <w:rPr>
          <w:rFonts w:hint="eastAsia"/>
          <w:spacing w:val="-7"/>
          <w:w w:val="95"/>
          <w:lang w:eastAsia="zh-CN"/>
        </w:rPr>
        <w:t>完善基层村基本服务水平。基层村作为基层的农业生产组织单元和社区治理单元，应重点完善提升村庄环卫、交通等基础设施和教育、医疗卫生等公共服务设施，加强与中心村、镇政府驻地等的联通，因地制宜推进村庄特色发展。</w:t>
      </w:r>
    </w:p>
    <w:p w14:paraId="42C9525A">
      <w:pPr>
        <w:pStyle w:val="6"/>
        <w:spacing w:line="402" w:lineRule="exact"/>
        <w:ind w:left="737"/>
        <w:rPr>
          <w:rFonts w:hint="eastAsia" w:ascii="黑体" w:eastAsia="黑体"/>
          <w:lang w:eastAsia="zh-CN"/>
        </w:rPr>
      </w:pPr>
      <w:r>
        <w:rPr>
          <w:rFonts w:hint="eastAsia" w:ascii="黑体" w:eastAsia="黑体"/>
          <w:w w:val="95"/>
          <w:lang w:eastAsia="zh-CN"/>
        </w:rPr>
        <w:t>十、镇政府驻地</w:t>
      </w:r>
    </w:p>
    <w:p w14:paraId="40690DE1">
      <w:pPr>
        <w:pStyle w:val="6"/>
        <w:spacing w:before="149" w:line="328" w:lineRule="auto"/>
        <w:ind w:left="106" w:right="431" w:firstLine="640"/>
        <w:jc w:val="both"/>
        <w:rPr>
          <w:rFonts w:hint="eastAsia"/>
          <w:spacing w:val="-7"/>
          <w:w w:val="95"/>
          <w:lang w:eastAsia="zh-CN"/>
        </w:rPr>
      </w:pPr>
      <w:r>
        <w:rPr>
          <w:rFonts w:hint="eastAsia"/>
          <w:spacing w:val="-7"/>
          <w:w w:val="95"/>
          <w:lang w:eastAsia="zh-CN"/>
        </w:rPr>
        <w:t>镇区整体用地结构规划为：“一心、两轴、四片区”。</w:t>
      </w:r>
    </w:p>
    <w:p w14:paraId="194639A5">
      <w:pPr>
        <w:pStyle w:val="6"/>
        <w:spacing w:before="149" w:line="328" w:lineRule="auto"/>
        <w:ind w:left="106" w:right="431" w:firstLine="640"/>
        <w:jc w:val="both"/>
        <w:rPr>
          <w:rFonts w:hint="eastAsia"/>
          <w:spacing w:val="-7"/>
          <w:w w:val="95"/>
          <w:lang w:eastAsia="zh-CN"/>
        </w:rPr>
      </w:pPr>
      <w:r>
        <w:rPr>
          <w:rFonts w:hint="eastAsia"/>
          <w:spacing w:val="-7"/>
          <w:w w:val="95"/>
          <w:lang w:eastAsia="zh-CN"/>
        </w:rPr>
        <w:t>“一心”指在镇政府驻地西南依托现状建设公共服务中心，包括行政管理、小学、文化活动、酒店商务等，形成为全镇居民生活服务的公共设施服务中心。</w:t>
      </w:r>
    </w:p>
    <w:p w14:paraId="361E3EAB">
      <w:pPr>
        <w:pStyle w:val="6"/>
        <w:spacing w:before="149" w:line="328" w:lineRule="auto"/>
        <w:ind w:left="106" w:right="431" w:firstLine="640"/>
        <w:jc w:val="both"/>
        <w:rPr>
          <w:rFonts w:hint="eastAsia"/>
          <w:spacing w:val="-7"/>
          <w:w w:val="95"/>
          <w:lang w:eastAsia="zh-CN"/>
        </w:rPr>
      </w:pPr>
      <w:r>
        <w:rPr>
          <w:rFonts w:hint="eastAsia"/>
          <w:spacing w:val="-7"/>
          <w:w w:val="95"/>
          <w:lang w:eastAsia="zh-CN"/>
        </w:rPr>
        <w:t>“两轴”指的是对307国道和光明路两侧商业店面和服务设施进行整治，拓宽光明路和307国道，两侧设置绿化带，建设带状商业和公共建筑，布置景观小品，形成贯穿镇政府驻地、改善镇政府驻地景观形象的城镇景观带。</w:t>
      </w:r>
    </w:p>
    <w:p w14:paraId="4156E3CA">
      <w:pPr>
        <w:pStyle w:val="6"/>
        <w:spacing w:before="149" w:line="328" w:lineRule="auto"/>
        <w:ind w:left="106" w:right="431" w:firstLine="640"/>
        <w:jc w:val="both"/>
        <w:rPr>
          <w:rFonts w:hint="eastAsia"/>
          <w:spacing w:val="-7"/>
          <w:w w:val="95"/>
          <w:lang w:eastAsia="zh-CN"/>
        </w:rPr>
      </w:pPr>
      <w:r>
        <w:rPr>
          <w:rFonts w:hint="eastAsia"/>
          <w:spacing w:val="-7"/>
          <w:w w:val="95"/>
          <w:lang w:eastAsia="zh-CN"/>
        </w:rPr>
        <w:t>“四片区”指的是镇政府驻地整体建设分为东部和西部的保留建设区、中南部的整治改造区和中北部的开发新建区。</w:t>
      </w:r>
    </w:p>
    <w:p w14:paraId="3D6D82AB">
      <w:pPr>
        <w:pStyle w:val="6"/>
        <w:ind w:left="737"/>
        <w:rPr>
          <w:rFonts w:hint="eastAsia" w:ascii="黑体" w:eastAsia="黑体"/>
          <w:lang w:eastAsia="zh-CN"/>
        </w:rPr>
      </w:pPr>
      <w:r>
        <w:rPr>
          <w:rFonts w:hint="eastAsia" w:ascii="黑体" w:eastAsia="黑体"/>
          <w:lang w:eastAsia="zh-CN"/>
        </w:rPr>
        <w:t>十一、历史文化保护和风貌塑造</w:t>
      </w:r>
    </w:p>
    <w:p w14:paraId="2D3A9C22">
      <w:pPr>
        <w:pStyle w:val="6"/>
        <w:spacing w:before="149" w:line="328" w:lineRule="auto"/>
        <w:ind w:left="106" w:right="431" w:firstLine="640"/>
        <w:jc w:val="both"/>
        <w:rPr>
          <w:rFonts w:hint="eastAsia"/>
          <w:spacing w:val="-7"/>
          <w:w w:val="95"/>
          <w:lang w:eastAsia="zh-CN"/>
        </w:rPr>
      </w:pPr>
      <w:r>
        <w:rPr>
          <w:rFonts w:hint="eastAsia"/>
          <w:spacing w:val="-7"/>
          <w:w w:val="95"/>
          <w:lang w:eastAsia="zh-CN"/>
        </w:rPr>
        <w:t>统筹推动历史文化资源保护，恢复有价值的历史信息，严格保护辖区1处国家级重点文物保护单位。落实上级规划确定的历史文化保护线，将秦皇古驿道保护范围和建设控制地带划入历史文化保护线。</w:t>
      </w:r>
    </w:p>
    <w:p w14:paraId="3C849F2A">
      <w:pPr>
        <w:pStyle w:val="6"/>
        <w:spacing w:before="149" w:line="328" w:lineRule="auto"/>
        <w:ind w:left="106" w:right="431" w:firstLine="640"/>
        <w:jc w:val="both"/>
        <w:rPr>
          <w:rFonts w:hint="eastAsia"/>
          <w:spacing w:val="-7"/>
          <w:w w:val="95"/>
          <w:lang w:eastAsia="zh-CN"/>
        </w:rPr>
      </w:pPr>
      <w:r>
        <w:rPr>
          <w:rFonts w:hint="eastAsia"/>
          <w:spacing w:val="-7"/>
          <w:w w:val="95"/>
          <w:lang w:eastAsia="zh-CN"/>
        </w:rPr>
        <w:t>发挥生态环境资源优势，以林田资源为本底，以主要交通干线为骨架，串联镇区、开发区和村庄，整体形成“现代城镇、良田筑底”的景观风貌。</w:t>
      </w:r>
    </w:p>
    <w:p w14:paraId="46DAEDCB">
      <w:pPr>
        <w:pStyle w:val="6"/>
        <w:spacing w:before="7"/>
        <w:ind w:left="737"/>
        <w:rPr>
          <w:rFonts w:hint="eastAsia" w:ascii="黑体" w:eastAsia="黑体"/>
          <w:lang w:eastAsia="zh-CN"/>
        </w:rPr>
      </w:pPr>
      <w:r>
        <w:rPr>
          <w:rFonts w:hint="eastAsia" w:ascii="黑体" w:eastAsia="黑体"/>
          <w:lang w:eastAsia="zh-CN"/>
        </w:rPr>
        <w:t>十二、基础设施和综合防灾</w:t>
      </w:r>
    </w:p>
    <w:p w14:paraId="57E14EED">
      <w:pPr>
        <w:pStyle w:val="6"/>
        <w:spacing w:before="149" w:line="328" w:lineRule="auto"/>
        <w:ind w:left="106" w:right="431" w:firstLine="640"/>
        <w:jc w:val="both"/>
        <w:rPr>
          <w:rFonts w:hint="eastAsia"/>
          <w:spacing w:val="-7"/>
          <w:w w:val="95"/>
          <w:lang w:eastAsia="zh-CN"/>
        </w:rPr>
      </w:pPr>
      <w:r>
        <w:rPr>
          <w:rFonts w:hint="eastAsia"/>
          <w:spacing w:val="-7"/>
          <w:w w:val="95"/>
          <w:lang w:eastAsia="zh-CN"/>
        </w:rPr>
        <w:t>提高综合交通的可达性。落实《井陉县国土空间总体规划（2020-2035年）》确定的国道、省道等交通干线，加强各类对外交通设施与县规划路网、镇域道路系统的衔接协调，强化镇政府驻地与村庄、村庄间的道路联通，配置相应的公交站场等交通设施。</w:t>
      </w:r>
    </w:p>
    <w:p w14:paraId="799DAD31">
      <w:pPr>
        <w:pStyle w:val="6"/>
        <w:spacing w:before="149" w:line="328" w:lineRule="auto"/>
        <w:ind w:left="106" w:right="431" w:firstLine="640"/>
        <w:jc w:val="both"/>
        <w:rPr>
          <w:rFonts w:hint="eastAsia"/>
          <w:spacing w:val="-7"/>
          <w:w w:val="95"/>
          <w:lang w:eastAsia="zh-CN"/>
        </w:rPr>
      </w:pPr>
      <w:r>
        <w:rPr>
          <w:rFonts w:hint="eastAsia"/>
          <w:spacing w:val="-7"/>
          <w:w w:val="95"/>
          <w:lang w:eastAsia="zh-CN"/>
        </w:rPr>
        <w:t>健全城乡给排水体系，优化供水格局，完善给排水管网，提高水资源利用效率，全面建设节水型社会。</w:t>
      </w:r>
    </w:p>
    <w:p w14:paraId="310A1B80">
      <w:pPr>
        <w:pStyle w:val="6"/>
        <w:spacing w:before="149" w:line="328" w:lineRule="auto"/>
        <w:ind w:left="106" w:right="431" w:firstLine="640"/>
        <w:jc w:val="both"/>
        <w:rPr>
          <w:rFonts w:hint="eastAsia"/>
          <w:spacing w:val="-7"/>
          <w:w w:val="95"/>
          <w:lang w:eastAsia="zh-CN"/>
        </w:rPr>
      </w:pPr>
      <w:r>
        <w:rPr>
          <w:rFonts w:hint="eastAsia"/>
          <w:spacing w:val="-7"/>
          <w:w w:val="95"/>
          <w:lang w:eastAsia="zh-CN"/>
        </w:rPr>
        <w:t>优化调整能源结构，加强能源基础设施建设，着力提升法治化、信息化、智能化管理水平，建设清洁低碳、安全高效、开放融合的现代能源体系。</w:t>
      </w:r>
    </w:p>
    <w:p w14:paraId="6BCDCA26">
      <w:pPr>
        <w:pStyle w:val="6"/>
        <w:spacing w:before="149" w:line="328" w:lineRule="auto"/>
        <w:ind w:left="106" w:right="431" w:firstLine="640"/>
        <w:jc w:val="both"/>
        <w:rPr>
          <w:rFonts w:hint="eastAsia"/>
          <w:spacing w:val="-7"/>
          <w:w w:val="95"/>
          <w:lang w:eastAsia="zh-CN"/>
        </w:rPr>
      </w:pPr>
      <w:r>
        <w:rPr>
          <w:rFonts w:hint="eastAsia"/>
          <w:spacing w:val="-7"/>
          <w:w w:val="95"/>
          <w:lang w:eastAsia="zh-CN"/>
        </w:rPr>
        <w:t>坚持以防为主、防抗救相结合，加强全镇各类灾害风险监测预警能力建设，提高城乡基础设施韧性，建设和完善各类防灾减灾基础设施与应急服务设施，建立健全面向多种灾害风险的综合防灾体系。</w:t>
      </w:r>
    </w:p>
    <w:p w14:paraId="50D10D0A">
      <w:pPr>
        <w:pStyle w:val="6"/>
        <w:spacing w:before="150"/>
        <w:ind w:left="737"/>
        <w:rPr>
          <w:rFonts w:hint="eastAsia" w:ascii="黑体" w:eastAsia="黑体"/>
          <w:lang w:eastAsia="zh-CN"/>
        </w:rPr>
      </w:pPr>
      <w:r>
        <w:rPr>
          <w:rFonts w:hint="eastAsia" w:ascii="黑体" w:eastAsia="黑体"/>
          <w:lang w:eastAsia="zh-CN"/>
        </w:rPr>
        <w:t>十三、规划传导和实施保障</w:t>
      </w:r>
    </w:p>
    <w:p w14:paraId="7EEE0E92">
      <w:pPr>
        <w:pStyle w:val="6"/>
        <w:spacing w:before="149" w:line="328" w:lineRule="auto"/>
        <w:ind w:left="106" w:right="431" w:firstLine="640"/>
        <w:jc w:val="both"/>
        <w:rPr>
          <w:rFonts w:hint="eastAsia"/>
          <w:spacing w:val="-7"/>
          <w:w w:val="95"/>
          <w:lang w:eastAsia="zh-CN"/>
        </w:rPr>
      </w:pPr>
      <w:r>
        <w:rPr>
          <w:rFonts w:hint="eastAsia"/>
          <w:spacing w:val="-7"/>
          <w:w w:val="95"/>
          <w:lang w:eastAsia="zh-CN"/>
        </w:rPr>
        <w:t>对上位规划的落实。落实县级规划确定对上安镇的职能定位、主体功能区、耕地保护目标、永久基本农田保护面积等约束性指标，以及国土空间格局、空间用途管制和重大基础设施等内容。明确镇域城镇开发边界内详细规划编制单元。</w:t>
      </w:r>
    </w:p>
    <w:p w14:paraId="0DB2045B">
      <w:pPr>
        <w:pStyle w:val="6"/>
        <w:spacing w:before="149" w:line="328" w:lineRule="auto"/>
        <w:ind w:left="106" w:right="431" w:firstLine="640"/>
        <w:jc w:val="both"/>
        <w:rPr>
          <w:rFonts w:hint="eastAsia"/>
          <w:spacing w:val="-7"/>
          <w:w w:val="95"/>
          <w:lang w:eastAsia="zh-CN"/>
        </w:rPr>
      </w:pPr>
      <w:r>
        <w:rPr>
          <w:rFonts w:hint="eastAsia"/>
          <w:spacing w:val="-7"/>
          <w:w w:val="95"/>
          <w:lang w:eastAsia="zh-CN"/>
        </w:rPr>
        <w:t>对详细规划的传导。确定村庄规划编制单元，镇域内除纳入城镇单元的部分以外，其余纳入“通则式”村庄规划管理。对村庄规划提出等级类型、发展方向等引导，划定村庄建设用地边界；将耕地和永久基本农田等底线管控的指标规模和空间布局传导至村庄。</w:t>
      </w:r>
    </w:p>
    <w:p w14:paraId="015DE0B8">
      <w:pPr>
        <w:pStyle w:val="6"/>
        <w:spacing w:before="149" w:line="328" w:lineRule="auto"/>
        <w:ind w:left="106" w:right="431" w:firstLine="640"/>
        <w:jc w:val="both"/>
        <w:rPr>
          <w:rFonts w:hint="eastAsia"/>
          <w:spacing w:val="-7"/>
          <w:w w:val="95"/>
          <w:lang w:eastAsia="zh-CN"/>
        </w:rPr>
      </w:pPr>
      <w:r>
        <w:rPr>
          <w:rFonts w:hint="eastAsia"/>
          <w:spacing w:val="-7"/>
          <w:w w:val="95"/>
          <w:lang w:eastAsia="zh-CN"/>
        </w:rPr>
        <w:t>统一国土空间用途管制。严格依据国土空间规划，实施国土空间用途管制。建立全域覆盖、协调统一的用途管制规则，依据国土空间规划确定的分区和用途，统筹全域、全类型、多层次自然资源要素，制定不同功能空间、不同用途的转换规则，明确转换方向、条件和管理要求，加强城镇乡村空间的统一用途管制。</w:t>
      </w:r>
    </w:p>
    <w:p w14:paraId="0982952A">
      <w:pPr>
        <w:spacing w:line="328" w:lineRule="auto"/>
        <w:jc w:val="both"/>
        <w:rPr>
          <w:rFonts w:hint="eastAsia"/>
          <w:lang w:eastAsia="zh-CN"/>
        </w:rPr>
        <w:sectPr>
          <w:pgSz w:w="11910" w:h="16840"/>
          <w:pgMar w:top="1157" w:right="1080" w:bottom="1157" w:left="1080" w:header="720" w:footer="720" w:gutter="0"/>
          <w:cols w:space="720" w:num="1"/>
        </w:sectPr>
      </w:pPr>
    </w:p>
    <w:p w14:paraId="71A12713">
      <w:pPr>
        <w:pStyle w:val="2"/>
        <w:spacing w:before="120"/>
        <w:ind w:left="0" w:leftChars="0" w:firstLine="0" w:firstLineChars="0"/>
        <w:rPr>
          <w:lang w:eastAsia="zh-CN"/>
        </w:rPr>
        <w:sectPr>
          <w:pgSz w:w="11910" w:h="16840"/>
          <w:pgMar w:top="1157" w:right="1080" w:bottom="1157" w:left="1080" w:header="720" w:footer="720" w:gutter="0"/>
          <w:cols w:space="720" w:num="1"/>
        </w:sectPr>
      </w:pPr>
      <w:r>
        <w:rPr>
          <w:rFonts w:hint="eastAsia"/>
          <w:lang w:eastAsia="zh-CN"/>
        </w:rPr>
        <w:drawing>
          <wp:inline distT="0" distB="0" distL="114300" distR="114300">
            <wp:extent cx="5950585" cy="4210685"/>
            <wp:effectExtent l="0" t="0" r="12065" b="18415"/>
            <wp:docPr id="2" name="图片 2" descr="130121101上安镇03国土空间控制线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30121101上安镇03国土空间控制线规划图"/>
                    <pic:cNvPicPr>
                      <a:picLocks noChangeAspect="1"/>
                    </pic:cNvPicPr>
                  </pic:nvPicPr>
                  <pic:blipFill>
                    <a:blip r:embed="rId6"/>
                    <a:stretch>
                      <a:fillRect/>
                    </a:stretch>
                  </pic:blipFill>
                  <pic:spPr>
                    <a:xfrm>
                      <a:off x="0" y="0"/>
                      <a:ext cx="5950585" cy="4210685"/>
                    </a:xfrm>
                    <a:prstGeom prst="rect">
                      <a:avLst/>
                    </a:prstGeom>
                  </pic:spPr>
                </pic:pic>
              </a:graphicData>
            </a:graphic>
          </wp:inline>
        </w:drawing>
      </w:r>
      <w:r>
        <w:rPr>
          <w:rFonts w:hint="eastAsia"/>
          <w:lang w:eastAsia="zh-CN"/>
        </w:rPr>
        <w:drawing>
          <wp:inline distT="0" distB="0" distL="114300" distR="114300">
            <wp:extent cx="5950585" cy="4210685"/>
            <wp:effectExtent l="0" t="0" r="12065" b="18415"/>
            <wp:docPr id="3" name="图片 3" descr="130121101上安镇02国土空间总体格局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30121101上安镇02国土空间总体格局规划图"/>
                    <pic:cNvPicPr>
                      <a:picLocks noChangeAspect="1"/>
                    </pic:cNvPicPr>
                  </pic:nvPicPr>
                  <pic:blipFill>
                    <a:blip r:embed="rId7"/>
                    <a:stretch>
                      <a:fillRect/>
                    </a:stretch>
                  </pic:blipFill>
                  <pic:spPr>
                    <a:xfrm>
                      <a:off x="0" y="0"/>
                      <a:ext cx="5950585" cy="4210685"/>
                    </a:xfrm>
                    <a:prstGeom prst="rect">
                      <a:avLst/>
                    </a:prstGeom>
                  </pic:spPr>
                </pic:pic>
              </a:graphicData>
            </a:graphic>
          </wp:inline>
        </w:drawing>
      </w:r>
    </w:p>
    <w:p w14:paraId="4E64FFCC">
      <w:pPr>
        <w:pStyle w:val="2"/>
        <w:spacing w:before="120"/>
        <w:ind w:left="0" w:leftChars="0" w:firstLine="0" w:firstLineChars="0"/>
        <w:rPr>
          <w:sz w:val="15"/>
        </w:rPr>
      </w:pPr>
      <w:r>
        <w:rPr>
          <w:rFonts w:hint="eastAsia"/>
          <w:lang w:eastAsia="zh-CN"/>
        </w:rPr>
        <w:drawing>
          <wp:inline distT="0" distB="0" distL="114300" distR="114300">
            <wp:extent cx="5950585" cy="4210685"/>
            <wp:effectExtent l="0" t="0" r="12065" b="18415"/>
            <wp:docPr id="4" name="图片 4" descr="130121101上安镇10村庄布点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30121101上安镇10村庄布点规划图"/>
                    <pic:cNvPicPr>
                      <a:picLocks noChangeAspect="1"/>
                    </pic:cNvPicPr>
                  </pic:nvPicPr>
                  <pic:blipFill>
                    <a:blip r:embed="rId8"/>
                    <a:stretch>
                      <a:fillRect/>
                    </a:stretch>
                  </pic:blipFill>
                  <pic:spPr>
                    <a:xfrm>
                      <a:off x="0" y="0"/>
                      <a:ext cx="5950585" cy="4210685"/>
                    </a:xfrm>
                    <a:prstGeom prst="rect">
                      <a:avLst/>
                    </a:prstGeom>
                  </pic:spPr>
                </pic:pic>
              </a:graphicData>
            </a:graphic>
          </wp:inline>
        </w:drawing>
      </w:r>
      <w:r>
        <w:rPr>
          <w:rFonts w:hint="eastAsia"/>
          <w:lang w:eastAsia="zh-CN"/>
        </w:rPr>
        <w:drawing>
          <wp:inline distT="0" distB="0" distL="114300" distR="114300">
            <wp:extent cx="5950585" cy="4210685"/>
            <wp:effectExtent l="0" t="0" r="12065" b="18415"/>
            <wp:docPr id="5" name="图片 5" descr="130121101上安镇15国土空间规划分区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30121101上安镇15国土空间规划分区图"/>
                    <pic:cNvPicPr>
                      <a:picLocks noChangeAspect="1"/>
                    </pic:cNvPicPr>
                  </pic:nvPicPr>
                  <pic:blipFill>
                    <a:blip r:embed="rId9"/>
                    <a:stretch>
                      <a:fillRect/>
                    </a:stretch>
                  </pic:blipFill>
                  <pic:spPr>
                    <a:xfrm>
                      <a:off x="0" y="0"/>
                      <a:ext cx="5950585" cy="4210685"/>
                    </a:xfrm>
                    <a:prstGeom prst="rect">
                      <a:avLst/>
                    </a:prstGeom>
                  </pic:spPr>
                </pic:pic>
              </a:graphicData>
            </a:graphic>
          </wp:inline>
        </w:drawing>
      </w:r>
    </w:p>
    <w:sectPr>
      <w:pgSz w:w="11910" w:h="16840"/>
      <w:pgMar w:top="1157" w:right="1080" w:bottom="1157" w:left="108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B94"/>
    <w:rsid w:val="0054693D"/>
    <w:rsid w:val="00AB1B94"/>
    <w:rsid w:val="00FD5721"/>
    <w:rsid w:val="03BA3611"/>
    <w:rsid w:val="0FC27657"/>
    <w:rsid w:val="68050A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spacing w:after="0" w:line="240" w:lineRule="auto"/>
    </w:pPr>
    <w:rPr>
      <w:rFonts w:ascii="仿宋" w:hAnsi="仿宋" w:eastAsia="仿宋" w:cs="仿宋"/>
      <w:sz w:val="22"/>
      <w:szCs w:val="22"/>
      <w:lang w:val="en-US" w:eastAsia="en-US" w:bidi="ar-SA"/>
    </w:rPr>
  </w:style>
  <w:style w:type="paragraph" w:styleId="4">
    <w:name w:val="heading 1"/>
    <w:basedOn w:val="1"/>
    <w:next w:val="1"/>
    <w:qFormat/>
    <w:uiPriority w:val="1"/>
    <w:pPr>
      <w:spacing w:line="1305" w:lineRule="exact"/>
      <w:outlineLvl w:val="0"/>
    </w:pPr>
    <w:rPr>
      <w:rFonts w:ascii="宋体" w:hAnsi="宋体" w:eastAsia="宋体" w:cs="宋体"/>
      <w:sz w:val="130"/>
      <w:szCs w:val="130"/>
    </w:rPr>
  </w:style>
  <w:style w:type="paragraph" w:styleId="5">
    <w:name w:val="heading 2"/>
    <w:basedOn w:val="1"/>
    <w:next w:val="1"/>
    <w:qFormat/>
    <w:uiPriority w:val="1"/>
    <w:pPr>
      <w:ind w:left="747"/>
      <w:outlineLvl w:val="1"/>
    </w:pPr>
    <w:rPr>
      <w:rFonts w:ascii="宋体" w:hAnsi="宋体" w:eastAsia="宋体" w:cs="宋体"/>
      <w:b/>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beforeLines="50" w:after="120" w:afterLines="50" w:line="312" w:lineRule="auto"/>
      <w:ind w:left="420" w:leftChars="200" w:firstLine="200" w:firstLineChars="200"/>
      <w:jc w:val="both"/>
    </w:pPr>
    <w:rPr>
      <w:rFonts w:ascii="宋体" w:hAnsi="Calibri" w:eastAsia="宋体" w:cs="Times New Roman"/>
      <w:color w:val="252525"/>
      <w:kern w:val="2"/>
    </w:rPr>
  </w:style>
  <w:style w:type="paragraph" w:styleId="6">
    <w:name w:val="Body Text"/>
    <w:basedOn w:val="1"/>
    <w:qFormat/>
    <w:uiPriority w:val="1"/>
    <w:rPr>
      <w:sz w:val="32"/>
      <w:szCs w:val="32"/>
    </w:rPr>
  </w:style>
  <w:style w:type="table" w:customStyle="1" w:styleId="9">
    <w:name w:val="Table Normal"/>
    <w:unhideWhenUsed/>
    <w:qFormat/>
    <w:uiPriority w:val="2"/>
    <w:tblPr>
      <w:tblCellMar>
        <w:top w:w="0" w:type="dxa"/>
        <w:left w:w="0" w:type="dxa"/>
        <w:bottom w:w="0" w:type="dxa"/>
        <w:right w:w="0" w:type="dxa"/>
      </w:tblCellMar>
    </w:tblPr>
  </w:style>
  <w:style w:type="paragraph" w:customStyle="1" w:styleId="10">
    <w:name w:val="列表段落1"/>
    <w:basedOn w:val="1"/>
    <w:qFormat/>
    <w:uiPriority w:val="1"/>
  </w:style>
  <w:style w:type="paragraph" w:customStyle="1" w:styleId="11">
    <w:name w:val="Table Paragraph"/>
    <w:basedOn w:val="1"/>
    <w:qFormat/>
    <w:uiPriority w:val="1"/>
  </w:style>
  <w:style w:type="paragraph" w:customStyle="1" w:styleId="12">
    <w:name w:val="乡镇文本正文"/>
    <w:basedOn w:val="1"/>
    <w:qFormat/>
    <w:uiPriority w:val="0"/>
    <w:pPr>
      <w:adjustRightInd w:val="0"/>
      <w:snapToGrid w:val="0"/>
      <w:spacing w:line="560" w:lineRule="exact"/>
      <w:ind w:firstLine="1040" w:firstLineChars="200"/>
      <w:jc w:val="both"/>
    </w:pPr>
    <w:rPr>
      <w:rFonts w:eastAsia="仿宋_GB2312" w:cs="Times New Roman"/>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855</Words>
  <Characters>966</Characters>
  <Lines>65</Lines>
  <Paragraphs>49</Paragraphs>
  <TotalTime>2</TotalTime>
  <ScaleCrop>false</ScaleCrop>
  <LinksUpToDate>false</LinksUpToDate>
  <CharactersWithSpaces>966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2026-02-24T08:27:00Z</dcterms:created>
  <dc:creator>Administrator</dc:creator>
  <cp:lastModifiedBy>111</cp:lastModifiedBy>
  <dcterms:modified xsi:type="dcterms:W3CDTF">2026-02-25T02:05:26Z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2025-07-25T00:00:00Z</vt:filetime>
  </property>
  <property fmtid="{D5CDD505-2E9C-101B-9397-08002B2CF9AE}" pid="3" name="LastSaved">
    <vt:filetime>2026-02-24T00:00:00Z</vt:filetime>
  </property>
  <property fmtid="{D5CDD505-2E9C-101B-9397-08002B2CF9AE}" pid="4" name="KSOProductBuildVer">
    <vt:lpwstr>2052-12.1.0.25225</vt:lpwstr>
  </property>
  <property fmtid="{D5CDD505-2E9C-101B-9397-08002B2CF9AE}" pid="5" name="KSOTemplateDocerSaveRecord">
    <vt:lpwstr>eyJoZGlkIjoiZTVkODc5NDMyZTJlNzQ3MjM5OTFlZWI5M2YzYjVkNDYiLCJ1c2VySWQiOiIxMzkwNzMyNDU3In0=</vt:lpwstr>
  </property>
  <property fmtid="{D5CDD505-2E9C-101B-9397-08002B2CF9AE}" pid="6" name="ICV">
    <vt:lpwstr>641728677F8E4FEBB1E137F34D025906_12</vt:lpwstr>
  </property>
</Properties>
</file>