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0D1B9">
      <w:pPr>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小作</w:t>
      </w:r>
      <w:r>
        <w:rPr>
          <w:rFonts w:hint="eastAsia" w:ascii="仿宋_GB2312" w:hAnsi="仿宋_GB2312" w:eastAsia="仿宋_GB2312" w:cs="仿宋_GB2312"/>
          <w:b/>
          <w:bCs/>
          <w:sz w:val="32"/>
          <w:szCs w:val="32"/>
        </w:rPr>
        <w:t>镇国土空间总体规划（2021-2035年）》批后公告</w:t>
      </w:r>
    </w:p>
    <w:p w14:paraId="3207FFA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小作</w:t>
      </w:r>
      <w:r>
        <w:rPr>
          <w:rFonts w:hint="eastAsia" w:ascii="仿宋_GB2312" w:hAnsi="仿宋_GB2312" w:eastAsia="仿宋_GB2312" w:cs="仿宋_GB2312"/>
          <w:sz w:val="32"/>
          <w:szCs w:val="32"/>
        </w:rPr>
        <w:t>镇国土空间总体规划（2021-2035年）》已于2025年6月30日获</w:t>
      </w:r>
      <w:r>
        <w:rPr>
          <w:rFonts w:hint="eastAsia" w:ascii="仿宋_GB2312" w:hAnsi="仿宋_GB2312" w:eastAsia="仿宋_GB2312" w:cs="仿宋_GB2312"/>
          <w:sz w:val="32"/>
          <w:szCs w:val="32"/>
          <w:lang w:val="en-US" w:eastAsia="zh-CN"/>
        </w:rPr>
        <w:t>井陉</w:t>
      </w:r>
      <w:r>
        <w:rPr>
          <w:rFonts w:hint="eastAsia" w:ascii="仿宋_GB2312" w:hAnsi="仿宋_GB2312" w:eastAsia="仿宋_GB2312" w:cs="仿宋_GB2312"/>
          <w:sz w:val="32"/>
          <w:szCs w:val="32"/>
        </w:rPr>
        <w:t>县人民政府</w:t>
      </w:r>
      <w:r>
        <w:rPr>
          <w:rFonts w:hint="eastAsia" w:ascii="仿宋_GB2312" w:hAnsi="仿宋_GB2312" w:eastAsia="仿宋_GB2312" w:cs="仿宋_GB2312"/>
          <w:sz w:val="32"/>
          <w:szCs w:val="32"/>
          <w:lang w:val="en-US" w:eastAsia="zh-CN"/>
        </w:rPr>
        <w:t>批复</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井</w:t>
      </w:r>
      <w:r>
        <w:rPr>
          <w:rFonts w:hint="eastAsia" w:ascii="仿宋_GB2312" w:hAnsi="仿宋_GB2312" w:eastAsia="仿宋_GB2312" w:cs="仿宋_GB2312"/>
          <w:sz w:val="32"/>
          <w:szCs w:val="32"/>
        </w:rPr>
        <w:t>政〔</w:t>
      </w:r>
      <w:r>
        <w:rPr>
          <w:rFonts w:hint="eastAsia" w:ascii="仿宋_GB2312" w:hAnsi="仿宋_GB2312" w:eastAsia="仿宋_GB2312" w:cs="仿宋_GB2312"/>
          <w:sz w:val="32"/>
          <w:szCs w:val="32"/>
        </w:rPr>
        <w:t>2025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66</w:t>
      </w:r>
      <w:r>
        <w:rPr>
          <w:rFonts w:hint="eastAsia" w:ascii="仿宋_GB2312" w:hAnsi="仿宋_GB2312" w:eastAsia="仿宋_GB2312" w:cs="仿宋_GB2312"/>
          <w:sz w:val="32"/>
          <w:szCs w:val="32"/>
        </w:rPr>
        <w:t>号），现予以公告。</w:t>
      </w:r>
      <w:r>
        <w:rPr>
          <w:rFonts w:hint="eastAsia" w:ascii="仿宋_GB2312" w:hAnsi="仿宋_GB2312" w:eastAsia="仿宋_GB2312" w:cs="仿宋_GB2312"/>
          <w:sz w:val="32"/>
          <w:szCs w:val="32"/>
          <w:lang w:val="en-US" w:eastAsia="zh-CN"/>
        </w:rPr>
        <w:t>为贯彻落实《中共中央 国务院关于建立国土空间规划体系并监督实施的若干意见》、《石家庄市国土空间总体规划（2021-2035年）》、《井陉县国土空间总体规划（2021-2035年）》各项要求</w:t>
      </w:r>
      <w:r>
        <w:rPr>
          <w:rFonts w:hint="eastAsia" w:ascii="仿宋_GB2312" w:hAnsi="仿宋_GB2312" w:eastAsia="仿宋_GB2312" w:cs="仿宋_GB2312"/>
          <w:sz w:val="32"/>
          <w:szCs w:val="32"/>
        </w:rPr>
        <w:t>，推动形成人与自然和谐共生的国土空间开发保护新格局，提升空间治理现代化水平，编制本规划。</w:t>
      </w:r>
    </w:p>
    <w:p w14:paraId="476A23B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现将规划主要内容公布如下：</w:t>
      </w:r>
    </w:p>
    <w:p w14:paraId="2F9CBE6B">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一、规划范围</w:t>
      </w:r>
    </w:p>
    <w:p w14:paraId="7369D618">
      <w:pPr>
        <w:pStyle w:val="7"/>
        <w:keepNext w:val="0"/>
        <w:keepLines w:val="0"/>
        <w:pageBreakBefore w:val="0"/>
        <w:widowControl w:val="0"/>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本规划分为镇域和镇政府驻地两个层次。</w:t>
      </w:r>
      <w:r>
        <w:rPr>
          <w:rFonts w:hint="eastAsia" w:ascii="仿宋_GB2312" w:hAnsi="仿宋_GB2312" w:eastAsia="仿宋_GB2312" w:cs="仿宋_GB2312"/>
          <w:sz w:val="32"/>
          <w:szCs w:val="32"/>
          <w:lang w:val="en-US" w:eastAsia="zh-CN"/>
        </w:rPr>
        <w:t>镇域为小作镇行政辖区，总面积7675.28公顷；镇政府驻地规划总面积63.18公顷。</w:t>
      </w:r>
    </w:p>
    <w:p w14:paraId="4A49B130">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二、规划期限</w:t>
      </w:r>
    </w:p>
    <w:p w14:paraId="754F7F8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规划基期年为2020年，规划期限为2021-2035年，近期至2025年，远景展望至2050年。</w:t>
      </w:r>
    </w:p>
    <w:p w14:paraId="54E2F8C2">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三、规划定位</w:t>
      </w:r>
    </w:p>
    <w:p w14:paraId="4FF08265">
      <w:pPr>
        <w:pStyle w:val="7"/>
        <w:keepNext w:val="0"/>
        <w:keepLines w:val="0"/>
        <w:pageBreakBefore w:val="0"/>
        <w:widowControl w:val="0"/>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县域北部以装备制造、商贸物流为主导产业的工贸带动型小城镇。</w:t>
      </w:r>
    </w:p>
    <w:p w14:paraId="61252BBA">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四、规划目标</w:t>
      </w:r>
    </w:p>
    <w:p w14:paraId="178FE9F1">
      <w:pPr>
        <w:pStyle w:val="7"/>
        <w:keepNext w:val="0"/>
        <w:keepLines w:val="0"/>
        <w:pageBreakBefore w:val="0"/>
        <w:widowControl w:val="0"/>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到2025年，</w:t>
      </w:r>
      <w:r>
        <w:rPr>
          <w:rFonts w:hint="eastAsia" w:ascii="仿宋_GB2312" w:hAnsi="仿宋_GB2312" w:eastAsia="仿宋_GB2312" w:cs="仿宋_GB2312"/>
          <w:sz w:val="32"/>
          <w:szCs w:val="32"/>
        </w:rPr>
        <w:t>镇村基础设施条件持续改善，现代产业体系初步构建，绿色发展全面推进；一二三产业融合发展格局初步形成，镇村产业加快发展，农民收入水平进一步提高。</w:t>
      </w:r>
    </w:p>
    <w:p w14:paraId="46FAFC1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到2035年，</w:t>
      </w:r>
      <w:r>
        <w:rPr>
          <w:rFonts w:hint="eastAsia" w:ascii="仿宋_GB2312" w:hAnsi="仿宋_GB2312" w:eastAsia="仿宋_GB2312" w:cs="仿宋_GB2312"/>
          <w:sz w:val="32"/>
          <w:szCs w:val="32"/>
        </w:rPr>
        <w:t>功能定位基本实现，经济社会充分发展，生产、生活、生态空间布局平衡协调，高质量、特色鲜明的产业结构基本建立。</w:t>
      </w:r>
    </w:p>
    <w:p w14:paraId="04427585">
      <w:pPr>
        <w:pStyle w:val="7"/>
        <w:keepNext w:val="0"/>
        <w:keepLines w:val="0"/>
        <w:pageBreakBefore w:val="0"/>
        <w:widowControl w:val="0"/>
        <w:kinsoku/>
        <w:wordWrap/>
        <w:overflowPunct/>
        <w:topLinePunct w:val="0"/>
        <w:autoSpaceDE/>
        <w:autoSpaceDN/>
        <w:bidi w:val="0"/>
        <w:adjustRightInd/>
        <w:snapToGrid/>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到2050年，</w:t>
      </w:r>
      <w:r>
        <w:rPr>
          <w:rFonts w:hint="eastAsia" w:ascii="仿宋_GB2312" w:hAnsi="仿宋_GB2312" w:eastAsia="仿宋_GB2312" w:cs="仿宋_GB2312"/>
          <w:sz w:val="32"/>
          <w:szCs w:val="32"/>
        </w:rPr>
        <w:t>乡村全面振兴，农业强、农村美、农民富全面实现。</w:t>
      </w:r>
    </w:p>
    <w:p w14:paraId="6767DDB0">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五、落实“三区三线”</w:t>
      </w:r>
    </w:p>
    <w:p w14:paraId="5D6CBB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筑牢国土空间底线，</w:t>
      </w:r>
      <w:r>
        <w:rPr>
          <w:rFonts w:hint="eastAsia" w:ascii="仿宋_GB2312" w:hAnsi="仿宋_GB2312" w:eastAsia="仿宋_GB2312" w:cs="仿宋_GB2312"/>
          <w:sz w:val="32"/>
          <w:szCs w:val="32"/>
          <w:lang w:val="en-US" w:eastAsia="zh-CN"/>
        </w:rPr>
        <w:t>镇域</w:t>
      </w:r>
      <w:r>
        <w:rPr>
          <w:rFonts w:hint="eastAsia" w:ascii="仿宋_GB2312" w:hAnsi="仿宋_GB2312" w:eastAsia="仿宋_GB2312" w:cs="仿宋_GB2312"/>
          <w:sz w:val="32"/>
          <w:szCs w:val="32"/>
          <w:lang w:val="en-US" w:eastAsia="zh-CN"/>
        </w:rPr>
        <w:t>耕地保有量不低于12.62平方千米，其中</w:t>
      </w:r>
      <w:r>
        <w:rPr>
          <w:rFonts w:hint="eastAsia" w:ascii="仿宋_GB2312" w:hAnsi="仿宋_GB2312" w:eastAsia="仿宋_GB2312" w:cs="仿宋_GB2312"/>
          <w:sz w:val="32"/>
          <w:szCs w:val="32"/>
        </w:rPr>
        <w:t>永久基本农田</w:t>
      </w:r>
      <w:r>
        <w:rPr>
          <w:rFonts w:hint="eastAsia" w:ascii="仿宋_GB2312" w:hAnsi="仿宋_GB2312" w:eastAsia="仿宋_GB2312" w:cs="仿宋_GB2312"/>
          <w:sz w:val="32"/>
          <w:szCs w:val="32"/>
          <w:lang w:eastAsia="zh-CN"/>
        </w:rPr>
        <w:t>面积不低于</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1.97平方千米；</w:t>
      </w:r>
      <w:r>
        <w:rPr>
          <w:rFonts w:hint="eastAsia" w:ascii="仿宋_GB2312" w:hAnsi="仿宋_GB2312" w:eastAsia="仿宋_GB2312" w:cs="仿宋_GB2312"/>
          <w:sz w:val="32"/>
          <w:szCs w:val="32"/>
        </w:rPr>
        <w:t>生态保护红线</w:t>
      </w:r>
      <w:r>
        <w:rPr>
          <w:rFonts w:hint="eastAsia" w:ascii="仿宋_GB2312" w:hAnsi="仿宋_GB2312" w:eastAsia="仿宋_GB2312" w:cs="仿宋_GB2312"/>
          <w:sz w:val="32"/>
          <w:szCs w:val="32"/>
          <w:lang w:eastAsia="zh-CN"/>
        </w:rPr>
        <w:t>面积不低于</w:t>
      </w:r>
      <w:r>
        <w:rPr>
          <w:rFonts w:hint="eastAsia" w:ascii="仿宋_GB2312" w:hAnsi="仿宋_GB2312" w:eastAsia="仿宋_GB2312" w:cs="仿宋_GB2312"/>
          <w:sz w:val="32"/>
          <w:szCs w:val="32"/>
          <w:lang w:val="en-US" w:eastAsia="zh-CN"/>
        </w:rPr>
        <w:t>34.89平方千米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城镇开发边界面积1.38平方千米</w:t>
      </w:r>
      <w:r>
        <w:rPr>
          <w:rFonts w:hint="eastAsia" w:ascii="仿宋_GB2312" w:hAnsi="仿宋_GB2312" w:eastAsia="仿宋_GB2312" w:cs="仿宋_GB2312"/>
          <w:sz w:val="32"/>
          <w:szCs w:val="32"/>
        </w:rPr>
        <w:t>。</w:t>
      </w:r>
    </w:p>
    <w:p w14:paraId="203933F1">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六、落实主体功能区布局</w:t>
      </w:r>
    </w:p>
    <w:p w14:paraId="4D2786A4">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落实县级总规对</w:t>
      </w:r>
      <w:r>
        <w:rPr>
          <w:rFonts w:hint="eastAsia" w:ascii="仿宋_GB2312" w:hAnsi="仿宋_GB2312" w:eastAsia="仿宋_GB2312" w:cs="仿宋_GB2312"/>
          <w:sz w:val="32"/>
          <w:szCs w:val="32"/>
          <w:lang w:val="en-US" w:eastAsia="zh-CN"/>
        </w:rPr>
        <w:t>小作</w:t>
      </w:r>
      <w:r>
        <w:rPr>
          <w:rFonts w:hint="eastAsia" w:ascii="仿宋_GB2312" w:hAnsi="仿宋_GB2312" w:eastAsia="仿宋_GB2312" w:cs="仿宋_GB2312"/>
          <w:sz w:val="32"/>
          <w:szCs w:val="32"/>
        </w:rPr>
        <w:t>镇的主体功能定位，将</w:t>
      </w:r>
      <w:r>
        <w:rPr>
          <w:rFonts w:hint="eastAsia" w:ascii="仿宋_GB2312" w:hAnsi="仿宋_GB2312" w:eastAsia="仿宋_GB2312" w:cs="仿宋_GB2312"/>
          <w:sz w:val="32"/>
          <w:szCs w:val="32"/>
          <w:lang w:val="en-US" w:eastAsia="zh-CN"/>
        </w:rPr>
        <w:t>小作</w:t>
      </w:r>
      <w:r>
        <w:rPr>
          <w:rFonts w:hint="eastAsia" w:ascii="仿宋_GB2312" w:hAnsi="仿宋_GB2312" w:eastAsia="仿宋_GB2312" w:cs="仿宋_GB2312"/>
          <w:sz w:val="32"/>
          <w:szCs w:val="32"/>
        </w:rPr>
        <w:t>镇确定为</w:t>
      </w:r>
      <w:r>
        <w:rPr>
          <w:rFonts w:hint="eastAsia" w:ascii="仿宋_GB2312" w:hAnsi="仿宋_GB2312" w:eastAsia="仿宋_GB2312" w:cs="仿宋_GB2312"/>
          <w:kern w:val="2"/>
          <w:sz w:val="32"/>
          <w:szCs w:val="24"/>
          <w:shd w:val="clear" w:color="auto" w:fill="auto"/>
          <w:lang w:val="en-US" w:eastAsia="zh-CN" w:bidi="ar-SA"/>
        </w:rPr>
        <w:t>重点生态功能区</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24"/>
          <w:shd w:val="clear" w:color="auto" w:fill="auto"/>
          <w:lang w:val="en-US" w:eastAsia="zh-CN" w:bidi="ar-SA"/>
        </w:rPr>
        <w:t>应重点加强自然植被保护，提升水源涵养与水土保持功能</w:t>
      </w:r>
      <w:r>
        <w:rPr>
          <w:rFonts w:hint="eastAsia" w:ascii="仿宋_GB2312" w:hAnsi="仿宋_GB2312" w:eastAsia="仿宋_GB2312" w:cs="仿宋_GB2312"/>
          <w:kern w:val="2"/>
          <w:sz w:val="32"/>
          <w:szCs w:val="24"/>
          <w:shd w:val="clear" w:color="auto" w:fill="auto"/>
          <w:lang w:val="en-US" w:eastAsia="zh-CN" w:bidi="ar-SA"/>
        </w:rPr>
        <w:t>；</w:t>
      </w:r>
      <w:r>
        <w:rPr>
          <w:rFonts w:hint="eastAsia" w:ascii="仿宋_GB2312" w:hAnsi="仿宋_GB2312" w:eastAsia="仿宋_GB2312" w:cs="仿宋_GB2312"/>
          <w:kern w:val="2"/>
          <w:sz w:val="32"/>
          <w:szCs w:val="24"/>
          <w:shd w:val="clear" w:color="auto" w:fill="auto"/>
          <w:lang w:val="en-US" w:eastAsia="zh-CN" w:bidi="ar-SA"/>
        </w:rPr>
        <w:t>加大矿山整治和生态修复力度，推进造林绿化，湿地和草地保护修复等生态功能，提升“林草”质量。</w:t>
      </w:r>
    </w:p>
    <w:p w14:paraId="3BA5EC61">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七、国土空间开发保护总体格局</w:t>
      </w:r>
    </w:p>
    <w:p w14:paraId="031E50F1">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24"/>
          <w:shd w:val="clear" w:color="auto" w:fill="auto"/>
          <w:lang w:val="en-US" w:eastAsia="zh-CN" w:bidi="ar-SA"/>
        </w:rPr>
      </w:pPr>
      <w:bookmarkStart w:id="0" w:name="_Toc3084"/>
      <w:bookmarkStart w:id="1" w:name="_Toc16976"/>
      <w:bookmarkStart w:id="2" w:name="_Toc13470"/>
      <w:bookmarkStart w:id="3" w:name="_Toc24035"/>
      <w:bookmarkStart w:id="4" w:name="_Toc527"/>
      <w:bookmarkStart w:id="5" w:name="_Toc17394"/>
      <w:bookmarkStart w:id="6" w:name="_Toc26307"/>
      <w:bookmarkStart w:id="7" w:name="_Toc602"/>
      <w:r>
        <w:rPr>
          <w:rFonts w:hint="eastAsia" w:ascii="仿宋_GB2312" w:hAnsi="仿宋_GB2312" w:eastAsia="仿宋_GB2312" w:cs="仿宋_GB2312"/>
          <w:kern w:val="2"/>
          <w:sz w:val="32"/>
          <w:szCs w:val="24"/>
          <w:shd w:val="clear" w:color="auto" w:fill="auto"/>
          <w:lang w:val="en-US" w:eastAsia="zh-CN" w:bidi="ar-SA"/>
        </w:rPr>
        <w:t>规划</w:t>
      </w:r>
      <w:r>
        <w:rPr>
          <w:rFonts w:hint="eastAsia" w:ascii="仿宋_GB2312" w:hAnsi="仿宋_GB2312" w:eastAsia="仿宋_GB2312" w:cs="仿宋_GB2312"/>
          <w:kern w:val="2"/>
          <w:sz w:val="32"/>
          <w:szCs w:val="24"/>
          <w:shd w:val="clear" w:color="auto" w:fill="auto"/>
          <w:lang w:val="en-US" w:eastAsia="zh-CN" w:bidi="ar-SA"/>
        </w:rPr>
        <w:t>构建“一核、两轴、四区”的国土空间开发保护总体格局</w:t>
      </w:r>
      <w:bookmarkEnd w:id="0"/>
      <w:bookmarkEnd w:id="1"/>
      <w:bookmarkEnd w:id="2"/>
      <w:bookmarkEnd w:id="3"/>
      <w:bookmarkEnd w:id="4"/>
      <w:bookmarkEnd w:id="5"/>
      <w:bookmarkEnd w:id="6"/>
      <w:bookmarkEnd w:id="7"/>
      <w:r>
        <w:rPr>
          <w:rFonts w:hint="eastAsia" w:ascii="仿宋_GB2312" w:hAnsi="仿宋_GB2312" w:eastAsia="仿宋_GB2312" w:cs="仿宋_GB2312"/>
          <w:kern w:val="2"/>
          <w:sz w:val="32"/>
          <w:szCs w:val="24"/>
          <w:shd w:val="clear" w:color="auto" w:fill="auto"/>
          <w:lang w:val="en-US" w:eastAsia="zh-CN" w:bidi="ar-SA"/>
        </w:rPr>
        <w:t>。</w:t>
      </w:r>
    </w:p>
    <w:p w14:paraId="3877D882">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24"/>
          <w:shd w:val="clear" w:color="auto" w:fill="auto"/>
          <w:lang w:val="en-US" w:eastAsia="zh-CN" w:bidi="ar-SA"/>
        </w:rPr>
      </w:pPr>
      <w:r>
        <w:rPr>
          <w:rFonts w:hint="eastAsia" w:ascii="仿宋_GB2312" w:hAnsi="仿宋_GB2312" w:eastAsia="仿宋_GB2312" w:cs="仿宋_GB2312"/>
          <w:kern w:val="2"/>
          <w:sz w:val="32"/>
          <w:szCs w:val="24"/>
          <w:shd w:val="clear" w:color="auto" w:fill="auto"/>
          <w:lang w:val="en-US" w:eastAsia="zh-CN" w:bidi="ar-SA"/>
        </w:rPr>
        <w:t>一核：镇区综合服务核心。完善服务功能，集聚发展公共服务、商贸流通、文化娱乐等业态。</w:t>
      </w:r>
    </w:p>
    <w:p w14:paraId="2B7C30E5">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24"/>
          <w:shd w:val="clear" w:color="auto" w:fill="auto"/>
          <w:lang w:val="en-US" w:eastAsia="zh-CN" w:bidi="ar-SA"/>
        </w:rPr>
      </w:pPr>
      <w:r>
        <w:rPr>
          <w:rFonts w:hint="eastAsia" w:ascii="仿宋_GB2312" w:hAnsi="仿宋_GB2312" w:eastAsia="仿宋_GB2312" w:cs="仿宋_GB2312"/>
          <w:kern w:val="2"/>
          <w:sz w:val="32"/>
          <w:szCs w:val="24"/>
          <w:shd w:val="clear" w:color="auto" w:fill="auto"/>
          <w:lang w:val="en-US" w:eastAsia="zh-CN" w:bidi="ar-SA"/>
        </w:rPr>
        <w:t>两轴：依托平涉公路，串联井陉矿区，发展装备及零部件制造、商贸物流，形成镇域南北向主要发展轴带；依托省道334，开展沿线低效闲置工业用地再利用，引导发展环保产业、现代服务业、旅游业，形成镇域东西向主要发展轴带。</w:t>
      </w:r>
    </w:p>
    <w:p w14:paraId="289DEF4E">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24"/>
          <w:shd w:val="clear" w:color="auto" w:fill="auto"/>
          <w:lang w:val="en-US" w:eastAsia="zh-CN" w:bidi="ar-SA"/>
        </w:rPr>
      </w:pPr>
      <w:r>
        <w:rPr>
          <w:rFonts w:hint="eastAsia" w:ascii="仿宋_GB2312" w:hAnsi="仿宋_GB2312" w:eastAsia="仿宋_GB2312" w:cs="仿宋_GB2312"/>
          <w:kern w:val="2"/>
          <w:sz w:val="32"/>
          <w:szCs w:val="24"/>
          <w:shd w:val="clear" w:color="auto" w:fill="auto"/>
          <w:lang w:val="en-US" w:eastAsia="zh-CN" w:bidi="ar-SA"/>
        </w:rPr>
        <w:t>四区：基于资源本底划分的四个片区，包括中部装备制造与商贸物流发展区、东部生态保护与环保产业发展区、西部生态保护与旅游发展区、北</w:t>
      </w:r>
      <w:r>
        <w:rPr>
          <w:rFonts w:hint="eastAsia" w:ascii="仿宋_GB2312" w:hAnsi="仿宋_GB2312" w:eastAsia="仿宋_GB2312" w:cs="仿宋_GB2312"/>
          <w:kern w:val="2"/>
          <w:sz w:val="32"/>
          <w:szCs w:val="24"/>
          <w:shd w:val="clear" w:color="auto" w:fill="auto"/>
          <w:lang w:val="en-US" w:eastAsia="zh-CN" w:bidi="ar-SA"/>
        </w:rPr>
        <w:t>部</w:t>
      </w:r>
      <w:r>
        <w:rPr>
          <w:rFonts w:hint="eastAsia" w:ascii="仿宋_GB2312" w:hAnsi="仿宋_GB2312" w:eastAsia="仿宋_GB2312" w:cs="仿宋_GB2312"/>
          <w:kern w:val="2"/>
          <w:sz w:val="32"/>
          <w:szCs w:val="24"/>
          <w:shd w:val="clear" w:color="auto" w:fill="auto"/>
          <w:lang w:val="en-US" w:eastAsia="zh-CN" w:bidi="ar-SA"/>
        </w:rPr>
        <w:t>生态保护与特色农业发展区。</w:t>
      </w:r>
    </w:p>
    <w:p w14:paraId="502CB096">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八、国土空间规划分区和功能结构</w:t>
      </w:r>
    </w:p>
    <w:p w14:paraId="5BE82B2E">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24"/>
          <w:shd w:val="clear" w:color="auto" w:fill="auto"/>
          <w:lang w:val="en-US" w:eastAsia="zh-CN" w:bidi="ar-SA"/>
        </w:rPr>
        <w:t>落实和深化主体功能区战略，充分衔接三条控制线，将镇域划分生态保护区、生态控制区、农田保护区、城镇发展区、乡村发展区</w:t>
      </w:r>
      <w:r>
        <w:rPr>
          <w:rFonts w:hint="eastAsia" w:ascii="仿宋_GB2312" w:hAnsi="仿宋_GB2312" w:eastAsia="仿宋_GB2312" w:cs="仿宋_GB2312"/>
          <w:kern w:val="2"/>
          <w:sz w:val="32"/>
          <w:szCs w:val="24"/>
          <w:shd w:val="clear" w:color="auto" w:fill="auto"/>
          <w:lang w:val="en-US" w:eastAsia="zh-CN" w:bidi="ar-SA"/>
        </w:rPr>
        <w:t>5</w:t>
      </w:r>
      <w:r>
        <w:rPr>
          <w:rFonts w:hint="eastAsia" w:ascii="仿宋_GB2312" w:hAnsi="仿宋_GB2312" w:eastAsia="仿宋_GB2312" w:cs="仿宋_GB2312"/>
          <w:kern w:val="2"/>
          <w:sz w:val="32"/>
          <w:szCs w:val="24"/>
          <w:shd w:val="clear" w:color="auto" w:fill="auto"/>
          <w:lang w:val="en-US" w:eastAsia="zh-CN" w:bidi="ar-SA"/>
        </w:rPr>
        <w:t>类一级规划分区。</w:t>
      </w:r>
      <w:r>
        <w:rPr>
          <w:rFonts w:hint="eastAsia" w:ascii="仿宋_GB2312" w:hAnsi="仿宋_GB2312" w:eastAsia="仿宋_GB2312" w:cs="仿宋_GB2312"/>
          <w:color w:val="auto"/>
          <w:sz w:val="32"/>
          <w:szCs w:val="32"/>
        </w:rPr>
        <w:t>严格落实</w:t>
      </w:r>
      <w:r>
        <w:rPr>
          <w:rFonts w:hint="eastAsia" w:ascii="仿宋_GB2312" w:hAnsi="仿宋_GB2312" w:eastAsia="仿宋_GB2312" w:cs="仿宋_GB2312"/>
          <w:color w:val="auto"/>
          <w:sz w:val="32"/>
          <w:szCs w:val="32"/>
          <w:lang w:val="en-US" w:eastAsia="zh-CN"/>
        </w:rPr>
        <w:t>县级</w:t>
      </w:r>
      <w:r>
        <w:rPr>
          <w:rFonts w:hint="eastAsia" w:ascii="仿宋_GB2312" w:hAnsi="仿宋_GB2312" w:eastAsia="仿宋_GB2312" w:cs="仿宋_GB2312"/>
          <w:color w:val="auto"/>
          <w:sz w:val="32"/>
          <w:szCs w:val="32"/>
        </w:rPr>
        <w:t>规划确定的各类约束性指标，立足土地利用现状，稳定农用地结构，优化城乡建设用地布局，</w:t>
      </w:r>
      <w:r>
        <w:rPr>
          <w:rFonts w:hint="eastAsia" w:ascii="仿宋_GB2312" w:hAnsi="仿宋_GB2312" w:eastAsia="仿宋_GB2312" w:cs="仿宋_GB2312"/>
          <w:color w:val="auto"/>
          <w:sz w:val="32"/>
          <w:szCs w:val="32"/>
          <w:lang w:val="en-US" w:eastAsia="zh-CN"/>
        </w:rPr>
        <w:t>保护和修复</w:t>
      </w:r>
      <w:r>
        <w:rPr>
          <w:rFonts w:hint="eastAsia" w:ascii="仿宋_GB2312" w:hAnsi="仿宋_GB2312" w:eastAsia="仿宋_GB2312" w:cs="仿宋_GB2312"/>
          <w:color w:val="auto"/>
          <w:sz w:val="32"/>
          <w:szCs w:val="32"/>
        </w:rPr>
        <w:t>陆地水域等原有空间，统筹安排各类用地。</w:t>
      </w:r>
      <w:bookmarkStart w:id="8" w:name="_GoBack"/>
      <w:bookmarkEnd w:id="8"/>
    </w:p>
    <w:p w14:paraId="7E793F52">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九、优化城乡布局</w:t>
      </w:r>
    </w:p>
    <w:p w14:paraId="025CD49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构建“镇政府驻地-中心村-基层村”三级居民点体系，包括</w:t>
      </w:r>
      <w:r>
        <w:rPr>
          <w:rFonts w:hint="eastAsia" w:ascii="仿宋_GB2312" w:hAnsi="仿宋_GB2312" w:eastAsia="仿宋_GB2312" w:cs="仿宋_GB2312"/>
          <w:color w:val="auto"/>
          <w:sz w:val="32"/>
          <w:szCs w:val="32"/>
          <w:lang w:val="en-US" w:eastAsia="zh-CN"/>
        </w:rPr>
        <w:t>1个镇政府驻地、3个中心村、14个基层村。</w:t>
      </w:r>
    </w:p>
    <w:p w14:paraId="56A9DA1C">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镇政府驻地：小作村。小作镇的政治、经济、文化中心，以发展综合服务、装备制造与商贸物流为主的小城镇。</w:t>
      </w:r>
    </w:p>
    <w:p w14:paraId="6A208BAF">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中心村：桃林坪村、小寨村、库隆峰村。配备较为齐备的公共服务设施和健全的基础设施，辐射带动周边乡村发展。</w:t>
      </w:r>
    </w:p>
    <w:p w14:paraId="35640270">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lang w:val="en-US" w:eastAsia="zh-CN"/>
        </w:rPr>
        <w:t>基层村：沙窑村、梅家庄村、冶西村、胡雷村、出六里村、仇家窑村、八里沟村、北马峪村、赵西岭村、赵东岭村、北石门村、南石门村、卢峪村、东高家庄村，以发展农业种植与养殖为主。其中沙窑村、梅家庄村、赵西岭村、赵东岭村等可结合自身文化和自然资源，适度发展文旅休闲产业。</w:t>
      </w:r>
    </w:p>
    <w:p w14:paraId="27B66665">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十、镇政府驻地</w:t>
      </w:r>
    </w:p>
    <w:p w14:paraId="03CF7162">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尊重镇政府驻地现状格局肌理，完善配套设施，形成“一心、三轴、四组团”的功能布局结构。</w:t>
      </w:r>
    </w:p>
    <w:p w14:paraId="72A3AE0B">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一心：以镇政府、卫生院、中学等为中心，形成以公共服务为主的综合服务中心。</w:t>
      </w:r>
    </w:p>
    <w:p w14:paraId="183A96F9">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三轴：依托省道334，形成以对外商贸服务为主的发展轴；依托平涉公路，形成以对内商业服务为主的发展轴；依托新开路，形成以公共服务为主的发展轴。</w:t>
      </w:r>
    </w:p>
    <w:p w14:paraId="3F642382">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四组团：以主要道路划分为四个生活组团。</w:t>
      </w:r>
    </w:p>
    <w:p w14:paraId="14234420">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十一、历史文化保护和风貌塑造</w:t>
      </w:r>
    </w:p>
    <w:p w14:paraId="1354ED69">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加强对传统村落、非物质文化遗产等历史文化</w:t>
      </w:r>
      <w:r>
        <w:rPr>
          <w:rFonts w:hint="eastAsia" w:ascii="仿宋_GB2312" w:hAnsi="仿宋_GB2312" w:cs="仿宋_GB2312"/>
          <w:color w:val="auto"/>
          <w:sz w:val="32"/>
          <w:szCs w:val="32"/>
          <w:lang w:val="en-US" w:eastAsia="zh-CN"/>
        </w:rPr>
        <w:t>资源</w:t>
      </w:r>
      <w:r>
        <w:rPr>
          <w:rFonts w:hint="eastAsia" w:ascii="仿宋_GB2312" w:hAnsi="仿宋_GB2312" w:eastAsia="仿宋_GB2312" w:cs="仿宋_GB2312"/>
          <w:color w:val="auto"/>
          <w:sz w:val="32"/>
          <w:szCs w:val="32"/>
          <w:lang w:val="en-US" w:eastAsia="zh-CN"/>
        </w:rPr>
        <w:t>的保护。保护镇域内2个国家级传统村落</w:t>
      </w:r>
      <w:r>
        <w:rPr>
          <w:rFonts w:hint="eastAsia" w:ascii="仿宋_GB2312" w:hAnsi="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沙窑村、卢峪村</w:t>
      </w:r>
      <w:r>
        <w:rPr>
          <w:rFonts w:hint="eastAsia" w:ascii="仿宋_GB2312" w:hAnsi="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传承国家级非物质文化遗产桃林坪花脸社火，省级非物质文化遗产赵庄岭皇纲、井陉木雕，市级非物质文化遗产小寨飞叉、冶西牛虎斗</w:t>
      </w:r>
      <w:r>
        <w:rPr>
          <w:rFonts w:hint="eastAsia" w:ascii="仿宋_GB2312" w:hAnsi="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县级非物质文化遗产赵庄岭火神庙会、双龙观道教文化、南石门拉花、小作扭秧歌、赵东岭竹马、赵西岭旱船。</w:t>
      </w:r>
    </w:p>
    <w:p w14:paraId="2D2948B9">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尊重山地、浅丘地形地貌特征，发挥清凉山、小作河等自然山水景观价值，突出地域特色，整体塑造特色鲜明、宜居宜业的山区乡土风貌。</w:t>
      </w:r>
    </w:p>
    <w:p w14:paraId="12F4762A">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p>
    <w:p w14:paraId="229E84CB">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十二、基础设施和综合防灾</w:t>
      </w:r>
    </w:p>
    <w:p w14:paraId="1F89A57B">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落实</w:t>
      </w:r>
      <w:r>
        <w:rPr>
          <w:rFonts w:hint="eastAsia" w:ascii="仿宋_GB2312" w:hAnsi="仿宋_GB2312" w:eastAsia="仿宋_GB2312" w:cs="仿宋_GB2312"/>
          <w:sz w:val="32"/>
          <w:szCs w:val="32"/>
        </w:rPr>
        <w:t>县级总规</w:t>
      </w:r>
      <w:r>
        <w:rPr>
          <w:rFonts w:hint="eastAsia" w:ascii="仿宋_GB2312" w:hAnsi="仿宋_GB2312" w:eastAsia="仿宋_GB2312" w:cs="仿宋_GB2312"/>
          <w:color w:val="auto"/>
          <w:sz w:val="32"/>
          <w:szCs w:val="32"/>
          <w:lang w:val="en-US" w:eastAsia="zh-CN"/>
        </w:rPr>
        <w:t>确定的高速、铁路、省道等交通干线，加强各类对外交通设施与镇域道路系统的衔接协调，强化镇政府驻地与村庄、村庄间的道路联通，配置相应的公交站场等交通设施。规划形成“两横两纵”的镇域道路交通网络体系。其中“两横”为京昆高速、省道334，“两纵”为平赞高速、平涉公路。</w:t>
      </w:r>
    </w:p>
    <w:p w14:paraId="52FEF58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24"/>
          <w:highlight w:val="none"/>
          <w:lang w:val="en-US" w:eastAsia="zh-CN"/>
        </w:rPr>
      </w:pPr>
      <w:r>
        <w:rPr>
          <w:rFonts w:hint="eastAsia" w:ascii="仿宋_GB2312" w:hAnsi="仿宋_GB2312" w:eastAsia="仿宋_GB2312" w:cs="仿宋_GB2312"/>
          <w:sz w:val="32"/>
          <w:szCs w:val="24"/>
          <w:highlight w:val="none"/>
          <w:lang w:val="en-US" w:eastAsia="zh-CN"/>
        </w:rPr>
        <w:t>健全城乡供水体系，优化供水格局，完善供水管网，开源与节流并举，提高水资源利用效率，全面建设节水型社会。优化调整能源结构，加强能源基础设施建设，着力提升法治化、信息化、智能化管理水平，建设清洁低碳、安全高效、开放融合的现代能源体系。</w:t>
      </w:r>
    </w:p>
    <w:p w14:paraId="538EAC7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24"/>
          <w:highlight w:val="none"/>
          <w:lang w:val="en-US" w:eastAsia="zh-CN"/>
        </w:rPr>
        <w:t>坚持以防为主、防抗救相结合，加强全域各类灾害风险监测预警能力建设，提高城乡基础设施韧性，建设和完善各类防灾减灾基础设施与应急服务设施，建立健全面向多种灾害风险的综合防灾体系。</w:t>
      </w:r>
    </w:p>
    <w:p w14:paraId="1B0C92D6">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十三、规划传导和实施保障</w:t>
      </w:r>
    </w:p>
    <w:p w14:paraId="6B06467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对上位规划的落实。落实县级</w:t>
      </w:r>
      <w:r>
        <w:rPr>
          <w:rFonts w:hint="eastAsia" w:ascii="仿宋_GB2312" w:hAnsi="仿宋_GB2312" w:eastAsia="仿宋_GB2312" w:cs="仿宋_GB2312"/>
          <w:sz w:val="32"/>
          <w:szCs w:val="32"/>
        </w:rPr>
        <w:t>总规</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eastAsia="zh-CN"/>
        </w:rPr>
        <w:t>小作</w:t>
      </w:r>
      <w:r>
        <w:rPr>
          <w:rFonts w:hint="eastAsia" w:ascii="仿宋_GB2312" w:hAnsi="仿宋_GB2312" w:eastAsia="仿宋_GB2312" w:cs="仿宋_GB2312"/>
          <w:sz w:val="32"/>
          <w:szCs w:val="32"/>
        </w:rPr>
        <w:t>镇的</w:t>
      </w:r>
      <w:r>
        <w:rPr>
          <w:rFonts w:hint="eastAsia" w:ascii="仿宋_GB2312" w:hAnsi="仿宋_GB2312" w:eastAsia="仿宋_GB2312" w:cs="仿宋_GB2312"/>
          <w:color w:val="auto"/>
          <w:sz w:val="32"/>
          <w:szCs w:val="32"/>
          <w:highlight w:val="none"/>
          <w:lang w:val="en-US" w:eastAsia="zh-CN"/>
        </w:rPr>
        <w:t>职能定位、主体功能区、耕地保有量、永久基本农田保护面积、生态保护红线面积、城镇开发边界</w:t>
      </w:r>
      <w:r>
        <w:rPr>
          <w:rFonts w:hint="eastAsia" w:ascii="仿宋_GB2312" w:hAnsi="仿宋_GB2312" w:eastAsia="仿宋_GB2312" w:cs="仿宋_GB2312"/>
          <w:sz w:val="32"/>
          <w:szCs w:val="32"/>
        </w:rPr>
        <w:t>等约束性指标，以及国土空间格局、空间用途管制和重大基础设施等内容。</w:t>
      </w:r>
    </w:p>
    <w:p w14:paraId="15AB99F3">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rPr>
        <w:t>对详细规划的传导。</w:t>
      </w:r>
      <w:r>
        <w:rPr>
          <w:rFonts w:hint="eastAsia" w:ascii="仿宋_GB2312" w:hAnsi="仿宋_GB2312" w:eastAsia="仿宋_GB2312" w:cs="仿宋_GB2312"/>
          <w:color w:val="auto"/>
          <w:sz w:val="32"/>
          <w:szCs w:val="32"/>
          <w:highlight w:val="none"/>
          <w:lang w:val="en-US" w:eastAsia="zh-CN"/>
        </w:rPr>
        <w:t>明确镇域城镇开发边界内详细规划编制单元，乡镇总体规划向城镇开发边界内详细规划单元传导的主要内容包括功能布局、要素配置、空间形态、控制线等方面的约束要求，以及基础设施、公共服务设施和综合防灾设施布局等内容。</w:t>
      </w:r>
    </w:p>
    <w:p w14:paraId="71C624E0">
      <w:pPr>
        <w:pStyle w:val="8"/>
        <w:keepNext w:val="0"/>
        <w:keepLines w:val="0"/>
        <w:pageBreakBefore w:val="0"/>
        <w:widowControl w:val="0"/>
        <w:kinsoku/>
        <w:wordWrap/>
        <w:overflowPunct/>
        <w:topLinePunct w:val="0"/>
        <w:autoSpaceDE/>
        <w:autoSpaceDN/>
        <w:bidi w:val="0"/>
        <w:adjustRightInd w:val="0"/>
        <w:snapToGrid w:val="0"/>
        <w:spacing w:before="0" w:after="12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村庄规划编制单元划分。统筹推进辖区内村庄规划编制，</w:t>
      </w:r>
      <w:r>
        <w:rPr>
          <w:rFonts w:hint="eastAsia" w:ascii="仿宋_GB2312" w:hAnsi="仿宋_GB2312" w:eastAsia="仿宋_GB2312" w:cs="仿宋_GB2312"/>
          <w:color w:val="auto"/>
          <w:sz w:val="32"/>
          <w:szCs w:val="32"/>
          <w:highlight w:val="none"/>
          <w:lang w:val="en-US" w:eastAsia="zh-CN"/>
        </w:rPr>
        <w:t>明确村庄建设边界以及“三区三线”、自然灾害风险防控线、历史文化保护线和风貌特色等控制引导要求。</w:t>
      </w:r>
    </w:p>
    <w:p w14:paraId="464C6CC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加强</w:t>
      </w:r>
      <w:r>
        <w:rPr>
          <w:rFonts w:hint="eastAsia" w:ascii="仿宋_GB2312" w:hAnsi="仿宋_GB2312" w:eastAsia="仿宋_GB2312" w:cs="仿宋_GB2312"/>
          <w:sz w:val="32"/>
          <w:szCs w:val="32"/>
        </w:rPr>
        <w:t>国土空间用途管制。严格依据国土空间规划，实施国土空间用途管制。建立全域覆盖、协调统一的用途管制规则，依据国土空间规划确定的分区和用途，统筹全域、全类型、多层次自然资源要素，制定不同功能空间、不同用途的转换规则，明确转换方向、条件和管理要求，加强城镇乡村空间的统一用途管制。</w:t>
      </w:r>
    </w:p>
    <w:p w14:paraId="3BC6DD12">
      <w:pPr>
        <w:pStyle w:val="2"/>
        <w:rPr>
          <w:rFonts w:hint="eastAsia" w:ascii="仿宋_GB2312" w:hAnsi="仿宋_GB2312" w:eastAsia="仿宋_GB2312" w:cs="仿宋_GB2312"/>
          <w:sz w:val="32"/>
          <w:szCs w:val="32"/>
        </w:rPr>
      </w:pPr>
    </w:p>
    <w:p w14:paraId="62A0EC5E">
      <w:pPr>
        <w:pStyle w:val="2"/>
        <w:rPr>
          <w:rFonts w:hint="eastAsia" w:ascii="仿宋_GB2312" w:hAnsi="仿宋_GB2312" w:eastAsia="仿宋_GB2312" w:cs="仿宋_GB2312"/>
          <w:sz w:val="32"/>
          <w:szCs w:val="32"/>
        </w:rPr>
      </w:pPr>
    </w:p>
    <w:p w14:paraId="51701379">
      <w:pPr>
        <w:pStyle w:val="2"/>
        <w:rPr>
          <w:rFonts w:hint="eastAsia" w:ascii="仿宋_GB2312" w:hAnsi="仿宋_GB2312" w:eastAsia="仿宋_GB2312" w:cs="仿宋_GB2312"/>
          <w:sz w:val="32"/>
          <w:szCs w:val="32"/>
        </w:rPr>
      </w:pPr>
    </w:p>
    <w:p w14:paraId="3E2E75EF">
      <w:pPr>
        <w:pStyle w:val="2"/>
        <w:rPr>
          <w:rFonts w:hint="eastAsia" w:ascii="仿宋_GB2312" w:hAnsi="仿宋_GB2312" w:eastAsia="仿宋_GB2312" w:cs="仿宋_GB2312"/>
          <w:sz w:val="32"/>
          <w:szCs w:val="32"/>
        </w:rPr>
      </w:pPr>
    </w:p>
    <w:p w14:paraId="62DEACAD">
      <w:pPr>
        <w:pStyle w:val="2"/>
        <w:rPr>
          <w:rFonts w:hint="eastAsia" w:ascii="仿宋_GB2312" w:hAnsi="仿宋_GB2312" w:eastAsia="仿宋_GB2312" w:cs="仿宋_GB2312"/>
          <w:sz w:val="32"/>
          <w:szCs w:val="32"/>
        </w:rPr>
      </w:pPr>
    </w:p>
    <w:p w14:paraId="6011F26F">
      <w:pPr>
        <w:pStyle w:val="2"/>
        <w:rPr>
          <w:rFonts w:hint="eastAsia" w:ascii="仿宋_GB2312" w:hAnsi="仿宋_GB2312" w:eastAsia="仿宋_GB2312" w:cs="仿宋_GB2312"/>
          <w:sz w:val="32"/>
          <w:szCs w:val="32"/>
        </w:rPr>
      </w:pPr>
    </w:p>
    <w:p w14:paraId="2EF09406">
      <w:pPr>
        <w:pStyle w:val="2"/>
        <w:rPr>
          <w:rFonts w:hint="eastAsia" w:ascii="仿宋_GB2312" w:hAnsi="仿宋_GB2312" w:eastAsia="仿宋_GB2312" w:cs="仿宋_GB2312"/>
          <w:sz w:val="32"/>
          <w:szCs w:val="32"/>
        </w:rPr>
      </w:pPr>
    </w:p>
    <w:p w14:paraId="48CC47B9">
      <w:pPr>
        <w:pStyle w:val="2"/>
        <w:rPr>
          <w:rFonts w:hint="eastAsia" w:ascii="仿宋_GB2312" w:hAnsi="仿宋_GB2312" w:eastAsia="仿宋_GB2312" w:cs="仿宋_GB2312"/>
          <w:sz w:val="32"/>
          <w:szCs w:val="32"/>
        </w:rPr>
      </w:pPr>
    </w:p>
    <w:p w14:paraId="3CEBCC79">
      <w:pPr>
        <w:pStyle w:val="2"/>
        <w:rPr>
          <w:rFonts w:hint="eastAsia" w:ascii="仿宋_GB2312" w:hAnsi="仿宋_GB2312" w:eastAsia="仿宋_GB2312" w:cs="仿宋_GB2312"/>
          <w:sz w:val="32"/>
          <w:szCs w:val="32"/>
        </w:rPr>
      </w:pPr>
    </w:p>
    <w:p w14:paraId="7051942D">
      <w:pPr>
        <w:pStyle w:val="2"/>
        <w:rPr>
          <w:rFonts w:hint="eastAsia" w:ascii="仿宋_GB2312" w:hAnsi="仿宋_GB2312" w:eastAsia="仿宋_GB2312" w:cs="仿宋_GB2312"/>
          <w:sz w:val="32"/>
          <w:szCs w:val="32"/>
        </w:rPr>
      </w:pPr>
    </w:p>
    <w:p w14:paraId="2CA7C7F4">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7960" cy="3721735"/>
            <wp:effectExtent l="0" t="0" r="8890" b="2540"/>
            <wp:docPr id="1" name="图片 1" descr="130121106小作镇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30121106小作镇03国土空间控制线规划图"/>
                    <pic:cNvPicPr>
                      <a:picLocks noChangeAspect="1"/>
                    </pic:cNvPicPr>
                  </pic:nvPicPr>
                  <pic:blipFill>
                    <a:blip r:embed="rId4"/>
                    <a:stretch>
                      <a:fillRect/>
                    </a:stretch>
                  </pic:blipFill>
                  <pic:spPr>
                    <a:xfrm>
                      <a:off x="0" y="0"/>
                      <a:ext cx="5267960" cy="3721735"/>
                    </a:xfrm>
                    <a:prstGeom prst="rect">
                      <a:avLst/>
                    </a:prstGeom>
                  </pic:spPr>
                </pic:pic>
              </a:graphicData>
            </a:graphic>
          </wp:inline>
        </w:drawing>
      </w:r>
    </w:p>
    <w:p w14:paraId="424683EE">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p>
    <w:p w14:paraId="32818A99">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7960" cy="3721735"/>
            <wp:effectExtent l="0" t="0" r="8890" b="2540"/>
            <wp:docPr id="2" name="图片 2" descr="130121106小作镇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30121106小作镇02国土空间总体格局规划图"/>
                    <pic:cNvPicPr>
                      <a:picLocks noChangeAspect="1"/>
                    </pic:cNvPicPr>
                  </pic:nvPicPr>
                  <pic:blipFill>
                    <a:blip r:embed="rId5"/>
                    <a:stretch>
                      <a:fillRect/>
                    </a:stretch>
                  </pic:blipFill>
                  <pic:spPr>
                    <a:xfrm>
                      <a:off x="0" y="0"/>
                      <a:ext cx="5267960" cy="3721735"/>
                    </a:xfrm>
                    <a:prstGeom prst="rect">
                      <a:avLst/>
                    </a:prstGeom>
                  </pic:spPr>
                </pic:pic>
              </a:graphicData>
            </a:graphic>
          </wp:inline>
        </w:drawing>
      </w:r>
    </w:p>
    <w:p w14:paraId="7C8C6B21">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p>
    <w:p w14:paraId="46B5C134">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p>
    <w:p w14:paraId="77B51A24">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7960" cy="3721735"/>
            <wp:effectExtent l="0" t="0" r="8890" b="2540"/>
            <wp:docPr id="3" name="图片 3" descr="130121106小作镇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30121106小作镇10村庄布点规划图"/>
                    <pic:cNvPicPr>
                      <a:picLocks noChangeAspect="1"/>
                    </pic:cNvPicPr>
                  </pic:nvPicPr>
                  <pic:blipFill>
                    <a:blip r:embed="rId6"/>
                    <a:stretch>
                      <a:fillRect/>
                    </a:stretch>
                  </pic:blipFill>
                  <pic:spPr>
                    <a:xfrm>
                      <a:off x="0" y="0"/>
                      <a:ext cx="5267960" cy="3721735"/>
                    </a:xfrm>
                    <a:prstGeom prst="rect">
                      <a:avLst/>
                    </a:prstGeom>
                  </pic:spPr>
                </pic:pic>
              </a:graphicData>
            </a:graphic>
          </wp:inline>
        </w:drawing>
      </w:r>
    </w:p>
    <w:p w14:paraId="49222E74">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p>
    <w:p w14:paraId="2E42E8C6">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7960" cy="3721735"/>
            <wp:effectExtent l="0" t="0" r="8890" b="2540"/>
            <wp:docPr id="4" name="图片 4" descr="130121106小作镇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30121106小作镇15国土空间规划分区图"/>
                    <pic:cNvPicPr>
                      <a:picLocks noChangeAspect="1"/>
                    </pic:cNvPicPr>
                  </pic:nvPicPr>
                  <pic:blipFill>
                    <a:blip r:embed="rId7"/>
                    <a:stretch>
                      <a:fillRect/>
                    </a:stretch>
                  </pic:blipFill>
                  <pic:spPr>
                    <a:xfrm>
                      <a:off x="0" y="0"/>
                      <a:ext cx="5267960" cy="3721735"/>
                    </a:xfrm>
                    <a:prstGeom prst="rect">
                      <a:avLst/>
                    </a:prstGeom>
                  </pic:spPr>
                </pic:pic>
              </a:graphicData>
            </a:graphic>
          </wp:inline>
        </w:drawing>
      </w:r>
    </w:p>
    <w:p w14:paraId="7A47F7D5">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baseline"/>
        <w:rPr>
          <w:rFonts w:hint="eastAsia" w:ascii="仿宋_GB2312" w:hAnsi="仿宋_GB2312" w:eastAsia="仿宋_GB2312" w:cs="仿宋_GB2312"/>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KSOFF9CBECC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132B93"/>
    <w:multiLevelType w:val="multilevel"/>
    <w:tmpl w:val="71132B93"/>
    <w:lvl w:ilvl="0" w:tentative="0">
      <w:start w:val="1"/>
      <w:numFmt w:val="chineseCountingThousand"/>
      <w:pStyle w:val="4"/>
      <w:lvlText w:val="第%1节"/>
      <w:lvlJc w:val="center"/>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A731A2"/>
    <w:rsid w:val="0AFC4639"/>
    <w:rsid w:val="107D65E0"/>
    <w:rsid w:val="1212625B"/>
    <w:rsid w:val="1DA85110"/>
    <w:rsid w:val="25822292"/>
    <w:rsid w:val="280067E1"/>
    <w:rsid w:val="31FE3BEE"/>
    <w:rsid w:val="33055A0B"/>
    <w:rsid w:val="37313B18"/>
    <w:rsid w:val="43E91F39"/>
    <w:rsid w:val="44375266"/>
    <w:rsid w:val="4BD340D8"/>
    <w:rsid w:val="556077A4"/>
    <w:rsid w:val="575933F2"/>
    <w:rsid w:val="64D15E6F"/>
    <w:rsid w:val="71C122F6"/>
    <w:rsid w:val="78DD4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qFormat/>
    <w:uiPriority w:val="9"/>
    <w:pPr>
      <w:keepNext/>
      <w:keepLines/>
      <w:numPr>
        <w:ilvl w:val="0"/>
        <w:numId w:val="1"/>
      </w:numPr>
      <w:spacing w:before="240" w:after="120"/>
      <w:ind w:firstLineChars="0"/>
      <w:jc w:val="center"/>
      <w:outlineLvl w:val="1"/>
    </w:pPr>
    <w:rPr>
      <w:rFonts w:ascii="楷体" w:hAnsi="楷体" w:eastAsia="楷体" w:cs="Times New Roman"/>
      <w:b/>
      <w:bCs/>
      <w:sz w:val="30"/>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0" w:line="360" w:lineRule="auto"/>
      <w:ind w:left="0" w:leftChars="0" w:firstLine="420" w:firstLineChars="200"/>
      <w:textAlignment w:val="baseline"/>
    </w:pPr>
    <w:rPr>
      <w:rFonts w:hint="eastAsia" w:ascii="Calibri" w:hAnsi="Calibri" w:eastAsia="宋体" w:cs="Times New Roman"/>
      <w:sz w:val="24"/>
      <w:szCs w:val="24"/>
    </w:rPr>
  </w:style>
  <w:style w:type="paragraph" w:styleId="3">
    <w:name w:val="Body Text Indent"/>
    <w:basedOn w:val="1"/>
    <w:qFormat/>
    <w:uiPriority w:val="0"/>
    <w:pPr>
      <w:spacing w:after="120"/>
      <w:ind w:left="420" w:leftChars="200"/>
    </w:pPr>
  </w:style>
  <w:style w:type="paragraph" w:customStyle="1" w:styleId="7">
    <w:name w:val="ZW"/>
    <w:basedOn w:val="1"/>
    <w:qFormat/>
    <w:uiPriority w:val="0"/>
    <w:pPr>
      <w:tabs>
        <w:tab w:val="left" w:pos="7740"/>
      </w:tabs>
      <w:adjustRightInd/>
      <w:snapToGrid/>
      <w:spacing w:after="50" w:afterLines="50" w:line="360" w:lineRule="auto"/>
      <w:ind w:firstLine="200" w:firstLineChars="200"/>
    </w:pPr>
    <w:rPr>
      <w:rFonts w:ascii="Times New Roman" w:hAnsi="Times New Roman" w:eastAsia="宋体" w:cs="Times New Roman"/>
    </w:rPr>
  </w:style>
  <w:style w:type="paragraph" w:customStyle="1" w:styleId="8">
    <w:name w:val="正文1"/>
    <w:basedOn w:val="9"/>
    <w:qFormat/>
    <w:uiPriority w:val="0"/>
    <w:pPr>
      <w:spacing w:before="156" w:after="156"/>
      <w:ind w:firstLine="600"/>
    </w:pPr>
    <w:rPr>
      <w:rFonts w:ascii="Times New Roman" w:hAnsi="Times New Roman" w:eastAsia="仿宋_GB2312"/>
      <w:sz w:val="30"/>
      <w:szCs w:val="30"/>
      <w:shd w:val="clear" w:color="auto" w:fill="FFFFFF"/>
    </w:rPr>
  </w:style>
  <w:style w:type="paragraph" w:customStyle="1" w:styleId="9">
    <w:name w:val="_Style 8"/>
    <w:basedOn w:val="1"/>
    <w:next w:val="10"/>
    <w:qFormat/>
    <w:uiPriority w:val="0"/>
    <w:pPr>
      <w:widowControl w:val="0"/>
      <w:ind w:firstLine="420" w:firstLineChars="200"/>
      <w:jc w:val="both"/>
    </w:pPr>
    <w:rPr>
      <w:rFonts w:ascii="等线" w:hAnsi="等线" w:eastAsia="等线" w:cs="Times New Roman"/>
      <w:color w:val="000000"/>
      <w:kern w:val="2"/>
      <w:sz w:val="21"/>
      <w:szCs w:val="22"/>
    </w:rPr>
  </w:style>
  <w:style w:type="paragraph" w:customStyle="1" w:styleId="10">
    <w:name w:val="_Style 3"/>
    <w:basedOn w:val="1"/>
    <w:qFormat/>
    <w:uiPriority w:val="34"/>
    <w:pPr>
      <w:widowControl w:val="0"/>
      <w:autoSpaceDE w:val="0"/>
      <w:autoSpaceDN w:val="0"/>
      <w:adjustRightInd w:val="0"/>
      <w:ind w:left="0" w:leftChars="0"/>
    </w:pPr>
    <w:rPr>
      <w:rFonts w:eastAsia="宋体"/>
      <w:kern w:val="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15</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2026-02-24T05:57:10Z</dcterms:created>
  <dc:creator>Administrator</dc:creator>
  <cp:lastModifiedBy>lxm</cp:lastModifiedBy>
  <dcterms:modified xsi:type="dcterms:W3CDTF">2026-02-24T07:21:08Z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eyJoZGlkIjoiYmE3NGFmNzE3MjcwMDY1NDgxODAyMTg2YmRjN2JjYmMiLCJ1c2VySWQiOiIxMTczMzI2MDU5In0=</vt:lpwstr>
  </property>
  <property fmtid="{D5CDD505-2E9C-101B-9397-08002B2CF9AE}" pid="4" name="ICV">
    <vt:lpwstr>F5B4DFF7C73447F7801D12BE284E6BEC_12</vt:lpwstr>
  </property>
</Properties>
</file>