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6434B0">
      <w:pPr>
        <w:wordWrap w:val="0"/>
        <w:spacing w:before="200" w:after="0" w:line="1120" w:lineRule="atLeast"/>
        <w:jc w:val="center"/>
        <w:textAlignment w:val="baseline"/>
        <w:rPr>
          <w:rFonts w:hint="eastAsia"/>
          <w:sz w:val="82"/>
        </w:rPr>
      </w:pPr>
      <w:bookmarkStart w:id="0" w:name="_GoBack"/>
      <w:r>
        <w:rPr>
          <w:rFonts w:ascii="黑体" w:hAnsi="黑体" w:eastAsia="黑体" w:cs="黑体"/>
          <w:color w:val="000000"/>
          <w:sz w:val="82"/>
        </w:rPr>
        <w:t>《井陉县威州镇国土空间总体规划</w:t>
      </w:r>
    </w:p>
    <w:p w14:paraId="4F464723">
      <w:pPr>
        <w:wordWrap w:val="0"/>
        <w:spacing w:after="0" w:line="1120" w:lineRule="atLeast"/>
        <w:jc w:val="center"/>
        <w:textAlignment w:val="baseline"/>
        <w:rPr>
          <w:rFonts w:hint="eastAsia"/>
          <w:sz w:val="82"/>
        </w:rPr>
      </w:pPr>
      <w:r>
        <w:rPr>
          <w:rFonts w:ascii="黑体" w:hAnsi="黑体" w:eastAsia="黑体" w:cs="黑体"/>
          <w:color w:val="000000"/>
          <w:sz w:val="82"/>
        </w:rPr>
        <w:t>(2021-2035年)</w:t>
      </w:r>
      <w:r>
        <w:rPr>
          <w:rFonts w:hint="eastAsia" w:ascii="黑体" w:hAnsi="黑体" w:eastAsia="黑体" w:cs="黑体"/>
          <w:color w:val="000000"/>
          <w:sz w:val="82"/>
          <w:lang w:eastAsia="zh-CN"/>
        </w:rPr>
        <w:t>》</w:t>
      </w:r>
      <w:r>
        <w:rPr>
          <w:rFonts w:ascii="黑体" w:hAnsi="黑体" w:eastAsia="黑体" w:cs="黑体"/>
          <w:color w:val="000000"/>
          <w:sz w:val="82"/>
        </w:rPr>
        <w:t>批后公告</w:t>
      </w:r>
    </w:p>
    <w:bookmarkEnd w:id="0"/>
    <w:p w14:paraId="5623E5A7">
      <w:pPr>
        <w:wordWrap w:val="0"/>
        <w:spacing w:after="0" w:line="1200" w:lineRule="atLeast"/>
        <w:ind w:firstLine="1500"/>
        <w:jc w:val="both"/>
        <w:textAlignment w:val="baseline"/>
        <w:rPr>
          <w:rFonts w:hint="eastAsia"/>
          <w:sz w:val="61"/>
        </w:rPr>
      </w:pPr>
      <w:r>
        <w:rPr>
          <w:rFonts w:ascii="黑体" w:hAnsi="黑体" w:eastAsia="黑体" w:cs="黑体"/>
          <w:color w:val="000000"/>
          <w:sz w:val="61"/>
        </w:rPr>
        <w:t>《井陉县威州镇国土空间总体规划(2021-203</w:t>
      </w:r>
      <w:r>
        <w:rPr>
          <w:rFonts w:hint="eastAsia" w:ascii="黑体" w:hAnsi="黑体" w:eastAsia="黑体" w:cs="黑体"/>
          <w:color w:val="000000"/>
          <w:sz w:val="61"/>
        </w:rPr>
        <w:t>5</w:t>
      </w:r>
      <w:r>
        <w:rPr>
          <w:rFonts w:ascii="黑体" w:hAnsi="黑体" w:eastAsia="黑体" w:cs="黑体"/>
          <w:color w:val="000000"/>
          <w:sz w:val="61"/>
        </w:rPr>
        <w:t>年)》已于2025年6月30日获井陉县人民政府批准(井政〔</w:t>
      </w:r>
      <w:r>
        <w:rPr>
          <w:rFonts w:ascii="黑体" w:hAnsi="黑体" w:eastAsia="黑体" w:cs="黑体"/>
          <w:color w:val="000000"/>
          <w:sz w:val="61"/>
        </w:rPr>
        <w:t>2025〕63号)。本规划以习近平新时代中国特色社会主义思想为指导，全面贯彻落实党的二十大和二十届三中全会精神，深入贯彻习近平总书记视察河北重要讲话精神，认真落实县委、县政府各项部署，完整、准确、全面贯彻新发展理念，统筹发展和安全，服务和融入新发展格局，提升空间治理现代化水平，编制本规划。</w:t>
      </w:r>
    </w:p>
    <w:p w14:paraId="3A2E0CA3">
      <w:pPr>
        <w:wordWrap w:val="0"/>
        <w:spacing w:after="0" w:line="1200" w:lineRule="atLeast"/>
        <w:ind w:left="1220"/>
        <w:jc w:val="both"/>
        <w:textAlignment w:val="baseline"/>
        <w:rPr>
          <w:rFonts w:hint="eastAsia"/>
          <w:sz w:val="61"/>
        </w:rPr>
      </w:pPr>
      <w:r>
        <w:rPr>
          <w:rFonts w:ascii="黑体" w:hAnsi="黑体" w:eastAsia="黑体" w:cs="黑体"/>
          <w:color w:val="000000"/>
          <w:sz w:val="61"/>
        </w:rPr>
        <w:t>现将规划主要内容公布如下：</w:t>
      </w:r>
    </w:p>
    <w:p w14:paraId="13A7A24F">
      <w:pPr>
        <w:wordWrap w:val="0"/>
        <w:spacing w:before="340" w:after="0" w:line="840" w:lineRule="atLeast"/>
        <w:ind w:left="1220"/>
        <w:jc w:val="both"/>
        <w:textAlignment w:val="baseline"/>
        <w:rPr>
          <w:rFonts w:hint="eastAsia"/>
          <w:sz w:val="58"/>
        </w:rPr>
      </w:pPr>
      <w:r>
        <w:rPr>
          <w:rFonts w:ascii="黑体" w:hAnsi="黑体" w:eastAsia="黑体" w:cs="黑体"/>
          <w:b/>
          <w:color w:val="000000"/>
          <w:sz w:val="58"/>
        </w:rPr>
        <w:t>一、规划范围</w:t>
      </w:r>
    </w:p>
    <w:p w14:paraId="210A630E">
      <w:pPr>
        <w:wordWrap w:val="0"/>
        <w:spacing w:after="0" w:line="1200" w:lineRule="atLeast"/>
        <w:ind w:firstLine="1220"/>
        <w:jc w:val="both"/>
        <w:textAlignment w:val="baseline"/>
        <w:rPr>
          <w:rFonts w:hint="eastAsia"/>
          <w:color w:val="000000" w:themeColor="text1"/>
          <w:sz w:val="61"/>
          <w14:textFill>
            <w14:solidFill>
              <w14:schemeClr w14:val="tx1"/>
            </w14:solidFill>
          </w14:textFill>
        </w:rPr>
      </w:pPr>
      <w:r>
        <w:rPr>
          <w:rFonts w:ascii="黑体" w:hAnsi="黑体" w:eastAsia="黑体" w:cs="黑体"/>
          <w:color w:val="000000" w:themeColor="text1"/>
          <w:sz w:val="61"/>
          <w14:textFill>
            <w14:solidFill>
              <w14:schemeClr w14:val="tx1"/>
            </w14:solidFill>
          </w14:textFill>
        </w:rPr>
        <w:t>本规划范围分为镇域和镇政府驻地两个层次。镇域为全部行政区范围，面积为77.94平方千米，包含下辖23个行政村。镇政府驻地规划范围面积约225.23公顷。</w:t>
      </w:r>
    </w:p>
    <w:p w14:paraId="2686C5F6">
      <w:pPr>
        <w:wordWrap w:val="0"/>
        <w:spacing w:after="0" w:line="840" w:lineRule="atLeast"/>
        <w:ind w:left="1220"/>
        <w:jc w:val="both"/>
        <w:textAlignment w:val="baseline"/>
        <w:rPr>
          <w:rFonts w:hint="eastAsia"/>
          <w:sz w:val="58"/>
        </w:rPr>
      </w:pPr>
      <w:r>
        <w:rPr>
          <w:rFonts w:ascii="黑体" w:hAnsi="黑体" w:eastAsia="黑体" w:cs="黑体"/>
          <w:b/>
          <w:color w:val="000000"/>
          <w:sz w:val="58"/>
        </w:rPr>
        <w:t>二、规划期限</w:t>
      </w:r>
    </w:p>
    <w:p w14:paraId="1B6538D9">
      <w:pPr>
        <w:wordWrap w:val="0"/>
        <w:spacing w:after="0" w:line="1200" w:lineRule="atLeast"/>
        <w:ind w:right="260" w:firstLine="1220"/>
        <w:jc w:val="both"/>
        <w:textAlignment w:val="baseline"/>
        <w:rPr>
          <w:rFonts w:hint="eastAsia"/>
          <w:sz w:val="61"/>
        </w:rPr>
      </w:pPr>
      <w:r>
        <w:rPr>
          <w:rFonts w:ascii="黑体" w:hAnsi="黑体" w:eastAsia="黑体" w:cs="黑体"/>
          <w:color w:val="000000"/>
          <w:sz w:val="61"/>
        </w:rPr>
        <w:t>规划基期年为2020年，规划期限为2021-2035年，近期至2025年，远景展望至2050年。</w:t>
      </w:r>
    </w:p>
    <w:p w14:paraId="1542A571">
      <w:pPr>
        <w:wordWrap w:val="0"/>
        <w:spacing w:after="0" w:line="820" w:lineRule="atLeast"/>
        <w:ind w:left="1220"/>
        <w:jc w:val="both"/>
        <w:textAlignment w:val="baseline"/>
        <w:rPr>
          <w:rFonts w:hint="eastAsia"/>
          <w:sz w:val="58"/>
        </w:rPr>
      </w:pPr>
      <w:r>
        <w:rPr>
          <w:rFonts w:ascii="黑体" w:hAnsi="黑体" w:eastAsia="黑体" w:cs="黑体"/>
          <w:b/>
          <w:color w:val="000000"/>
          <w:sz w:val="58"/>
        </w:rPr>
        <w:t>三、规划定位</w:t>
      </w:r>
    </w:p>
    <w:p w14:paraId="38D193E7">
      <w:pPr>
        <w:wordWrap w:val="0"/>
        <w:spacing w:after="0" w:line="1200" w:lineRule="atLeast"/>
        <w:ind w:firstLine="1220"/>
        <w:jc w:val="both"/>
        <w:textAlignment w:val="baseline"/>
        <w:rPr>
          <w:rFonts w:hint="eastAsia"/>
          <w:sz w:val="61"/>
        </w:rPr>
      </w:pPr>
      <w:r>
        <w:rPr>
          <w:rFonts w:ascii="黑体" w:hAnsi="黑体" w:eastAsia="黑体" w:cs="黑体"/>
          <w:color w:val="000000"/>
          <w:sz w:val="61"/>
        </w:rPr>
        <w:t>按照《井陉县国土空间总体规划(2021-2035)》对威州镇的传导要求，以“富硒农业和特色水产养殖”为特色打造富硒、康养、旅游高</w:t>
      </w:r>
      <w:r>
        <w:rPr>
          <w:rFonts w:hint="eastAsia" w:ascii="黑体" w:hAnsi="黑体" w:eastAsia="黑体" w:cs="黑体"/>
          <w:color w:val="000000"/>
          <w:sz w:val="61"/>
        </w:rPr>
        <w:t>地</w:t>
      </w:r>
      <w:r>
        <w:rPr>
          <w:rFonts w:ascii="黑体" w:hAnsi="黑体" w:eastAsia="黑体" w:cs="黑体"/>
          <w:color w:val="000000"/>
          <w:sz w:val="61"/>
        </w:rPr>
        <w:t>，河北省绿色矿山示范区。</w:t>
      </w:r>
    </w:p>
    <w:p w14:paraId="5B23D311">
      <w:pPr>
        <w:rPr>
          <w:rFonts w:hint="eastAsia"/>
        </w:rPr>
      </w:pPr>
    </w:p>
    <w:p w14:paraId="08651E54">
      <w:pPr>
        <w:rPr>
          <w:rFonts w:hint="eastAsia"/>
        </w:rPr>
        <w:sectPr>
          <w:pgSz w:w="22400" w:h="31680"/>
          <w:pgMar w:top="2700" w:right="3360" w:bottom="2700" w:left="3360" w:header="2400" w:footer="2400" w:gutter="0"/>
          <w:cols w:space="720" w:num="1"/>
        </w:sectPr>
      </w:pPr>
    </w:p>
    <w:p w14:paraId="2A492641">
      <w:pPr>
        <w:wordWrap w:val="0"/>
        <w:spacing w:before="300" w:after="0" w:line="840" w:lineRule="atLeast"/>
        <w:ind w:left="1220"/>
        <w:jc w:val="both"/>
        <w:textAlignment w:val="baseline"/>
        <w:rPr>
          <w:rFonts w:hint="eastAsia"/>
          <w:sz w:val="58"/>
        </w:rPr>
      </w:pPr>
      <w:r>
        <w:rPr>
          <w:rFonts w:ascii="黑体" w:hAnsi="黑体" w:eastAsia="黑体" w:cs="黑体"/>
          <w:b/>
          <w:color w:val="000000"/>
          <w:sz w:val="58"/>
        </w:rPr>
        <w:t>四、规划目标</w:t>
      </w:r>
    </w:p>
    <w:p w14:paraId="534D45C2">
      <w:pPr>
        <w:wordWrap w:val="0"/>
        <w:spacing w:after="0" w:line="1220" w:lineRule="atLeast"/>
        <w:ind w:right="340" w:firstLine="1200"/>
        <w:jc w:val="both"/>
        <w:textAlignment w:val="baseline"/>
        <w:rPr>
          <w:rFonts w:hint="eastAsia"/>
          <w:sz w:val="60"/>
        </w:rPr>
      </w:pPr>
      <w:r>
        <w:rPr>
          <w:rFonts w:ascii="黑体" w:hAnsi="黑体" w:eastAsia="黑体" w:cs="黑体"/>
          <w:color w:val="000000"/>
          <w:sz w:val="60"/>
        </w:rPr>
        <w:t>到2025年，搭建国土空间保护新格局，乡村振兴取得初步成果，农业产业链不断延长，镇政府驻地建设品质和服务配套不断提升，农村人居环境整治基本完成。</w:t>
      </w:r>
    </w:p>
    <w:p w14:paraId="5679FB84">
      <w:pPr>
        <w:wordWrap w:val="0"/>
        <w:spacing w:after="0" w:line="1220" w:lineRule="atLeast"/>
        <w:ind w:right="380" w:firstLine="1200"/>
        <w:jc w:val="both"/>
        <w:textAlignment w:val="baseline"/>
        <w:rPr>
          <w:rFonts w:hint="eastAsia"/>
          <w:sz w:val="60"/>
        </w:rPr>
      </w:pPr>
      <w:r>
        <w:rPr>
          <w:rFonts w:ascii="黑体" w:hAnsi="黑体" w:eastAsia="黑体" w:cs="黑体"/>
          <w:color w:val="000000"/>
          <w:sz w:val="60"/>
        </w:rPr>
        <w:t>到2035年，全面形成集约高效、城乡融合的国土空间保护利用新格局，打造特色农业、现代旅游、新能源及传统产业转型融合发展的服务型城镇。</w:t>
      </w:r>
    </w:p>
    <w:p w14:paraId="20B2E134">
      <w:pPr>
        <w:wordWrap w:val="0"/>
        <w:spacing w:after="0" w:line="880" w:lineRule="atLeast"/>
        <w:ind w:left="1200"/>
        <w:jc w:val="both"/>
        <w:textAlignment w:val="baseline"/>
        <w:rPr>
          <w:rFonts w:hint="eastAsia"/>
          <w:sz w:val="58"/>
        </w:rPr>
      </w:pPr>
      <w:r>
        <w:rPr>
          <w:rFonts w:ascii="黑体" w:hAnsi="黑体" w:eastAsia="黑体" w:cs="黑体"/>
          <w:b/>
          <w:color w:val="000000"/>
          <w:sz w:val="58"/>
        </w:rPr>
        <w:t>五、落实三区三线</w:t>
      </w:r>
    </w:p>
    <w:p w14:paraId="09765119">
      <w:pPr>
        <w:wordWrap w:val="0"/>
        <w:spacing w:after="0" w:line="1220" w:lineRule="atLeast"/>
        <w:ind w:firstLine="1200"/>
        <w:jc w:val="both"/>
        <w:textAlignment w:val="baseline"/>
        <w:rPr>
          <w:rFonts w:hint="eastAsia"/>
          <w:sz w:val="60"/>
        </w:rPr>
      </w:pPr>
      <w:r>
        <w:rPr>
          <w:rFonts w:ascii="黑体" w:hAnsi="黑体" w:eastAsia="黑体" w:cs="黑体"/>
          <w:sz w:val="60"/>
        </w:rPr>
        <w:t>坚持耕地保护优先，严格落实上位规划确定的耕地保有量和永久基本农田保护任务，全镇域耕地保有量不低于18.33万亩，其中永久基本农田保护面积不低于17.39万亩；严格落实上位规划确定的生态保护红线，全镇域生态保护红线不低于12.06平方千米；严格落实上位规划确定的城镇开发边界，全镇域城镇开发边界规模为2.67公顷。</w:t>
      </w:r>
    </w:p>
    <w:p w14:paraId="1B11F151">
      <w:pPr>
        <w:wordWrap w:val="0"/>
        <w:spacing w:after="0" w:line="840" w:lineRule="atLeast"/>
        <w:ind w:left="1200"/>
        <w:jc w:val="both"/>
        <w:textAlignment w:val="baseline"/>
        <w:rPr>
          <w:rFonts w:hint="eastAsia"/>
          <w:sz w:val="58"/>
        </w:rPr>
      </w:pPr>
      <w:r>
        <w:rPr>
          <w:rFonts w:ascii="黑体" w:hAnsi="黑体" w:eastAsia="黑体" w:cs="黑体"/>
          <w:b/>
          <w:color w:val="000000"/>
          <w:sz w:val="58"/>
        </w:rPr>
        <w:t>六、落实主体功能区</w:t>
      </w:r>
    </w:p>
    <w:p w14:paraId="1A6383F9">
      <w:pPr>
        <w:wordWrap w:val="0"/>
        <w:spacing w:after="0" w:line="1220" w:lineRule="atLeast"/>
        <w:ind w:right="380" w:firstLine="1200"/>
        <w:jc w:val="both"/>
        <w:textAlignment w:val="baseline"/>
        <w:rPr>
          <w:rFonts w:hint="eastAsia"/>
          <w:sz w:val="60"/>
        </w:rPr>
      </w:pPr>
      <w:r>
        <w:rPr>
          <w:rFonts w:ascii="黑体" w:hAnsi="黑体" w:eastAsia="黑体" w:cs="黑体"/>
          <w:color w:val="000000"/>
          <w:sz w:val="60"/>
        </w:rPr>
        <w:t>落实上位规划传导要求，威州镇为重点生态功能区。应重点加强水源地保护，保护自然植被，提升水源涵养与水土保持功能。加大矿山整治和生态修复力度，推进造林绿化，湿地和草地保护修复等生态功能，提升“林草”质量。适度发展文化旅游、休闲度假、康复保健等生态休闲产业。</w:t>
      </w:r>
    </w:p>
    <w:p w14:paraId="76CAAF3C">
      <w:pPr>
        <w:wordWrap w:val="0"/>
        <w:spacing w:after="0" w:line="840" w:lineRule="atLeast"/>
        <w:ind w:left="1200"/>
        <w:jc w:val="both"/>
        <w:textAlignment w:val="baseline"/>
        <w:rPr>
          <w:rFonts w:hint="eastAsia"/>
          <w:sz w:val="58"/>
        </w:rPr>
      </w:pPr>
      <w:r>
        <w:rPr>
          <w:rFonts w:ascii="黑体" w:hAnsi="黑体" w:eastAsia="黑体" w:cs="黑体"/>
          <w:b/>
          <w:color w:val="000000"/>
          <w:sz w:val="58"/>
        </w:rPr>
        <w:t>七、构建国土空间总体格局</w:t>
      </w:r>
    </w:p>
    <w:p w14:paraId="58B19173">
      <w:pPr>
        <w:rPr>
          <w:rFonts w:hint="eastAsia"/>
        </w:rPr>
      </w:pPr>
    </w:p>
    <w:p w14:paraId="2F25BDF9">
      <w:pPr>
        <w:rPr>
          <w:rFonts w:hint="eastAsia"/>
        </w:rPr>
        <w:sectPr>
          <w:headerReference r:id="rId5" w:type="default"/>
          <w:footerReference r:id="rId6" w:type="default"/>
          <w:pgSz w:w="22400" w:h="31680"/>
          <w:pgMar w:top="2700" w:right="3180" w:bottom="2700" w:left="3180" w:header="2400" w:footer="2400" w:gutter="0"/>
          <w:cols w:space="720" w:num="1"/>
        </w:sectPr>
      </w:pPr>
    </w:p>
    <w:p w14:paraId="55F5C116">
      <w:pPr>
        <w:wordWrap w:val="0"/>
        <w:spacing w:before="280" w:after="0" w:line="1200" w:lineRule="atLeast"/>
        <w:ind w:left="1200"/>
        <w:jc w:val="both"/>
        <w:textAlignment w:val="baseline"/>
        <w:rPr>
          <w:rFonts w:hint="eastAsia"/>
          <w:sz w:val="60"/>
        </w:rPr>
      </w:pPr>
      <w:r>
        <w:rPr>
          <w:rFonts w:ascii="黑体" w:hAnsi="黑体" w:eastAsia="黑体" w:cs="黑体"/>
          <w:color w:val="000000"/>
          <w:sz w:val="60"/>
        </w:rPr>
        <w:t>规划构建“一核、一带、多点”的国土空间总体格局。</w:t>
      </w:r>
    </w:p>
    <w:p w14:paraId="4FFD5BB5">
      <w:pPr>
        <w:wordWrap w:val="0"/>
        <w:spacing w:after="0" w:line="1200" w:lineRule="atLeast"/>
        <w:ind w:right="20" w:firstLine="1200"/>
        <w:jc w:val="both"/>
        <w:textAlignment w:val="baseline"/>
        <w:rPr>
          <w:rFonts w:hint="eastAsia"/>
          <w:sz w:val="60"/>
        </w:rPr>
      </w:pPr>
      <w:r>
        <w:rPr>
          <w:rFonts w:ascii="黑体" w:hAnsi="黑体" w:eastAsia="黑体" w:cs="黑体"/>
          <w:color w:val="000000"/>
          <w:sz w:val="60"/>
        </w:rPr>
        <w:t>一核：威州镇政府驻地，为全镇综合服务中心，提升公共服务和服务功能；</w:t>
      </w:r>
    </w:p>
    <w:p w14:paraId="45B40C1D">
      <w:pPr>
        <w:wordWrap w:val="0"/>
        <w:spacing w:after="0" w:line="1200" w:lineRule="atLeast"/>
        <w:ind w:left="1200"/>
        <w:jc w:val="both"/>
        <w:textAlignment w:val="baseline"/>
        <w:rPr>
          <w:rFonts w:hint="eastAsia"/>
          <w:sz w:val="60"/>
        </w:rPr>
      </w:pPr>
      <w:r>
        <w:rPr>
          <w:rFonts w:ascii="黑体" w:hAnsi="黑体" w:eastAsia="黑体" w:cs="黑体"/>
          <w:color w:val="000000"/>
          <w:sz w:val="60"/>
        </w:rPr>
        <w:t>一带：南北向的冶河生态发展轴。</w:t>
      </w:r>
    </w:p>
    <w:p w14:paraId="27419AD0">
      <w:pPr>
        <w:wordWrap w:val="0"/>
        <w:spacing w:after="0" w:line="1200" w:lineRule="atLeast"/>
        <w:ind w:right="20" w:firstLine="1200"/>
        <w:jc w:val="both"/>
        <w:textAlignment w:val="baseline"/>
        <w:rPr>
          <w:rFonts w:hint="eastAsia"/>
          <w:sz w:val="60"/>
        </w:rPr>
      </w:pPr>
      <w:r>
        <w:rPr>
          <w:rFonts w:ascii="黑体" w:hAnsi="黑体" w:eastAsia="黑体" w:cs="黑体"/>
          <w:color w:val="000000"/>
          <w:sz w:val="60"/>
        </w:rPr>
        <w:t>多点：根据产业布局现状村庄发展基础条件，庄子头村作为东北部带动中心，南平望村作为东南部带动中心，威河西村作为西部带动中心，通过公路轴线作为连接，辐射周边村庄，带动经济发展。</w:t>
      </w:r>
    </w:p>
    <w:p w14:paraId="1ADCF515">
      <w:pPr>
        <w:wordWrap w:val="0"/>
        <w:spacing w:after="0" w:line="820" w:lineRule="atLeast"/>
        <w:ind w:left="1200"/>
        <w:jc w:val="both"/>
        <w:textAlignment w:val="baseline"/>
        <w:rPr>
          <w:rFonts w:hint="eastAsia"/>
          <w:sz w:val="59"/>
        </w:rPr>
      </w:pPr>
      <w:r>
        <w:rPr>
          <w:rFonts w:ascii="黑体" w:hAnsi="黑体" w:eastAsia="黑体" w:cs="黑体"/>
          <w:b/>
          <w:color w:val="000000"/>
          <w:sz w:val="59"/>
        </w:rPr>
        <w:t>八、划定国土空间规划分区</w:t>
      </w:r>
    </w:p>
    <w:p w14:paraId="29B2E01A">
      <w:pPr>
        <w:wordWrap w:val="0"/>
        <w:spacing w:after="0" w:line="1200" w:lineRule="atLeast"/>
        <w:ind w:right="20" w:firstLine="1200"/>
        <w:jc w:val="both"/>
        <w:textAlignment w:val="baseline"/>
        <w:rPr>
          <w:rFonts w:hint="eastAsia"/>
          <w:sz w:val="60"/>
        </w:rPr>
      </w:pPr>
      <w:r>
        <w:rPr>
          <w:rFonts w:ascii="黑体" w:hAnsi="黑体" w:eastAsia="黑体" w:cs="黑体"/>
          <w:color w:val="000000"/>
          <w:sz w:val="60"/>
        </w:rPr>
        <w:t>落实上位规划确定的规划分区，全镇域划分生态保护区、生态控制区、农田保护区、矿产能源发展区、城镇发展区、乡村发展区六类一级规划分区，城镇发展区细化为居住生活区、商业商务区、工业发展区等二级规划分区，乡村发展区细化为村庄建设区、一般农业区等二级规划分区。严格落实县级规划确定的各类约束性指标，以资源利用为主导方式，遵循农业、生态、建设空间统筹的基本原则，统筹安排各类用地。</w:t>
      </w:r>
    </w:p>
    <w:p w14:paraId="4E4C0522">
      <w:pPr>
        <w:wordWrap w:val="0"/>
        <w:spacing w:after="0" w:line="840" w:lineRule="atLeast"/>
        <w:ind w:left="1200"/>
        <w:jc w:val="both"/>
        <w:textAlignment w:val="baseline"/>
        <w:rPr>
          <w:rFonts w:hint="eastAsia"/>
          <w:sz w:val="59"/>
        </w:rPr>
      </w:pPr>
      <w:r>
        <w:rPr>
          <w:rFonts w:ascii="黑体" w:hAnsi="黑体" w:eastAsia="黑体" w:cs="黑体"/>
          <w:b/>
          <w:color w:val="000000"/>
          <w:sz w:val="59"/>
        </w:rPr>
        <w:t>九、优化空间布局</w:t>
      </w:r>
    </w:p>
    <w:p w14:paraId="556DD253">
      <w:pPr>
        <w:wordWrap w:val="0"/>
        <w:spacing w:after="0" w:line="1200" w:lineRule="atLeast"/>
        <w:ind w:right="20" w:firstLine="1200"/>
        <w:jc w:val="both"/>
        <w:textAlignment w:val="baseline"/>
        <w:rPr>
          <w:rFonts w:hint="eastAsia"/>
          <w:sz w:val="61"/>
        </w:rPr>
      </w:pPr>
      <w:r>
        <w:rPr>
          <w:rFonts w:ascii="黑体" w:hAnsi="黑体" w:eastAsia="黑体" w:cs="黑体"/>
          <w:color w:val="000000"/>
          <w:sz w:val="60"/>
        </w:rPr>
        <w:t>明确耕地保护主体责任，严格耕地用途管制，明确农业发展区域，培育区域特色鲜明、优势突出、乡域特色优势产业。强化自然保护地管理，加大林业资源保护力度，强化矿产资源利用。综合考虑人口规模、经济职能、辐射</w:t>
      </w:r>
      <w:r>
        <w:rPr>
          <w:rFonts w:ascii="黑体" w:hAnsi="黑体" w:eastAsia="黑体" w:cs="黑体"/>
          <w:color w:val="000000"/>
          <w:sz w:val="61"/>
        </w:rPr>
        <w:t>范围等因素，规划确定等级结构，</w:t>
      </w:r>
      <w:r>
        <w:rPr>
          <w:rFonts w:hint="eastAsia" w:ascii="黑体" w:hAnsi="黑体" w:eastAsia="黑体" w:cs="黑体"/>
          <w:color w:val="000000"/>
          <w:sz w:val="61"/>
        </w:rPr>
        <w:t>即</w:t>
      </w:r>
      <w:r>
        <w:rPr>
          <w:rFonts w:ascii="黑体" w:hAnsi="黑体" w:eastAsia="黑体" w:cs="黑体"/>
          <w:sz w:val="61"/>
        </w:rPr>
        <w:t>1个镇政府驻地</w:t>
      </w:r>
      <w:r>
        <w:rPr>
          <w:rFonts w:hint="eastAsia" w:ascii="黑体" w:hAnsi="黑体" w:eastAsia="黑体" w:cs="黑体"/>
          <w:sz w:val="61"/>
        </w:rPr>
        <w:t>（包括北岸、东街、西街、寨湾、南沟、东头）</w:t>
      </w:r>
      <w:r>
        <w:rPr>
          <w:rFonts w:ascii="黑体" w:hAnsi="黑体" w:eastAsia="黑体" w:cs="黑体"/>
          <w:sz w:val="61"/>
        </w:rPr>
        <w:t>，3个中心村</w:t>
      </w:r>
      <w:r>
        <w:rPr>
          <w:rFonts w:hint="eastAsia" w:ascii="黑体" w:hAnsi="黑体" w:eastAsia="黑体" w:cs="黑体"/>
          <w:sz w:val="61"/>
        </w:rPr>
        <w:t>（庄子头、威河西、南平望）</w:t>
      </w:r>
      <w:r>
        <w:rPr>
          <w:rFonts w:ascii="黑体" w:hAnsi="黑体" w:eastAsia="黑体" w:cs="黑体"/>
          <w:sz w:val="61"/>
        </w:rPr>
        <w:t>，</w:t>
      </w:r>
      <w:r>
        <w:rPr>
          <w:rFonts w:ascii="黑体" w:hAnsi="黑体" w:eastAsia="黑体" w:cs="黑体"/>
          <w:color w:val="000000"/>
          <w:sz w:val="61"/>
        </w:rPr>
        <w:t>14个基层村；严格控制城镇建设用地总量，规划全镇城镇建设用地270.88公顷，统筹划定村庄建设边界，合理确定镇域建设用地规模。</w:t>
      </w:r>
    </w:p>
    <w:p w14:paraId="712AA659">
      <w:pPr>
        <w:wordWrap w:val="0"/>
        <w:spacing w:after="0" w:line="840" w:lineRule="atLeast"/>
        <w:ind w:left="1240"/>
        <w:jc w:val="both"/>
        <w:textAlignment w:val="baseline"/>
        <w:rPr>
          <w:rFonts w:hint="eastAsia"/>
          <w:sz w:val="59"/>
        </w:rPr>
      </w:pPr>
      <w:r>
        <w:rPr>
          <w:rFonts w:ascii="黑体" w:hAnsi="黑体" w:eastAsia="黑体" w:cs="黑体"/>
          <w:b/>
          <w:color w:val="000000"/>
          <w:sz w:val="59"/>
        </w:rPr>
        <w:t>十、历史文化保护和风貌塑造</w:t>
      </w:r>
    </w:p>
    <w:p w14:paraId="0C3C8944">
      <w:pPr>
        <w:wordWrap w:val="0"/>
        <w:spacing w:after="0" w:line="1200" w:lineRule="atLeast"/>
        <w:ind w:right="20" w:firstLine="1200"/>
        <w:jc w:val="both"/>
        <w:textAlignment w:val="baseline"/>
        <w:rPr>
          <w:rFonts w:hint="eastAsia"/>
          <w:sz w:val="61"/>
        </w:rPr>
      </w:pPr>
      <w:r>
        <w:rPr>
          <w:rFonts w:ascii="黑体" w:hAnsi="黑体" w:eastAsia="黑体" w:cs="黑体"/>
          <w:color w:val="000000"/>
          <w:sz w:val="61"/>
        </w:rPr>
        <w:t>构建历史文化保护体系，加强文物保护单位保护，严格落实文物保护单位井陉古驿道、挂云山六壮士跳崖遗址</w:t>
      </w:r>
      <w:r>
        <w:rPr>
          <w:rFonts w:hint="eastAsia" w:ascii="黑体" w:hAnsi="黑体" w:eastAsia="黑体" w:cs="黑体"/>
          <w:color w:val="000000"/>
          <w:sz w:val="61"/>
          <w:lang w:eastAsia="zh-CN"/>
        </w:rPr>
        <w:t>、</w:t>
      </w:r>
      <w:r>
        <w:rPr>
          <w:rFonts w:ascii="黑体" w:hAnsi="黑体" w:eastAsia="黑体" w:cs="黑体"/>
          <w:color w:val="000000"/>
          <w:sz w:val="61"/>
        </w:rPr>
        <w:t>坡头古墓群、北岸墓群的保护范围和建设控制地带，推进非物质文化遗产保护。</w:t>
      </w:r>
    </w:p>
    <w:p w14:paraId="096A9C98">
      <w:pPr>
        <w:wordWrap w:val="0"/>
        <w:spacing w:after="0" w:line="1200" w:lineRule="atLeast"/>
        <w:ind w:left="60" w:right="20" w:firstLine="1200"/>
        <w:jc w:val="both"/>
        <w:textAlignment w:val="baseline"/>
        <w:rPr>
          <w:rFonts w:hint="eastAsia"/>
          <w:sz w:val="61"/>
        </w:rPr>
      </w:pPr>
      <w:r>
        <w:rPr>
          <w:rFonts w:ascii="黑体" w:hAnsi="黑体" w:eastAsia="黑体" w:cs="黑体"/>
          <w:color w:val="000000"/>
          <w:sz w:val="61"/>
        </w:rPr>
        <w:t>山地田园风貌区应保护山体、控制开发，凸显“自然山体、自由村落”的布局特色，塑造绿色生态的山地村庄。</w:t>
      </w:r>
    </w:p>
    <w:p w14:paraId="5A06311C">
      <w:pPr>
        <w:wordWrap w:val="0"/>
        <w:spacing w:after="0" w:line="840" w:lineRule="atLeast"/>
        <w:ind w:left="1240"/>
        <w:jc w:val="both"/>
        <w:textAlignment w:val="baseline"/>
        <w:rPr>
          <w:rFonts w:hint="eastAsia"/>
          <w:sz w:val="59"/>
        </w:rPr>
      </w:pPr>
      <w:r>
        <w:rPr>
          <w:rFonts w:ascii="黑体" w:hAnsi="黑体" w:eastAsia="黑体" w:cs="黑体"/>
          <w:b/>
          <w:color w:val="000000"/>
          <w:sz w:val="59"/>
        </w:rPr>
        <w:t>十一、基础设施和综合防灾</w:t>
      </w:r>
    </w:p>
    <w:p w14:paraId="3A96DA5C">
      <w:pPr>
        <w:wordWrap w:val="0"/>
        <w:spacing w:after="0" w:line="1200" w:lineRule="atLeast"/>
        <w:ind w:right="20" w:firstLine="1240"/>
        <w:jc w:val="both"/>
        <w:textAlignment w:val="baseline"/>
        <w:rPr>
          <w:rFonts w:hint="eastAsia"/>
        </w:rPr>
      </w:pPr>
      <w:r>
        <w:rPr>
          <w:rFonts w:ascii="黑体" w:hAnsi="黑体" w:eastAsia="黑体" w:cs="黑体"/>
          <w:color w:val="000000"/>
          <w:sz w:val="61"/>
        </w:rPr>
        <w:t>完善各类基础设施建设，提升基础设施保障能力和服务水平。优化镇路网布局，完善通村公路建设，加强镇政府驻地与各村的连通，通村公路与干线公路网的连通，提升乡村道路覆盖广度。补充乡村基础设施短板，建设污水收集处理系统，打造安全可靠电网，完善多源互补能源供应体系，提升信息基础设施服务水平，健全垃圾分类收运体系，明确自然灾害风险重点防控区域，划定洪涝等风险控制线，增强抵御灾害事故和处置突发事件能力，提高镇空间安全韧性。</w:t>
      </w:r>
    </w:p>
    <w:p w14:paraId="4843D76F">
      <w:pPr>
        <w:rPr>
          <w:rFonts w:hint="eastAsia"/>
        </w:rPr>
        <w:sectPr>
          <w:headerReference r:id="rId7" w:type="default"/>
          <w:footerReference r:id="rId8" w:type="default"/>
          <w:pgSz w:w="22400" w:h="31680"/>
          <w:pgMar w:top="2700" w:right="3360" w:bottom="2700" w:left="3360" w:header="2400" w:footer="2400" w:gutter="0"/>
          <w:cols w:space="720" w:num="1"/>
        </w:sectPr>
      </w:pPr>
    </w:p>
    <w:p w14:paraId="6DAC9942">
      <w:pPr>
        <w:wordWrap w:val="0"/>
        <w:spacing w:before="280" w:after="0" w:line="840" w:lineRule="atLeast"/>
        <w:ind w:left="1220"/>
        <w:jc w:val="both"/>
        <w:textAlignment w:val="baseline"/>
        <w:rPr>
          <w:rFonts w:hint="eastAsia"/>
          <w:sz w:val="59"/>
        </w:rPr>
      </w:pPr>
      <w:r>
        <w:rPr>
          <w:rFonts w:ascii="黑体" w:hAnsi="黑体" w:eastAsia="黑体" w:cs="黑体"/>
          <w:b/>
          <w:color w:val="000000"/>
          <w:sz w:val="59"/>
        </w:rPr>
        <w:t>十二、镇政府驻地</w:t>
      </w:r>
    </w:p>
    <w:p w14:paraId="11807450">
      <w:pPr>
        <w:wordWrap w:val="0"/>
        <w:spacing w:after="0" w:line="1180" w:lineRule="atLeast"/>
        <w:ind w:firstLine="1220"/>
        <w:jc w:val="both"/>
        <w:textAlignment w:val="baseline"/>
        <w:rPr>
          <w:rFonts w:hint="eastAsia"/>
          <w:sz w:val="60"/>
        </w:rPr>
      </w:pPr>
      <w:r>
        <w:rPr>
          <w:rFonts w:ascii="黑体" w:hAnsi="黑体" w:eastAsia="黑体" w:cs="黑体"/>
          <w:color w:val="000000"/>
          <w:sz w:val="60"/>
        </w:rPr>
        <w:t>结合山水格局和地方文化特色，规划建设“绿野为基、青山为屏、碧水为脉、古今辉映”的山区特色小城镇。规划形成“两轴、多点”景观风貌系统。</w:t>
      </w:r>
    </w:p>
    <w:p w14:paraId="07FAD3F1">
      <w:pPr>
        <w:wordWrap w:val="0"/>
        <w:spacing w:after="0" w:line="1180" w:lineRule="atLeast"/>
        <w:ind w:left="1220"/>
        <w:jc w:val="both"/>
        <w:textAlignment w:val="baseline"/>
        <w:rPr>
          <w:rFonts w:hint="eastAsia"/>
          <w:sz w:val="60"/>
        </w:rPr>
      </w:pPr>
      <w:r>
        <w:rPr>
          <w:rFonts w:ascii="黑体" w:hAnsi="黑体" w:eastAsia="黑体" w:cs="黑体"/>
          <w:color w:val="000000"/>
          <w:sz w:val="60"/>
        </w:rPr>
        <w:t>“两轴”指沿110乡道、113乡道建设绿化带；</w:t>
      </w:r>
    </w:p>
    <w:p w14:paraId="3CA184D7">
      <w:pPr>
        <w:wordWrap w:val="0"/>
        <w:spacing w:after="0" w:line="1180" w:lineRule="atLeast"/>
        <w:ind w:right="240" w:firstLine="1220"/>
        <w:jc w:val="both"/>
        <w:textAlignment w:val="baseline"/>
        <w:rPr>
          <w:rFonts w:hint="eastAsia"/>
          <w:sz w:val="60"/>
        </w:rPr>
      </w:pPr>
      <w:r>
        <w:rPr>
          <w:rFonts w:ascii="黑体" w:hAnsi="黑体" w:eastAsia="黑体" w:cs="黑体"/>
          <w:color w:val="000000"/>
          <w:sz w:val="60"/>
        </w:rPr>
        <w:t>“多点”指在镇区建设中利用居住区中的闲置地和边角地块建设小型街头绿地，形成镇区中多个绿化点。</w:t>
      </w:r>
    </w:p>
    <w:p w14:paraId="1B72001A">
      <w:pPr>
        <w:wordWrap w:val="0"/>
        <w:spacing w:after="0" w:line="840" w:lineRule="atLeast"/>
        <w:ind w:left="1220"/>
        <w:jc w:val="both"/>
        <w:textAlignment w:val="baseline"/>
        <w:rPr>
          <w:rFonts w:hint="eastAsia"/>
          <w:sz w:val="59"/>
        </w:rPr>
      </w:pPr>
      <w:r>
        <w:rPr>
          <w:rFonts w:ascii="黑体" w:hAnsi="黑体" w:eastAsia="黑体" w:cs="黑体"/>
          <w:b/>
          <w:color w:val="000000"/>
          <w:sz w:val="59"/>
        </w:rPr>
        <w:t>十三、规划传导和实施保障</w:t>
      </w:r>
    </w:p>
    <w:p w14:paraId="7F7AB0AB">
      <w:pPr>
        <w:wordWrap w:val="0"/>
        <w:spacing w:after="0" w:line="1180" w:lineRule="atLeast"/>
        <w:ind w:right="220" w:firstLine="1220"/>
        <w:jc w:val="both"/>
        <w:textAlignment w:val="baseline"/>
        <w:rPr>
          <w:rFonts w:hint="eastAsia"/>
          <w:sz w:val="60"/>
        </w:rPr>
      </w:pPr>
      <w:r>
        <w:rPr>
          <w:rFonts w:ascii="黑体" w:hAnsi="黑体" w:eastAsia="黑体" w:cs="黑体"/>
          <w:color w:val="000000"/>
          <w:sz w:val="60"/>
        </w:rPr>
        <w:t>对上位规划的落实。落实县国土空间总体规划确定的职能定位、耕地保有量、永久基本农田保护面积、生态保护红线面积、城镇开发边界扩展倍数等约束性指标，“三区三线”和重大基础设施、生态廊道等空间布局。</w:t>
      </w:r>
    </w:p>
    <w:p w14:paraId="20D89E6A">
      <w:pPr>
        <w:wordWrap w:val="0"/>
        <w:spacing w:after="0" w:line="1180" w:lineRule="atLeast"/>
        <w:ind w:right="220" w:firstLine="1220"/>
        <w:jc w:val="both"/>
        <w:textAlignment w:val="baseline"/>
        <w:rPr>
          <w:rFonts w:hint="eastAsia"/>
          <w:sz w:val="60"/>
        </w:rPr>
      </w:pPr>
      <w:r>
        <w:rPr>
          <w:rFonts w:ascii="黑体" w:hAnsi="黑体" w:eastAsia="黑体" w:cs="黑体"/>
          <w:color w:val="000000"/>
          <w:sz w:val="60"/>
        </w:rPr>
        <w:t>对详细规划传导。确定城镇编制单元3个，村庄规划编制纳入“通则式”村庄规划管理。依据河北省“通则式”村庄规划管理规定要求，制定威州镇“通则式”村庄规划管理规定，包括明确村庄建设边界以及“三区三线”自然灾害风险防控线、历史文化保护线和风貌特色等控制引导要求。</w:t>
      </w:r>
    </w:p>
    <w:p w14:paraId="3141F996">
      <w:pPr>
        <w:wordWrap w:val="0"/>
        <w:spacing w:after="0" w:line="1180" w:lineRule="atLeast"/>
        <w:ind w:right="220" w:firstLine="1220"/>
        <w:jc w:val="both"/>
        <w:textAlignment w:val="baseline"/>
        <w:rPr>
          <w:rFonts w:hint="eastAsia"/>
          <w:sz w:val="60"/>
        </w:rPr>
      </w:pPr>
      <w:r>
        <w:rPr>
          <w:rFonts w:ascii="黑体" w:hAnsi="黑体" w:eastAsia="黑体" w:cs="黑体"/>
          <w:color w:val="000000"/>
          <w:sz w:val="60"/>
        </w:rPr>
        <w:t>加强国土空间用途管制。严格依据乡镇国土空间总体规划，实施国土空间用途管制。依据国土空间规划分区，统筹全域、全类型、多层次自然资源要素，统筹存量和增量，加强镇村空间用途管制。</w:t>
      </w:r>
    </w:p>
    <w:p w14:paraId="4B10C85B">
      <w:pPr>
        <w:rPr>
          <w:rFonts w:hint="eastAsia"/>
        </w:rPr>
      </w:pPr>
    </w:p>
    <w:p w14:paraId="5DE3353B">
      <w:pPr>
        <w:rPr>
          <w:rFonts w:hint="eastAsia"/>
        </w:rPr>
        <w:sectPr>
          <w:headerReference r:id="rId9" w:type="default"/>
          <w:footerReference r:id="rId10" w:type="default"/>
          <w:pgSz w:w="22400" w:h="31680"/>
          <w:pgMar w:top="2700" w:right="3280" w:bottom="2700" w:left="3280" w:header="2400" w:footer="2400" w:gutter="0"/>
          <w:cols w:space="720" w:num="1"/>
        </w:sectPr>
      </w:pPr>
    </w:p>
    <w:p w14:paraId="707E0108">
      <w:pPr>
        <w:tabs>
          <w:tab w:val="left" w:pos="12640"/>
        </w:tabs>
        <w:wordWrap w:val="0"/>
        <w:spacing w:before="440" w:after="0" w:line="620" w:lineRule="atLeast"/>
        <w:ind w:left="580"/>
        <w:jc w:val="both"/>
        <w:textAlignment w:val="baseline"/>
        <w:rPr>
          <w:rFonts w:hint="eastAsia"/>
          <w:sz w:val="30"/>
        </w:rPr>
      </w:pPr>
      <w:r>
        <w:rPr>
          <w:rFonts w:ascii="黑体" w:hAnsi="黑体" w:eastAsia="黑体" w:cs="黑体"/>
          <w:color w:val="000000"/>
          <w:sz w:val="30"/>
        </w:rPr>
        <w:t>井陉县威州镇国土空间总体规划(2021-2035年)</w:t>
      </w:r>
      <w:r>
        <w:tab/>
      </w:r>
      <w:r>
        <w:rPr>
          <w:rFonts w:ascii="黑体" w:hAnsi="黑体" w:eastAsia="黑体" w:cs="黑体"/>
          <w:color w:val="000000"/>
          <w:sz w:val="30"/>
        </w:rPr>
        <w:t>03 国土空间控制线规划图</w:t>
      </w:r>
    </w:p>
    <w:p w14:paraId="2CFA7FA0">
      <w:pPr>
        <w:wordWrap w:val="0"/>
        <w:spacing w:after="0" w:line="0" w:lineRule="atLeast"/>
        <w:ind w:left="380"/>
        <w:textAlignment w:val="baseline"/>
        <w:rPr>
          <w:rFonts w:hint="eastAsia"/>
        </w:rPr>
      </w:pPr>
      <w:r>
        <w:drawing>
          <wp:inline distT="0" distB="0" distL="0" distR="0">
            <wp:extent cx="9613900" cy="6451600"/>
            <wp:effectExtent l="0" t="0" r="0" b="0"/>
            <wp:docPr id="2" name="Draw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pic:cNvPicPr>
                      <a:picLocks noChangeAspect="1"/>
                    </pic:cNvPicPr>
                  </pic:nvPicPr>
                  <pic:blipFill>
                    <a:blip r:embed="rId16"/>
                    <a:stretch>
                      <a:fillRect/>
                    </a:stretch>
                  </pic:blipFill>
                  <pic:spPr>
                    <a:xfrm>
                      <a:off x="0" y="0"/>
                      <a:ext cx="9613900" cy="6451600"/>
                    </a:xfrm>
                    <a:prstGeom prst="rect">
                      <a:avLst/>
                    </a:prstGeom>
                  </pic:spPr>
                </pic:pic>
              </a:graphicData>
            </a:graphic>
          </wp:inline>
        </w:drawing>
      </w:r>
    </w:p>
    <w:p w14:paraId="20FEF05F">
      <w:pPr>
        <w:wordWrap w:val="0"/>
        <w:spacing w:after="0" w:line="200" w:lineRule="atLeast"/>
        <w:ind w:left="700"/>
        <w:jc w:val="both"/>
        <w:textAlignment w:val="baseline"/>
        <w:rPr>
          <w:rFonts w:hint="eastAsia"/>
          <w:sz w:val="13"/>
        </w:rPr>
      </w:pPr>
      <w:r>
        <w:rPr>
          <w:rFonts w:ascii="黑体" w:hAnsi="黑体" w:eastAsia="黑体" w:cs="黑体"/>
          <w:color w:val="000000"/>
          <w:sz w:val="13"/>
        </w:rPr>
        <w:t>2025年10月</w:t>
      </w:r>
    </w:p>
    <w:p w14:paraId="6F583EC8">
      <w:pPr>
        <w:wordWrap w:val="0"/>
        <w:spacing w:after="0" w:line="200" w:lineRule="exact"/>
        <w:jc w:val="both"/>
        <w:textAlignment w:val="baseline"/>
        <w:rPr>
          <w:rFonts w:hint="eastAsia"/>
          <w:sz w:val="13"/>
        </w:rPr>
      </w:pPr>
    </w:p>
    <w:p w14:paraId="276D696E">
      <w:pPr>
        <w:wordWrap w:val="0"/>
        <w:spacing w:after="0" w:line="200" w:lineRule="exact"/>
        <w:jc w:val="both"/>
        <w:textAlignment w:val="baseline"/>
        <w:rPr>
          <w:rFonts w:hint="eastAsia"/>
          <w:sz w:val="13"/>
        </w:rPr>
      </w:pPr>
    </w:p>
    <w:p w14:paraId="2B7274A8">
      <w:pPr>
        <w:wordWrap w:val="0"/>
        <w:spacing w:after="0" w:line="200" w:lineRule="exact"/>
        <w:jc w:val="both"/>
        <w:textAlignment w:val="baseline"/>
        <w:rPr>
          <w:rFonts w:hint="eastAsia"/>
          <w:sz w:val="13"/>
        </w:rPr>
      </w:pPr>
    </w:p>
    <w:p w14:paraId="60F226BF">
      <w:pPr>
        <w:wordWrap w:val="0"/>
        <w:spacing w:after="0" w:line="200" w:lineRule="exact"/>
        <w:jc w:val="both"/>
        <w:textAlignment w:val="baseline"/>
        <w:rPr>
          <w:rFonts w:hint="eastAsia"/>
          <w:sz w:val="13"/>
        </w:rPr>
      </w:pPr>
    </w:p>
    <w:p w14:paraId="44C565CC">
      <w:pPr>
        <w:wordWrap w:val="0"/>
        <w:spacing w:after="0" w:line="200" w:lineRule="exact"/>
        <w:jc w:val="both"/>
        <w:textAlignment w:val="baseline"/>
        <w:rPr>
          <w:rFonts w:hint="eastAsia"/>
          <w:sz w:val="13"/>
        </w:rPr>
      </w:pPr>
    </w:p>
    <w:p w14:paraId="63DF18FA">
      <w:pPr>
        <w:wordWrap w:val="0"/>
        <w:spacing w:after="0" w:line="200" w:lineRule="exact"/>
        <w:jc w:val="both"/>
        <w:textAlignment w:val="baseline"/>
        <w:rPr>
          <w:rFonts w:hint="eastAsia"/>
          <w:sz w:val="13"/>
        </w:rPr>
      </w:pPr>
    </w:p>
    <w:p w14:paraId="00CE0ECF">
      <w:pPr>
        <w:wordWrap w:val="0"/>
        <w:spacing w:after="0" w:line="200" w:lineRule="exact"/>
        <w:jc w:val="both"/>
        <w:textAlignment w:val="baseline"/>
        <w:rPr>
          <w:rFonts w:hint="eastAsia"/>
          <w:sz w:val="13"/>
        </w:rPr>
      </w:pPr>
    </w:p>
    <w:p w14:paraId="7C1AC275">
      <w:pPr>
        <w:wordWrap w:val="0"/>
        <w:spacing w:after="0" w:line="200" w:lineRule="exact"/>
        <w:jc w:val="both"/>
        <w:textAlignment w:val="baseline"/>
        <w:rPr>
          <w:rFonts w:hint="eastAsia"/>
          <w:sz w:val="13"/>
        </w:rPr>
      </w:pPr>
    </w:p>
    <w:p w14:paraId="29A3099A">
      <w:pPr>
        <w:tabs>
          <w:tab w:val="left" w:pos="13360"/>
        </w:tabs>
        <w:wordWrap w:val="0"/>
        <w:spacing w:after="0" w:line="580" w:lineRule="atLeast"/>
        <w:ind w:left="580"/>
        <w:jc w:val="both"/>
        <w:textAlignment w:val="baseline"/>
        <w:rPr>
          <w:rFonts w:hint="eastAsia"/>
          <w:sz w:val="30"/>
        </w:rPr>
      </w:pPr>
      <w:r>
        <w:rPr>
          <w:rFonts w:ascii="黑体" w:hAnsi="黑体" w:eastAsia="黑体" w:cs="黑体"/>
          <w:color w:val="000000"/>
          <w:sz w:val="30"/>
        </w:rPr>
        <w:t>井陉县威州镇国土空间总体规划 (2021-2035年)</w:t>
      </w:r>
      <w:r>
        <w:tab/>
      </w:r>
      <w:r>
        <w:rPr>
          <w:rFonts w:ascii="黑体" w:hAnsi="黑体" w:eastAsia="黑体" w:cs="黑体"/>
          <w:color w:val="000000"/>
          <w:sz w:val="30"/>
        </w:rPr>
        <w:t>10 村庄布点规划图</w:t>
      </w:r>
    </w:p>
    <w:p w14:paraId="6EB42B24">
      <w:pPr>
        <w:wordWrap w:val="0"/>
        <w:spacing w:after="0" w:line="0" w:lineRule="atLeast"/>
        <w:ind w:left="380"/>
        <w:textAlignment w:val="baseline"/>
        <w:rPr>
          <w:rFonts w:hint="eastAsia"/>
        </w:rPr>
      </w:pPr>
      <w:r>
        <w:drawing>
          <wp:inline distT="0" distB="0" distL="0" distR="0">
            <wp:extent cx="9613900" cy="6489700"/>
            <wp:effectExtent l="0" t="0" r="0" b="0"/>
            <wp:docPr id="4" name="Draw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rawing 4"/>
                    <pic:cNvPicPr>
                      <a:picLocks noChangeAspect="1"/>
                    </pic:cNvPicPr>
                  </pic:nvPicPr>
                  <pic:blipFill>
                    <a:blip r:embed="rId17"/>
                    <a:stretch>
                      <a:fillRect/>
                    </a:stretch>
                  </pic:blipFill>
                  <pic:spPr>
                    <a:xfrm>
                      <a:off x="0" y="0"/>
                      <a:ext cx="9613900" cy="6489700"/>
                    </a:xfrm>
                    <a:prstGeom prst="rect">
                      <a:avLst/>
                    </a:prstGeom>
                  </pic:spPr>
                </pic:pic>
              </a:graphicData>
            </a:graphic>
          </wp:inline>
        </w:drawing>
      </w:r>
    </w:p>
    <w:p w14:paraId="10E7E7E3">
      <w:pPr>
        <w:rPr>
          <w:rFonts w:hint="eastAsia"/>
        </w:rPr>
      </w:pPr>
    </w:p>
    <w:p w14:paraId="2BB7A0D8">
      <w:pPr>
        <w:rPr>
          <w:rFonts w:hint="eastAsia"/>
        </w:rPr>
        <w:sectPr>
          <w:headerReference r:id="rId11" w:type="default"/>
          <w:footerReference r:id="rId12" w:type="default"/>
          <w:pgSz w:w="22400" w:h="31680"/>
          <w:pgMar w:top="2700" w:right="3380" w:bottom="2700" w:left="3380" w:header="2400" w:footer="2400" w:gutter="0"/>
          <w:cols w:space="720" w:num="1"/>
        </w:sectPr>
      </w:pPr>
    </w:p>
    <w:p w14:paraId="3EA24CD8">
      <w:pPr>
        <w:tabs>
          <w:tab w:val="left" w:pos="12900"/>
        </w:tabs>
        <w:wordWrap w:val="0"/>
        <w:spacing w:before="440" w:after="0" w:line="620" w:lineRule="atLeast"/>
        <w:ind w:left="580"/>
        <w:jc w:val="both"/>
        <w:textAlignment w:val="baseline"/>
        <w:rPr>
          <w:rFonts w:hint="eastAsia"/>
          <w:sz w:val="27"/>
        </w:rPr>
      </w:pPr>
      <w:r>
        <w:rPr>
          <w:rFonts w:ascii="黑体" w:hAnsi="黑体" w:eastAsia="黑体" w:cs="黑体"/>
          <w:color w:val="000000"/>
          <w:sz w:val="27"/>
        </w:rPr>
        <w:t>井陉县威州镇国土空间总体规划(2021-2035年)</w:t>
      </w:r>
      <w:r>
        <w:tab/>
      </w:r>
      <w:r>
        <w:rPr>
          <w:rFonts w:ascii="黑体" w:hAnsi="黑体" w:eastAsia="黑体" w:cs="黑体"/>
          <w:color w:val="000000"/>
          <w:sz w:val="27"/>
        </w:rPr>
        <w:t>15 国土空间规划分区图</w:t>
      </w:r>
    </w:p>
    <w:p w14:paraId="736AD428">
      <w:pPr>
        <w:wordWrap w:val="0"/>
        <w:spacing w:after="0" w:line="0" w:lineRule="atLeast"/>
        <w:ind w:left="380"/>
        <w:textAlignment w:val="baseline"/>
        <w:rPr>
          <w:rFonts w:hint="eastAsia"/>
        </w:rPr>
      </w:pPr>
      <w:r>
        <w:drawing>
          <wp:inline distT="0" distB="0" distL="0" distR="0">
            <wp:extent cx="9652000" cy="6451600"/>
            <wp:effectExtent l="0" t="0" r="0" b="0"/>
            <wp:docPr id="6" name="Draw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rawing 6"/>
                    <pic:cNvPicPr>
                      <a:picLocks noChangeAspect="1"/>
                    </pic:cNvPicPr>
                  </pic:nvPicPr>
                  <pic:blipFill>
                    <a:blip r:embed="rId18"/>
                    <a:stretch>
                      <a:fillRect/>
                    </a:stretch>
                  </pic:blipFill>
                  <pic:spPr>
                    <a:xfrm>
                      <a:off x="0" y="0"/>
                      <a:ext cx="9652000" cy="6451600"/>
                    </a:xfrm>
                    <a:prstGeom prst="rect">
                      <a:avLst/>
                    </a:prstGeom>
                  </pic:spPr>
                </pic:pic>
              </a:graphicData>
            </a:graphic>
          </wp:inline>
        </w:drawing>
      </w:r>
    </w:p>
    <w:p w14:paraId="6459ECA1">
      <w:pPr>
        <w:wordWrap w:val="0"/>
        <w:spacing w:after="0" w:line="380" w:lineRule="atLeast"/>
        <w:ind w:left="700"/>
        <w:jc w:val="both"/>
        <w:textAlignment w:val="baseline"/>
        <w:rPr>
          <w:rFonts w:hint="eastAsia"/>
          <w:sz w:val="27"/>
        </w:rPr>
      </w:pPr>
      <w:r>
        <w:rPr>
          <w:rFonts w:ascii="宋体" w:hAnsi="宋体" w:eastAsia="宋体" w:cs="宋体"/>
          <w:color w:val="000000"/>
          <w:sz w:val="27"/>
        </w:rPr>
        <w:t>2025年10月</w:t>
      </w:r>
    </w:p>
    <w:sectPr>
      <w:headerReference r:id="rId13" w:type="default"/>
      <w:footerReference r:id="rId14" w:type="default"/>
      <w:pgSz w:w="22400" w:h="31680"/>
      <w:pgMar w:top="2700" w:right="3380" w:bottom="2700" w:left="3380" w:header="2400" w:footer="240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788CB">
    <w:pPr>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CAB05">
    <w:pPr>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0A1127">
    <w:pPr>
      <w:rPr>
        <w:rFonts w:hint="eastAsi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E2A91">
    <w:pPr>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710E8E">
    <w:pPr>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B52AD">
    <w:pP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91A1BF">
    <w:pP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418FA">
    <w:pP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BC0655">
    <w:pP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A294B9">
    <w:pPr>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isplayHorizontalDrawingGridEvery w:val="1"/>
  <w:displayVerticalDrawingGridEvery w:val="1"/>
  <w:noPunctuationKerning w:val="1"/>
  <w:characterSpacingControl w:val="doNotCompress"/>
  <w:footnotePr>
    <w:footnote w:id="0"/>
    <w:footnote w:id="1"/>
  </w:footnotePr>
  <w:endnotePr>
    <w:endnote w:id="0"/>
    <w:endnote w:id="1"/>
  </w:endnotePr>
  <w:compat>
    <w:ulTrailSpace/>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CA0"/>
    <w:rsid w:val="00075867"/>
    <w:rsid w:val="001D6CA0"/>
    <w:rsid w:val="002927C6"/>
    <w:rsid w:val="002D51B5"/>
    <w:rsid w:val="005C1EBF"/>
    <w:rsid w:val="009E6242"/>
    <w:rsid w:val="00A3043C"/>
    <w:rsid w:val="00B30B93"/>
    <w:rsid w:val="00B75233"/>
    <w:rsid w:val="00BB3FA6"/>
    <w:rsid w:val="00BB4F29"/>
    <w:rsid w:val="00C364D5"/>
    <w:rsid w:val="00C93FC0"/>
    <w:rsid w:val="00FD5721"/>
    <w:rsid w:val="19861F36"/>
    <w:rsid w:val="2EBF30C3"/>
    <w:rsid w:val="6DAD73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spacing w:line="240" w:lineRule="auto"/>
    </w:pPr>
    <w:rPr>
      <w:sz w:val="18"/>
      <w:szCs w:val="18"/>
    </w:rPr>
  </w:style>
  <w:style w:type="paragraph" w:styleId="3">
    <w:name w:val="header"/>
    <w:basedOn w:val="1"/>
    <w:link w:val="6"/>
    <w:unhideWhenUsed/>
    <w:qFormat/>
    <w:uiPriority w:val="99"/>
    <w:pPr>
      <w:tabs>
        <w:tab w:val="center" w:pos="4153"/>
        <w:tab w:val="right" w:pos="8306"/>
      </w:tabs>
      <w:snapToGrid w:val="0"/>
      <w:spacing w:line="240" w:lineRule="auto"/>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image" Target="media/image3.jpeg"/><Relationship Id="rId17" Type="http://schemas.openxmlformats.org/officeDocument/2006/relationships/image" Target="media/image2.jpe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footer" Target="footer5.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2321</Words>
  <Characters>2456</Characters>
  <Lines>72</Lines>
  <Paragraphs>45</Paragraphs>
  <TotalTime>16</TotalTime>
  <ScaleCrop>false</ScaleCrop>
  <LinksUpToDate>false</LinksUpToDate>
  <CharactersWithSpaces>2463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2026-02-25T01:52:00Z</dcterms:created>
  <dc:creator>Apache POI</dc:creator>
  <cp:lastModifiedBy>兜里没糖了</cp:lastModifiedBy>
  <dcterms:modified xsi:type="dcterms:W3CDTF">2026-02-25T06:26:29Z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eyJoZGlkIjoiYzQwMTg4YmVkZmZiODliMjk2MmYxZDg5YWI0ZjE4YWUiLCJ1c2VySWQiOiIyMDc2MjM5NjkifQ==</vt:lpwstr>
  </property>
  <property fmtid="{D5CDD505-2E9C-101B-9397-08002B2CF9AE}" pid="3" name="KSOProductBuildVer">
    <vt:lpwstr>2052-12.1.0.25225</vt:lpwstr>
  </property>
  <property fmtid="{D5CDD505-2E9C-101B-9397-08002B2CF9AE}" pid="4" name="ICV">
    <vt:lpwstr>9640E808832E49B5A6E7403EEA7DA04F_13</vt:lpwstr>
  </property>
</Properties>
</file>